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Sitesi</w:t>
      </w:r>
      <w:r>
        <w:t xml:space="preserve"> </w:t>
      </w:r>
      <w:r>
        <w:t xml:space="preserve">Gizlilik</w:t>
      </w:r>
      <w:r>
        <w:t xml:space="preserve"> </w:t>
      </w:r>
      <w:r>
        <w:t xml:space="preserve">ve</w:t>
      </w:r>
      <w:r>
        <w:t xml:space="preserve"> </w:t>
      </w:r>
      <w:r>
        <w:t xml:space="preserve">Veri</w:t>
      </w:r>
      <w:r>
        <w:t xml:space="preserve"> </w:t>
      </w:r>
      <w:r>
        <w:t xml:space="preserve">Politikası</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
    <w:p>
      <w:pPr>
        <w:pStyle w:val="Heading3"/>
      </w:pPr>
      <w:r>
        <w:t xml:space="preserve">Amaç</w:t>
      </w:r>
    </w:p>
    <w:p>
      <w:pPr>
        <w:pStyle w:val="FirstParagraph"/>
      </w:pPr>
      <w:r>
        <w:t xml:space="preserve">REM Mimarlık Dekorasyon Restorasyon Proje ve Taahhüt Hizmetleri Ltd. Şti. ("SP Architects" veya "Şirket"), kişisel verilerinizi 6698 sayılı Kişisel Verilerin Korunması Kanunu ("KVKK") ve ilgili mevzuata uygun olarak işlemeyi, saklamayı ve korumayı ilke edinmiştir. BM Küresel İlkeler Sözleşmesi katılımcısı olarak, İnsan Hakları Evrensel Beyannamesi'nin 12. maddesinde güvence altına alınan özel hayatın gizliliği hakkını temel bir insan hakkı olarak görüyor ve bu politikayı İlke 1 ile Politika 10 — Kişisel Verilerin Korunması ve Bilgi Güvenliği kapsamında uyguluyoruz.</w:t>
      </w:r>
    </w:p>
    <w:bookmarkEnd w:id="20"/>
    <w:bookmarkStart w:id="21" w:name="ilkelerimiz"/>
    <w:p>
      <w:pPr>
        <w:pStyle w:val="Heading3"/>
      </w:pPr>
      <w:r>
        <w:t xml:space="preserve">İlkelerimiz</w:t>
      </w:r>
    </w:p>
    <w:p>
      <w:pPr>
        <w:pStyle w:val="FirstParagraph"/>
      </w:pPr>
      <w:r>
        <w:t xml:space="preserve">SP Architects, veri sorumlusu olarak kişisel verilerin hukuka uygun elde edilmesinden, işlenmesinden, saklanmasından ve güvenliğinden sorumludur. Çalışanlarımızın, iş ortaklarımızın, müşterilerimizin ve temsilcilerinin başta özel hayatın gizliliği olmak üzere temel hak ve özgürlüklerini korumak için kişisel verileri:</w:t>
      </w:r>
    </w:p>
    <w:p>
      <w:pPr>
        <w:numPr>
          <w:ilvl w:val="0"/>
          <w:numId w:val="1001"/>
        </w:numPr>
        <w:pStyle w:val="Compact"/>
      </w:pPr>
      <w:r>
        <w:t xml:space="preserve">hukuka ve dürüstlük kuralına uygun olarak,</w:t>
      </w:r>
    </w:p>
    <w:p>
      <w:pPr>
        <w:numPr>
          <w:ilvl w:val="0"/>
          <w:numId w:val="1001"/>
        </w:numPr>
        <w:pStyle w:val="Compact"/>
      </w:pPr>
      <w:r>
        <w:t xml:space="preserve">doğru ve gerektiğinde güncel olarak,</w:t>
      </w:r>
    </w:p>
    <w:p>
      <w:pPr>
        <w:numPr>
          <w:ilvl w:val="0"/>
          <w:numId w:val="1001"/>
        </w:numPr>
        <w:pStyle w:val="Compact"/>
      </w:pPr>
      <w:r>
        <w:t xml:space="preserve">belirli, açık ve meşru amaçlarla,</w:t>
      </w:r>
    </w:p>
    <w:p>
      <w:pPr>
        <w:numPr>
          <w:ilvl w:val="0"/>
          <w:numId w:val="1001"/>
        </w:numPr>
        <w:pStyle w:val="Compact"/>
      </w:pPr>
      <w:r>
        <w:t xml:space="preserve">işlendikleri amaçla bağlantılı, sınırlı ve ölçülü olarak,</w:t>
      </w:r>
    </w:p>
    <w:p>
      <w:pPr>
        <w:numPr>
          <w:ilvl w:val="0"/>
          <w:numId w:val="1001"/>
        </w:numPr>
        <w:pStyle w:val="Compact"/>
      </w:pPr>
      <w:r>
        <w:t xml:space="preserve">ilgili mevzuatta öngörülen veya işlendikleri amaç için gerekli olan süre kadar saklayarak</w:t>
      </w:r>
    </w:p>
    <w:p>
      <w:pPr>
        <w:pStyle w:val="FirstParagraph"/>
      </w:pPr>
      <w:r>
        <w:t xml:space="preserve">işleriz. Kişisel verileri yurt içinde ve/veya yurt dışında üçüncü kişilere ancak gerekli güvenlik önlemlerini alarak aktarırız.</w:t>
      </w:r>
    </w:p>
    <w:p>
      <w:pPr>
        <w:pStyle w:val="BodyText"/>
      </w:pPr>
      <w:r>
        <w:t xml:space="preserve">Kişisel verilerin korunmasına ilişkin ilke ve kuralların çalışanlarımız ve iş ortaklarımız tarafından benimsenmesi, bu konuda bilinç ve farkındalığın oluşturulması ve artırılması da Şirket politikamızın parçasıdır.</w:t>
      </w:r>
    </w:p>
    <w:bookmarkEnd w:id="21"/>
    <w:bookmarkStart w:id="22" w:name="yasal-yükümlülüklerimiz"/>
    <w:p>
      <w:pPr>
        <w:pStyle w:val="Heading3"/>
      </w:pPr>
      <w:r>
        <w:t xml:space="preserve">Yasal yükümlülüklerimiz</w:t>
      </w:r>
    </w:p>
    <w:p>
      <w:pPr>
        <w:pStyle w:val="FirstParagraph"/>
      </w:pPr>
      <w:r>
        <w:t xml:space="preserve">Bu kapsamda:</w:t>
      </w:r>
    </w:p>
    <w:p>
      <w:pPr>
        <w:numPr>
          <w:ilvl w:val="0"/>
          <w:numId w:val="1002"/>
        </w:numPr>
        <w:pStyle w:val="Compact"/>
      </w:pPr>
      <w:r>
        <w:t xml:space="preserve">VERBİS'e (Veri Sorumluları Sicil Bilgi Sistemi) kayıt olduk.</w:t>
      </w:r>
    </w:p>
    <w:p>
      <w:pPr>
        <w:numPr>
          <w:ilvl w:val="0"/>
          <w:numId w:val="1002"/>
        </w:numPr>
        <w:pStyle w:val="Compact"/>
      </w:pPr>
      <w:r>
        <w:t xml:space="preserve">Kişisel verileri elde ederken ilgili kişilere karşı aydınlatma yükümlülüğümüzü sözlü ve/veya yazılı olarak yerine getiriyoruz.</w:t>
      </w:r>
    </w:p>
    <w:p>
      <w:pPr>
        <w:numPr>
          <w:ilvl w:val="0"/>
          <w:numId w:val="1002"/>
        </w:numPr>
        <w:pStyle w:val="Compact"/>
      </w:pPr>
      <w:r>
        <w:t xml:space="preserve">Kişisel verilerin hukuka aykırı işlenmesini ve verilere hukuka aykırı erişimi önlemek için gerekli teknik, yazılımsal ve idari tedbirleri alıyoruz.</w:t>
      </w:r>
    </w:p>
    <w:p>
      <w:pPr>
        <w:numPr>
          <w:ilvl w:val="0"/>
          <w:numId w:val="1002"/>
        </w:numPr>
        <w:pStyle w:val="Compact"/>
      </w:pPr>
      <w:r>
        <w:t xml:space="preserve">Mevcut risk ve tehditleri belirledik; erişim, bilgi güvenliği, kullanım, saklama ve imha konularında politikalar oluşturduk.</w:t>
      </w:r>
    </w:p>
    <w:bookmarkEnd w:id="22"/>
    <w:bookmarkStart w:id="26" w:name="güvenlik-tedbirleri"/>
    <w:p>
      <w:pPr>
        <w:pStyle w:val="Heading3"/>
      </w:pPr>
      <w:r>
        <w:t xml:space="preserve">Güvenlik tedbirleri</w:t>
      </w:r>
    </w:p>
    <w:bookmarkStart w:id="23" w:name="teknik-tedbirler"/>
    <w:p>
      <w:pPr>
        <w:pStyle w:val="Heading4"/>
      </w:pPr>
      <w:r>
        <w:t xml:space="preserve">Teknik tedbirler</w:t>
      </w:r>
    </w:p>
    <w:p>
      <w:pPr>
        <w:numPr>
          <w:ilvl w:val="0"/>
          <w:numId w:val="1003"/>
        </w:numPr>
        <w:pStyle w:val="Compact"/>
      </w:pPr>
      <w:r>
        <w:t xml:space="preserve">Ağ ve uygulama güvenliği için kapalı ağ sistemi kullanılır; anahtar yönetimi uygulanır.</w:t>
      </w:r>
    </w:p>
    <w:p>
      <w:pPr>
        <w:numPr>
          <w:ilvl w:val="0"/>
          <w:numId w:val="1003"/>
        </w:numPr>
        <w:pStyle w:val="Compact"/>
      </w:pPr>
      <w:r>
        <w:t xml:space="preserve">Bilgi teknolojileri sistemlerinin tedariki, geliştirilmesi ve bakımında güvenlik önlemleri alınır.</w:t>
      </w:r>
    </w:p>
    <w:p>
      <w:pPr>
        <w:numPr>
          <w:ilvl w:val="0"/>
          <w:numId w:val="1003"/>
        </w:numPr>
        <w:pStyle w:val="Compact"/>
      </w:pPr>
      <w:r>
        <w:t xml:space="preserve">Bulutta depolanan kişisel verilerin güvenliği sağlanır.</w:t>
      </w:r>
    </w:p>
    <w:p>
      <w:pPr>
        <w:numPr>
          <w:ilvl w:val="0"/>
          <w:numId w:val="1003"/>
        </w:numPr>
        <w:pStyle w:val="Compact"/>
      </w:pPr>
      <w:r>
        <w:t xml:space="preserve">Kullanıcıların görev ve sorumluluklarına göre erişim yetkileri tanımlanır, yetkisiz erişim sınırlandırılır; kullanıcı hesabı yönetimi ve yetki kontrol sistemi uygulanır.</w:t>
      </w:r>
    </w:p>
    <w:p>
      <w:pPr>
        <w:numPr>
          <w:ilvl w:val="0"/>
          <w:numId w:val="1003"/>
        </w:numPr>
        <w:pStyle w:val="Compact"/>
      </w:pPr>
      <w:r>
        <w:t xml:space="preserve">Erişim kayıtları (log) düzenli olarak ve kullanıcı müdahalesine kapalı biçimde tutulur.</w:t>
      </w:r>
    </w:p>
    <w:p>
      <w:pPr>
        <w:numPr>
          <w:ilvl w:val="0"/>
          <w:numId w:val="1003"/>
        </w:numPr>
        <w:pStyle w:val="Compact"/>
      </w:pPr>
      <w:r>
        <w:t xml:space="preserve">Gerektiğinde veri maskeleme uygulanır.</w:t>
      </w:r>
    </w:p>
    <w:p>
      <w:pPr>
        <w:numPr>
          <w:ilvl w:val="0"/>
          <w:numId w:val="1003"/>
        </w:numPr>
        <w:pStyle w:val="Compact"/>
      </w:pPr>
      <w:r>
        <w:t xml:space="preserve">Güncel anti-virüs sistemleri ve güvenlik duvarları kullanılır.</w:t>
      </w:r>
    </w:p>
    <w:p>
      <w:pPr>
        <w:numPr>
          <w:ilvl w:val="0"/>
          <w:numId w:val="1003"/>
        </w:numPr>
        <w:pStyle w:val="Compact"/>
      </w:pPr>
      <w:r>
        <w:t xml:space="preserve">Siber saldırılara karşı saldırı tespit ve önleme sistemi kullanılır, sızma testleri yapılır.</w:t>
      </w:r>
    </w:p>
    <w:p>
      <w:pPr>
        <w:numPr>
          <w:ilvl w:val="0"/>
          <w:numId w:val="1003"/>
        </w:numPr>
        <w:pStyle w:val="Compact"/>
      </w:pPr>
      <w:r>
        <w:t xml:space="preserve">Veri kaybı önleme yazılımları kullanılır; yedeklenen verilerin güvenliği de aynı şekilde sağlanır.</w:t>
      </w:r>
    </w:p>
    <w:p>
      <w:pPr>
        <w:numPr>
          <w:ilvl w:val="0"/>
          <w:numId w:val="1003"/>
        </w:numPr>
        <w:pStyle w:val="Compact"/>
      </w:pPr>
      <w:r>
        <w:t xml:space="preserve">Özel nitelikli kişisel veriler güvenlik önlemi alınmış dosya transfer uygulamalarıyla aktarılır; e-posta ile gönderim gerekiyorsa KEP veya kurumsal e-posta hesabı kullanılır.</w:t>
      </w:r>
    </w:p>
    <w:bookmarkEnd w:id="23"/>
    <w:bookmarkStart w:id="24" w:name="idari-tedbirler"/>
    <w:p>
      <w:pPr>
        <w:pStyle w:val="Heading4"/>
      </w:pPr>
      <w:r>
        <w:t xml:space="preserve">İdari tedbirler</w:t>
      </w:r>
    </w:p>
    <w:p>
      <w:pPr>
        <w:numPr>
          <w:ilvl w:val="0"/>
          <w:numId w:val="1004"/>
        </w:numPr>
        <w:pStyle w:val="Compact"/>
      </w:pPr>
      <w:r>
        <w:t xml:space="preserve">Taşınabilir bellek, CD, DVD gibi ortamların kullanımı kısıtlanır; dosya kopyalama yetkisi yalnızca yönetimin onayladığı kişilere, belirli ve sınırlı bir süre için verilir ve süre sonunda otomatik olarak kaldırılır.</w:t>
      </w:r>
    </w:p>
    <w:p>
      <w:pPr>
        <w:numPr>
          <w:ilvl w:val="0"/>
          <w:numId w:val="1004"/>
        </w:numPr>
        <w:pStyle w:val="Compact"/>
      </w:pPr>
      <w:r>
        <w:t xml:space="preserve">Çalışanlar ve iş ortaklarıyla veri güvenliği hükümleri içeren gizlilik taahhütnameleri imzalanır.</w:t>
      </w:r>
    </w:p>
    <w:p>
      <w:pPr>
        <w:numPr>
          <w:ilvl w:val="0"/>
          <w:numId w:val="1004"/>
        </w:numPr>
        <w:pStyle w:val="Compact"/>
      </w:pPr>
      <w:r>
        <w:t xml:space="preserve">Toplanan ve işlenen kişisel veriler mümkün olduğunca en aza indirilir.</w:t>
      </w:r>
    </w:p>
    <w:p>
      <w:pPr>
        <w:numPr>
          <w:ilvl w:val="0"/>
          <w:numId w:val="1004"/>
        </w:numPr>
        <w:pStyle w:val="Compact"/>
      </w:pPr>
      <w:r>
        <w:t xml:space="preserve">Tedbirler periyodik olarak izlenir ve güncel tutulur.</w:t>
      </w:r>
    </w:p>
    <w:p>
      <w:pPr>
        <w:numPr>
          <w:ilvl w:val="0"/>
          <w:numId w:val="1004"/>
        </w:numPr>
        <w:pStyle w:val="Compact"/>
      </w:pPr>
      <w:r>
        <w:t xml:space="preserve">Periyodik kontrollerde ya da ilgili kişinin başvurusu üzerine işleme sebebinin ortadan kalktığı veya saklama süresinin dolduğu tespit edilirse veri, kategorisine ve niteliğine uygun yöntemle silinir, yok edilir veya anonim hale getirilir.</w:t>
      </w:r>
    </w:p>
    <w:bookmarkEnd w:id="24"/>
    <w:bookmarkStart w:id="25" w:name="fiziksel-tedbirler"/>
    <w:p>
      <w:pPr>
        <w:pStyle w:val="Heading4"/>
      </w:pPr>
      <w:r>
        <w:t xml:space="preserve">Fiziksel tedbirler</w:t>
      </w:r>
    </w:p>
    <w:p>
      <w:pPr>
        <w:numPr>
          <w:ilvl w:val="0"/>
          <w:numId w:val="1005"/>
        </w:numPr>
        <w:pStyle w:val="Compact"/>
      </w:pPr>
      <w:r>
        <w:t xml:space="preserve">Kişisel veri içeren fiziksel ortamların dış risklere karşı güvenliği sağlanır.</w:t>
      </w:r>
    </w:p>
    <w:bookmarkEnd w:id="25"/>
    <w:bookmarkEnd w:id="26"/>
    <w:bookmarkStart w:id="27" w:name="web-sitesi-ve-diğer-bilgiler"/>
    <w:p>
      <w:pPr>
        <w:pStyle w:val="Heading3"/>
      </w:pPr>
      <w:r>
        <w:t xml:space="preserve">Web sitesi ve diğer bilgiler</w:t>
      </w:r>
    </w:p>
    <w:p>
      <w:pPr>
        <w:pStyle w:val="FirstParagraph"/>
      </w:pPr>
      <w:r>
        <w:t xml:space="preserve">İnternet sitemizde, kullanıcılarımıza daha doğru bilgi sunmak için güvenilir olduğunu düşündüğümüz sitelere bağlantı verebiliriz. Bu sitelerin içeriğinden, veri ve gizlilik politikalarından Şirketimiz sorumlu değildir.</w:t>
      </w:r>
    </w:p>
    <w:p>
      <w:pPr>
        <w:pStyle w:val="BodyText"/>
      </w:pPr>
      <w:r>
        <w:t xml:space="preserve">Bu politika bilgilendirme amaçlıdır. Adli veya idari mercilerden işbirliği ya da bilgi talebi gelmesi halinde, talep edilen kişisel verilerinizi mevzuat uyarınca yetkili mercilerle paylaşabiliriz.</w:t>
      </w:r>
    </w:p>
    <w:p>
      <w:pPr>
        <w:pStyle w:val="BodyText"/>
      </w:pPr>
      <w:r>
        <w:t xml:space="preserve">Anonim olan ve sizi kişisel olarak tanımlamaya yetmeyen bilgiler kişisel olmayan bilgilerdir ve sunucularımızda otomatik olarak depolanır.</w:t>
      </w:r>
    </w:p>
    <w:bookmarkEnd w:id="27"/>
    <w:bookmarkStart w:id="28" w:name="kvkk-m.11-kapsamındaki-haklarınız"/>
    <w:p>
      <w:pPr>
        <w:pStyle w:val="Heading3"/>
      </w:pPr>
      <w:r>
        <w:t xml:space="preserve">KVKK m.11 kapsamındaki haklarınız</w:t>
      </w:r>
    </w:p>
    <w:p>
      <w:pPr>
        <w:pStyle w:val="FirstParagraph"/>
      </w:pPr>
      <w:r>
        <w:t xml:space="preserve">KVKK'da "ilgili kişi" olarak tanımlanan kişisel veri sahibi ("Başvuru Sahibi") olarak şu haklara sahipsiniz:</w:t>
      </w:r>
    </w:p>
    <w:p>
      <w:pPr>
        <w:numPr>
          <w:ilvl w:val="0"/>
          <w:numId w:val="1006"/>
        </w:numPr>
        <w:pStyle w:val="Compact"/>
      </w:pPr>
      <w:r>
        <w:t xml:space="preserve">Kişisel verilerinizin işlenip işlenmediğini öğrenme,</w:t>
      </w:r>
    </w:p>
    <w:p>
      <w:pPr>
        <w:numPr>
          <w:ilvl w:val="0"/>
          <w:numId w:val="1006"/>
        </w:numPr>
        <w:pStyle w:val="Compact"/>
      </w:pPr>
      <w:r>
        <w:t xml:space="preserve">İşlenmişse buna ilişkin bilgi talep etme,</w:t>
      </w:r>
    </w:p>
    <w:p>
      <w:pPr>
        <w:numPr>
          <w:ilvl w:val="0"/>
          <w:numId w:val="1006"/>
        </w:numPr>
        <w:pStyle w:val="Compact"/>
      </w:pPr>
      <w:r>
        <w:t xml:space="preserve">İşlenme amacını ve amacına uygun kullanılıp kullanılmadığını öğrenme,</w:t>
      </w:r>
    </w:p>
    <w:p>
      <w:pPr>
        <w:numPr>
          <w:ilvl w:val="0"/>
          <w:numId w:val="1006"/>
        </w:numPr>
        <w:pStyle w:val="Compact"/>
      </w:pPr>
      <w:r>
        <w:t xml:space="preserve">Yurt içinde veya yurt dışında kişisel verilerinizin aktarıldığı üçüncü kişileri bilme,</w:t>
      </w:r>
    </w:p>
    <w:p>
      <w:pPr>
        <w:numPr>
          <w:ilvl w:val="0"/>
          <w:numId w:val="1006"/>
        </w:numPr>
        <w:pStyle w:val="Compact"/>
      </w:pPr>
      <w:r>
        <w:t xml:space="preserve">Eksik veya yanlış işlenmişse düzeltilmesini isteme ve bu işlemin aktarıldığı üçüncü kişilere bildirilmesini isteme,</w:t>
      </w:r>
    </w:p>
    <w:p>
      <w:pPr>
        <w:numPr>
          <w:ilvl w:val="0"/>
          <w:numId w:val="1006"/>
        </w:numPr>
        <w:pStyle w:val="Compact"/>
      </w:pPr>
      <w:r>
        <w:t xml:space="preserve">KVKK ve ilgili diğer kanunlara uygun işlenmiş olsa da işlenmesini gerektiren sebepler ortadan kalkmışsa silinmesini veya yok edilmesini isteme ve bu işlemin aktarıldığı üçüncü kişilere bildirilmesini isteme,</w:t>
      </w:r>
    </w:p>
    <w:p>
      <w:pPr>
        <w:numPr>
          <w:ilvl w:val="0"/>
          <w:numId w:val="1006"/>
        </w:numPr>
        <w:pStyle w:val="Compact"/>
      </w:pPr>
      <w:r>
        <w:t xml:space="preserve">İşlenen verilerin münhasıran otomatik sistemlerle analiz edilmesi sonucu aleyhinize bir sonuç çıkmasına itiraz etme,</w:t>
      </w:r>
    </w:p>
    <w:p>
      <w:pPr>
        <w:numPr>
          <w:ilvl w:val="0"/>
          <w:numId w:val="1006"/>
        </w:numPr>
        <w:pStyle w:val="Compact"/>
      </w:pPr>
      <w:r>
        <w:t xml:space="preserve">Kanuna aykırı işleme nedeniyle zarara uğramanız halinde zararın giderilmesini talep etme.</w:t>
      </w:r>
    </w:p>
    <w:bookmarkEnd w:id="28"/>
    <w:bookmarkStart w:id="29" w:name="başvuru-yöntemleri"/>
    <w:p>
      <w:pPr>
        <w:pStyle w:val="Heading3"/>
      </w:pPr>
      <w:r>
        <w:t xml:space="preserve">Başvuru yöntemleri</w:t>
      </w:r>
    </w:p>
    <w:p>
      <w:pPr>
        <w:pStyle w:val="FirstParagraph"/>
      </w:pPr>
      <w:r>
        <w:t xml:space="preserve">KVKK m.13/1 uyarınca, haklarınıza ilişkin taleplerinizi veri sorumlusu Şirketimize yazılı olarak veya Kişisel Verileri Koruma Kurulu'nun ("Kurul") belirleyeceği diğer yöntemlerle iletebilirsiniz. Yazılı başvuru için www.spdo.com.tr adresindeki İlgili Kişi Başvuru Formu'nu doldurup ıslak imzayla imzalayarak (i) şahsen veya (ii) noter aracılığıyla Ayazağa Mah. Azerbaycan Cad. Vadistanbul 2B Ofis, No:3K Kat:6 34485 Sarıyer/İstanbul adresine ya da (iii) güvenli elektronik imzayla imzalayarak kvkk@spdo.com.tr adresine gönderebilirsiniz. Kurul ileride yeni bir başvuru yöntemi belirlerse, buna ilişkin koşullar ayrıca duyurulacaktır.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Başvuru yöntemi</w:t>
            </w:r>
          </w:p>
        </w:tc>
        <w:tc>
          <w:tcPr/>
          <w:p>
            <w:pPr>
              <w:pStyle w:val="Compact"/>
              <w:jc w:val="left"/>
            </w:pPr>
            <w:r>
              <w:rPr>
                <w:b/>
              </w:rPr>
              <w:t xml:space="preserve">Özellikleri</w:t>
            </w:r>
          </w:p>
        </w:tc>
        <w:tc>
          <w:tcPr/>
          <w:p>
            <w:pPr>
              <w:pStyle w:val="Compact"/>
              <w:jc w:val="left"/>
            </w:pPr>
            <w:r>
              <w:rPr>
                <w:b/>
              </w:rPr>
              <w:t xml:space="preserve">Başvurunun yapılacağı adres</w:t>
            </w:r>
          </w:p>
        </w:tc>
        <w:tc>
          <w:tcPr/>
          <w:p>
            <w:pPr>
              <w:pStyle w:val="Compact"/>
              <w:jc w:val="left"/>
            </w:pPr>
            <w:r>
              <w:rPr>
                <w:b/>
              </w:rPr>
              <w:t xml:space="preserve">Başvuruda belirtilecek bilgi</w:t>
            </w:r>
          </w:p>
        </w:tc>
      </w:tr>
      <w:tr>
        <w:tc>
          <w:tcPr/>
          <w:p>
            <w:pPr>
              <w:pStyle w:val="Compact"/>
              <w:jc w:val="left"/>
            </w:pPr>
            <w:r>
              <w:t xml:space="preserve">Şahsen</w:t>
            </w:r>
          </w:p>
        </w:tc>
        <w:tc>
          <w:tcPr/>
          <w:p>
            <w:pPr>
              <w:pStyle w:val="Compact"/>
              <w:jc w:val="left"/>
            </w:pPr>
            <w:r>
              <w:t xml:space="preserve">Başvuru Sahibi bizzat gelir ve kimliğini kanıtlayan belgeyle başvurur.</w:t>
            </w:r>
          </w:p>
        </w:tc>
        <w:tc>
          <w:tcPr/>
          <w:p>
            <w:pPr>
              <w:pStyle w:val="Compact"/>
              <w:jc w:val="left"/>
            </w:pPr>
            <w:r>
              <w:t xml:space="preserve">REM Mimarlık Dekorasyon Restorasyon Proje Ve Taahhüt Hizmetleri Ltd. Şti., Ayazağa Mah. Azerbaycan Cad. Vadistanbul 2B Ofis, No:3K Kat:6 34485 Sarıyer/İstanbul</w:t>
            </w:r>
          </w:p>
        </w:tc>
        <w:tc>
          <w:tcPr/>
          <w:p>
            <w:pPr>
              <w:pStyle w:val="Compact"/>
              <w:jc w:val="left"/>
            </w:pPr>
            <w:r>
              <w:t xml:space="preserve">Zarfın üzerine "Kişisel Verilerin Korunması Kanunu kapsamında bilgi talebi" yazılması rica olunur.</w:t>
            </w:r>
          </w:p>
        </w:tc>
      </w:tr>
      <w:tr>
        <w:tc>
          <w:tcPr/>
          <w:p>
            <w:pPr>
              <w:pStyle w:val="Compact"/>
              <w:jc w:val="left"/>
            </w:pPr>
            <w:r>
              <w:t xml:space="preserve">Noter aracılığıyla</w:t>
            </w:r>
          </w:p>
        </w:tc>
        <w:tc>
          <w:tcPr/>
          <w:p>
            <w:pPr>
              <w:pStyle w:val="Compact"/>
              <w:jc w:val="left"/>
            </w:pPr>
            <w:r>
              <w:t xml:space="preserve">Islak imzalı İlgili Kişi Başvuru Formu, kimliği kanıtlayan belgeyle birlikte noter kanalıyla Şirketimize tebliğ edilir.</w:t>
            </w:r>
          </w:p>
        </w:tc>
        <w:tc>
          <w:tcPr/>
          <w:p>
            <w:pPr>
              <w:pStyle w:val="Compact"/>
              <w:jc w:val="left"/>
            </w:pPr>
            <w:r>
              <w:t xml:space="preserve">REM Mimarlık Dekorasyon Restorasyon Proje Ve Taahhüt Hizmetleri Ltd. Şti., Ayazağa Mah. Azerbaycan Cad. Vadistanbul 2B Ofis, No:3K Kat:6 34485 Sarıyer/İstanbul</w:t>
            </w:r>
          </w:p>
        </w:tc>
        <w:tc>
          <w:tcPr/>
          <w:p>
            <w:pPr>
              <w:pStyle w:val="Compact"/>
              <w:jc w:val="left"/>
            </w:pPr>
            <w:r>
              <w:t xml:space="preserve">Tebligat zarfına "Kişisel Verilerin Korunması Kanunu kapsamında bilgi talebi" yazılması rica olunur.</w:t>
            </w:r>
          </w:p>
        </w:tc>
      </w:tr>
      <w:tr>
        <w:tc>
          <w:tcPr/>
          <w:p>
            <w:pPr>
              <w:pStyle w:val="Compact"/>
              <w:jc w:val="left"/>
            </w:pPr>
            <w:r>
              <w:t xml:space="preserve">Güvenli elektronik imza ve e-posta</w:t>
            </w:r>
          </w:p>
        </w:tc>
        <w:tc>
          <w:tcPr/>
          <w:p>
            <w:pPr>
              <w:pStyle w:val="Compact"/>
              <w:jc w:val="left"/>
            </w:pPr>
            <w:r>
              <w:t xml:space="preserve">İlgili Kişi Başvuru Formu güvenli elektronik imzayla imzalanarak e-postayla gönderilir.</w:t>
            </w:r>
          </w:p>
        </w:tc>
        <w:tc>
          <w:tcPr/>
          <w:p>
            <w:pPr>
              <w:pStyle w:val="Compact"/>
              <w:jc w:val="left"/>
            </w:pPr>
            <w:r>
              <w:t xml:space="preserve">REM Mimarlık Dekorasyon Restorasyon Proje Ve Taahhüt Hizmetleri Ltd. Şti., kvkk@spdo.com.tr</w:t>
            </w:r>
          </w:p>
        </w:tc>
        <w:tc>
          <w:tcPr/>
          <w:p>
            <w:pPr>
              <w:pStyle w:val="Compact"/>
              <w:jc w:val="left"/>
            </w:pPr>
            <w:r>
              <w:t xml:space="preserve">E-postanın konu satırına "Kişisel Verilerin Korunması Kanunu kapsamında bilgi talebi" yazılması rica olunur.</w:t>
            </w:r>
          </w:p>
        </w:tc>
      </w:tr>
    </w:tbl>
    <w:bookmarkEnd w:id="29"/>
    <w:bookmarkStart w:id="30" w:name="yanıt-süresi-ve-ücret"/>
    <w:p>
      <w:pPr>
        <w:pStyle w:val="Heading3"/>
      </w:pPr>
      <w:r>
        <w:t xml:space="preserve">Yanıt süresi ve ücret</w:t>
      </w:r>
    </w:p>
    <w:p>
      <w:pPr>
        <w:pStyle w:val="FirstParagraph"/>
      </w:pPr>
      <w:r>
        <w:t xml:space="preserve">Başvurunuz KVKK m.13 uyarınca Şirketimize ulaştığı tarihten itibaren en kısa sürede ve en geç 30 (otuz) gün içinde sonuçlandırılır ve size bilgi verilir. Başvurular kural olarak ücretsizdir; ancak işlemin ayrıca bir maliyet gerektirmesi halinde Şirketimiz Kurul'un belirlediği tarifeye göre ücret talep etme hakkını saklı tutar.</w:t>
      </w:r>
    </w:p>
    <w:p>
      <w:pPr>
        <w:pStyle w:val="BodyText"/>
      </w:pPr>
      <w:r>
        <w:t xml:space="preserve">Saygılarımızla,</w:t>
      </w:r>
      <w:r>
        <w:t xml:space="preserve"> </w:t>
      </w:r>
      <w:r>
        <w:t xml:space="preserve">REM MİMARLIK DEKORASYON RESTORASYON PROJE VE TAAHHÜT HİZMETLERİ LTD. ŞTİ.</w:t>
      </w:r>
    </w:p>
    <w:p>
      <w:pPr>
        <w:pStyle w:val="BodyText"/>
      </w:pPr>
      <w:r>
        <w:t xml:space="preserve">Yürürlük tarihi: [gg.aa.yyyy] · Onaylayan: Sabri Paşayiğit, Kurucu Ortak / Genel Müdür</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Sitesi Gizlilik ve Veri Politikası</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