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Privacy</w:t>
      </w:r>
      <w:r>
        <w:t xml:space="preserve"> </w:t>
      </w:r>
      <w:r>
        <w:t xml:space="preserve">Notice</w:t>
      </w:r>
      <w:r>
        <w:t xml:space="preserve"> </w:t>
      </w:r>
      <w:r>
        <w:t xml:space="preserve">(Website)</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p>
      <w:pPr>
        <w:pStyle w:val="FirstParagraph"/>
      </w:pPr>
      <w:r>
        <w:t xml:space="preserve">Under the Personal Data Protection Law No. 6698 (Kişisel Verilerin Korunması Kanunu, "KVKK"), personal data means any information relating to an identified or identifiable natural person. This notice explains how your personal data is processed by the data controller, REM Mimarlık Dekorasyon Restorasyon Proje ve Taahhüt Hizmetleri Ltd. Şti. ("SP Architects" or the "Company"). As a UN Global Compact participant, SP Architects is committed to respecting the right to privacy in Article 12 of the Universal Declaration of Human Rights, under Principle 1 and Policy 10 — Data Protection and Information Security.</w:t>
      </w:r>
    </w:p>
    <w:p>
      <w:pPr>
        <w:pStyle w:val="BodyText"/>
      </w:pPr>
      <w:r>
        <w:t xml:space="preserve">Data concerning race, ethnic origin, political opinion, philosophical belief, religion, sect or other beliefs, appearance and dress, membership of associations, foundations or trade unions, health, sex life, criminal convictions and security measures, as well as biometric and genetic data, are special categories of personal data. In this notice, "personal data" includes special categories of personal data where relevant.</w:t>
      </w:r>
    </w:p>
    <w:bookmarkStart w:id="20" w:name="Xef6fd5b8f4c567e79444956e24cc0710cbee204"/>
    <w:p>
      <w:pPr>
        <w:pStyle w:val="Heading3"/>
      </w:pPr>
      <w:r>
        <w:t xml:space="preserve">1. How we collect personal data and on what legal grounds</w:t>
      </w:r>
    </w:p>
    <w:p>
      <w:pPr>
        <w:pStyle w:val="FirstParagraph"/>
      </w:pPr>
      <w:r>
        <w:t xml:space="preserve">We collect your personal data through various channels in order to run our business, relying on the following legal grounds:</w:t>
      </w:r>
    </w:p>
    <w:p>
      <w:pPr>
        <w:numPr>
          <w:ilvl w:val="0"/>
          <w:numId w:val="1001"/>
        </w:numPr>
        <w:pStyle w:val="Compact"/>
      </w:pPr>
      <w:r>
        <w:t xml:space="preserve">obligations arising from legislation;</w:t>
      </w:r>
    </w:p>
    <w:p>
      <w:pPr>
        <w:numPr>
          <w:ilvl w:val="0"/>
          <w:numId w:val="1001"/>
        </w:numPr>
        <w:pStyle w:val="Compact"/>
      </w:pPr>
      <w:r>
        <w:t xml:space="preserve">the Company's legitimate interests;</w:t>
      </w:r>
    </w:p>
    <w:p>
      <w:pPr>
        <w:numPr>
          <w:ilvl w:val="0"/>
          <w:numId w:val="1001"/>
        </w:numPr>
        <w:pStyle w:val="Compact"/>
      </w:pPr>
      <w:r>
        <w:t xml:space="preserve">ensuring compliance with Company policies;</w:t>
      </w:r>
    </w:p>
    <w:p>
      <w:pPr>
        <w:numPr>
          <w:ilvl w:val="0"/>
          <w:numId w:val="1001"/>
        </w:numPr>
        <w:pStyle w:val="Compact"/>
      </w:pPr>
      <w:r>
        <w:t xml:space="preserve">the conclusion and performance of a contract.</w:t>
      </w:r>
    </w:p>
    <w:p>
      <w:pPr>
        <w:pStyle w:val="FirstParagraph"/>
      </w:pPr>
      <w:r>
        <w:t xml:space="preserve">Your personal data may be processed and transferred in line with the general principles of the KVKK, under the processing conditions in Articles 5 and 6 KVKK, and for the purposes set out in this notice.</w:t>
      </w:r>
    </w:p>
    <w:bookmarkEnd w:id="20"/>
    <w:bookmarkStart w:id="21" w:name="purposes-of-processing"/>
    <w:p>
      <w:pPr>
        <w:pStyle w:val="Heading3"/>
      </w:pPr>
      <w:r>
        <w:t xml:space="preserve">2. Purposes of processing</w:t>
      </w:r>
    </w:p>
    <w:p>
      <w:pPr>
        <w:pStyle w:val="FirstParagraph"/>
      </w:pPr>
      <w:r>
        <w:t xml:space="preserve">Within the processing conditions of Articles 5 and 6 KVKK, your personal data may be processed to:</w:t>
      </w:r>
    </w:p>
    <w:p>
      <w:pPr>
        <w:numPr>
          <w:ilvl w:val="0"/>
          <w:numId w:val="1002"/>
        </w:numPr>
        <w:pStyle w:val="Compact"/>
      </w:pPr>
      <w:r>
        <w:t xml:space="preserve">enable our business units to carry out the work needed to conduct SP Architects' commercial activities in line with legislation and Company policies;</w:t>
      </w:r>
    </w:p>
    <w:p>
      <w:pPr>
        <w:numPr>
          <w:ilvl w:val="0"/>
          <w:numId w:val="1002"/>
        </w:numPr>
        <w:pStyle w:val="Compact"/>
      </w:pPr>
      <w:r>
        <w:t xml:space="preserve">set, plan and implement SP Architects' short, medium and long-term business strategy;</w:t>
      </w:r>
    </w:p>
    <w:p>
      <w:pPr>
        <w:numPr>
          <w:ilvl w:val="0"/>
          <w:numId w:val="1002"/>
        </w:numPr>
        <w:pStyle w:val="Compact"/>
      </w:pPr>
      <w:r>
        <w:t xml:space="preserve">plan and run SP Architects' human resources activities;</w:t>
      </w:r>
    </w:p>
    <w:p>
      <w:pPr>
        <w:numPr>
          <w:ilvl w:val="0"/>
          <w:numId w:val="1002"/>
        </w:numPr>
        <w:pStyle w:val="Compact"/>
      </w:pPr>
      <w:r>
        <w:t xml:space="preserve">ensure the commercial and legal security of SP Architects and of the individuals it does business with;</w:t>
      </w:r>
    </w:p>
    <w:p>
      <w:pPr>
        <w:numPr>
          <w:ilvl w:val="0"/>
          <w:numId w:val="1002"/>
        </w:numPr>
        <w:pStyle w:val="Compact"/>
      </w:pPr>
      <w:r>
        <w:t xml:space="preserve">protect the trust and commercial reputation SP Architects has built in the sector and in society.</w:t>
      </w:r>
    </w:p>
    <w:bookmarkEnd w:id="21"/>
    <w:bookmarkStart w:id="22" w:name="transfers-of-personal-data"/>
    <w:p>
      <w:pPr>
        <w:pStyle w:val="Heading3"/>
      </w:pPr>
      <w:r>
        <w:t xml:space="preserve">3. Transfers of personal data</w:t>
      </w:r>
    </w:p>
    <w:p>
      <w:pPr>
        <w:pStyle w:val="FirstParagraph"/>
      </w:pPr>
      <w:r>
        <w:t xml:space="preserve">In line with legislation, Company policies and the general principles of the KVKK, and within the data transfer conditions in Articles 8 and 9 KVKK, your personal data may be shared, for the purposes listed in Section 2, with:</w:t>
      </w:r>
    </w:p>
    <w:p>
      <w:pPr>
        <w:numPr>
          <w:ilvl w:val="0"/>
          <w:numId w:val="1003"/>
        </w:numPr>
        <w:pStyle w:val="Compact"/>
      </w:pPr>
      <w:r>
        <w:t xml:space="preserve">our affiliates, shareholders and business partners;</w:t>
      </w:r>
    </w:p>
    <w:p>
      <w:pPr>
        <w:numPr>
          <w:ilvl w:val="0"/>
          <w:numId w:val="1003"/>
        </w:numPr>
        <w:pStyle w:val="Compact"/>
      </w:pPr>
      <w:r>
        <w:t xml:space="preserve">our external service providers, suppliers and manufacturers;</w:t>
      </w:r>
    </w:p>
    <w:p>
      <w:pPr>
        <w:numPr>
          <w:ilvl w:val="0"/>
          <w:numId w:val="1003"/>
        </w:numPr>
        <w:pStyle w:val="Compact"/>
      </w:pPr>
      <w:r>
        <w:t xml:space="preserve">our clients and advisers;</w:t>
      </w:r>
    </w:p>
    <w:p>
      <w:pPr>
        <w:numPr>
          <w:ilvl w:val="0"/>
          <w:numId w:val="1003"/>
        </w:numPr>
        <w:pStyle w:val="Compact"/>
      </w:pPr>
      <w:r>
        <w:t xml:space="preserve">public authorities with legal powers to request it, and private persons who can document their entitlement to request it.</w:t>
      </w:r>
    </w:p>
    <w:p>
      <w:pPr>
        <w:pStyle w:val="FirstParagraph"/>
      </w:pPr>
      <w:r>
        <w:t xml:space="preserve">More detail on how we process, share and secure personal data is available in the "REM MİMARLIK DEKORASYON RESTORASYON PROJE VE TAAHHÜT HİZMETLERİ LTD. ŞTİ. GİZLİLİK VE VERİ POLİTİKASI" (Privacy and Data Policy) at www.spdo.com.tr.</w:t>
      </w:r>
    </w:p>
    <w:bookmarkEnd w:id="22"/>
    <w:bookmarkStart w:id="23" w:name="your-rights-under-article-11-kvkk"/>
    <w:p>
      <w:pPr>
        <w:pStyle w:val="Heading3"/>
      </w:pPr>
      <w:r>
        <w:t xml:space="preserve">4. Your rights under Article 11 KVKK</w:t>
      </w:r>
    </w:p>
    <w:p>
      <w:pPr>
        <w:pStyle w:val="FirstParagraph"/>
      </w:pPr>
      <w:r>
        <w:t xml:space="preserve">As a data subject, you have the right to:</w:t>
      </w:r>
    </w:p>
    <w:p>
      <w:pPr>
        <w:numPr>
          <w:ilvl w:val="0"/>
          <w:numId w:val="1004"/>
        </w:numPr>
        <w:pStyle w:val="Compact"/>
      </w:pPr>
      <w:r>
        <w:t xml:space="preserve">learn whether your personal data is processed;</w:t>
      </w:r>
    </w:p>
    <w:p>
      <w:pPr>
        <w:numPr>
          <w:ilvl w:val="0"/>
          <w:numId w:val="1004"/>
        </w:numPr>
        <w:pStyle w:val="Compact"/>
      </w:pPr>
      <w:r>
        <w:t xml:space="preserve">request information about the processing if it is;</w:t>
      </w:r>
    </w:p>
    <w:p>
      <w:pPr>
        <w:numPr>
          <w:ilvl w:val="0"/>
          <w:numId w:val="1004"/>
        </w:numPr>
        <w:pStyle w:val="Compact"/>
      </w:pPr>
      <w:r>
        <w:t xml:space="preserve">learn the purpose of processing and whether the data is used accordingly;</w:t>
      </w:r>
    </w:p>
    <w:p>
      <w:pPr>
        <w:numPr>
          <w:ilvl w:val="0"/>
          <w:numId w:val="1004"/>
        </w:numPr>
        <w:pStyle w:val="Compact"/>
      </w:pPr>
      <w:r>
        <w:t xml:space="preserve">know the third parties in Türkiye or abroad to whom your data is transferred;</w:t>
      </w:r>
    </w:p>
    <w:p>
      <w:pPr>
        <w:numPr>
          <w:ilvl w:val="0"/>
          <w:numId w:val="1004"/>
        </w:numPr>
        <w:pStyle w:val="Compact"/>
      </w:pPr>
      <w:r>
        <w:t xml:space="preserve">request correction of incomplete or inaccurate data, and notification of the correction to those third parties;</w:t>
      </w:r>
    </w:p>
    <w:p>
      <w:pPr>
        <w:numPr>
          <w:ilvl w:val="0"/>
          <w:numId w:val="1004"/>
        </w:numPr>
        <w:pStyle w:val="Compact"/>
      </w:pPr>
      <w:r>
        <w:t xml:space="preserve">request erasure or destruction of your data where the reasons for processing no longer exist, even if it was processed lawfully, and notification of this to those third parties;</w:t>
      </w:r>
    </w:p>
    <w:p>
      <w:pPr>
        <w:numPr>
          <w:ilvl w:val="0"/>
          <w:numId w:val="1004"/>
        </w:numPr>
        <w:pStyle w:val="Compact"/>
      </w:pPr>
      <w:r>
        <w:t xml:space="preserve">object to an outcome against you that results solely from automated analysis of your data;</w:t>
      </w:r>
    </w:p>
    <w:p>
      <w:pPr>
        <w:numPr>
          <w:ilvl w:val="0"/>
          <w:numId w:val="1004"/>
        </w:numPr>
        <w:pStyle w:val="Compact"/>
      </w:pPr>
      <w:r>
        <w:t xml:space="preserve">claim compensation for damage caused by unlawful processing.</w:t>
      </w:r>
    </w:p>
    <w:bookmarkEnd w:id="23"/>
    <w:bookmarkStart w:id="24" w:name="how-to-apply-response-time-and-fees"/>
    <w:p>
      <w:pPr>
        <w:pStyle w:val="Heading3"/>
      </w:pPr>
      <w:r>
        <w:t xml:space="preserve">5. How to apply, response time and fees</w:t>
      </w:r>
    </w:p>
    <w:p>
      <w:pPr>
        <w:pStyle w:val="FirstParagraph"/>
      </w:pPr>
      <w:r>
        <w:t xml:space="preserve">You may submit requests about the rights in Section 4 in writing with a wet signature, together with proof of identity, or by any other method set by the Personal Data Protection Board. For a written application, print and complete the Data Subject Application Form at www.spdo.com.tr, sign it by hand, and (i) deliver it in person or (ii) send it through a notary to Ayazağa Mah. Azerbaycan Cad. Vadistanbul 2B Ofis, No:3K Kat:6 34485 Sarıyer/İstanbul, or (iii) sign it with a secure electronic signature and e-mail it to kvkk@spdo.com.tr.</w:t>
      </w:r>
    </w:p>
    <w:p>
      <w:pPr>
        <w:pStyle w:val="BodyText"/>
      </w:pPr>
      <w:r>
        <w:t xml:space="preserve">Your request will be concluded as soon as possible and in any event within 30 (thirty) days of its receipt, and you will be informed of the outcome. Applications are free of charge as a rule; however, if the request involves an additional cost, the Company reserves the right to charge the fee set in the Personal Data Protection Board's tariff.</w:t>
      </w:r>
    </w:p>
    <w:p>
      <w:pPr>
        <w:pStyle w:val="BodyText"/>
      </w:pPr>
      <w:r>
        <w:t xml:space="preserve">This English version is provided for convenience; in case of any discrepancy, the Turkish version prevails.</w:t>
      </w:r>
    </w:p>
    <w:p>
      <w:pPr>
        <w:pStyle w:val="BodyText"/>
      </w:pPr>
      <w:r>
        <w:t xml:space="preserve">Yours faithfully,</w:t>
      </w:r>
      <w:r>
        <w:t xml:space="preserve"> </w:t>
      </w:r>
      <w:r>
        <w:t xml:space="preserve">REM MİMARLIK DEKORASYON RESTORASYON PROJE VE TAAHHÜT HİZMETLERİ LTD. ŞTİ.</w:t>
      </w:r>
    </w:p>
    <w:p>
      <w:pPr>
        <w:pStyle w:val="BodyText"/>
      </w:pPr>
      <w:r>
        <w:t xml:space="preserve">Effective date: [dd.mm.yyyy] · Approved by: Sabri Paşayiğit, Founding Partner / General Manager</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Privacy Notice (Website)</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