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w:t>
      </w:r>
      <w:r>
        <w:t xml:space="preserve"> </w:t>
      </w:r>
      <w:r>
        <w:t xml:space="preserve">Sitesi</w:t>
      </w:r>
      <w:r>
        <w:t xml:space="preserve"> </w:t>
      </w:r>
      <w:r>
        <w:t xml:space="preserve">Aydınlatma</w:t>
      </w:r>
      <w:r>
        <w:t xml:space="preserve"> </w:t>
      </w:r>
      <w:r>
        <w:t xml:space="preserve">Metni</w:t>
      </w:r>
    </w:p>
    <w:p>
      <w:pPr>
        <w:pStyle w:val="Subtitle"/>
      </w:pPr>
      <w:r>
        <w:t xml:space="preserve">SP</w:t>
      </w:r>
      <w:r>
        <w:t xml:space="preserve"> </w:t>
      </w:r>
      <w:r>
        <w:t xml:space="preserve">Architects</w:t>
      </w:r>
      <w:r>
        <w:t xml:space="preserve"> </w:t>
      </w:r>
      <w:r>
        <w:t xml:space="preserve">·</w:t>
      </w:r>
      <w:r>
        <w:t xml:space="preserve"> </w:t>
      </w:r>
      <w:r>
        <w:t xml:space="preserve">REM</w:t>
      </w:r>
      <w:r>
        <w:t xml:space="preserve"> </w:t>
      </w:r>
      <w:r>
        <w:t xml:space="preserve">Mimarlık</w:t>
      </w:r>
      <w:r>
        <w:t xml:space="preserve"> </w:t>
      </w:r>
      <w:r>
        <w:t xml:space="preserve">Dekorasyon</w:t>
      </w:r>
      <w:r>
        <w:t xml:space="preserve"> </w:t>
      </w:r>
      <w:r>
        <w:t xml:space="preserve">Restorasyon</w:t>
      </w:r>
      <w:r>
        <w:t xml:space="preserve"> </w:t>
      </w:r>
      <w:r>
        <w:t xml:space="preserve">Proje</w:t>
      </w:r>
      <w:r>
        <w:t xml:space="preserve"> </w:t>
      </w:r>
      <w:r>
        <w:t xml:space="preserve">ve</w:t>
      </w:r>
      <w:r>
        <w:t xml:space="preserve"> </w:t>
      </w:r>
      <w:r>
        <w:t xml:space="preserve">Taahhüt</w:t>
      </w:r>
      <w:r>
        <w:t xml:space="preserve"> </w:t>
      </w:r>
      <w:r>
        <w:t xml:space="preserve">Hizmetleri</w:t>
      </w:r>
      <w:r>
        <w:t xml:space="preserve"> </w:t>
      </w:r>
      <w:r>
        <w:t xml:space="preserve">Ltd.</w:t>
      </w:r>
      <w:r>
        <w:t xml:space="preserve"> </w:t>
      </w:r>
      <w:r>
        <w:t xml:space="preserve">Şti.</w:t>
      </w:r>
      <w:r>
        <w:t xml:space="preserve"> </w:t>
      </w:r>
      <w:r>
        <w:t xml:space="preserve">·</w:t>
      </w:r>
      <w:r>
        <w:t xml:space="preserve"> </w:t>
      </w:r>
      <w:r>
        <w:t xml:space="preserve">Taslak</w:t>
      </w:r>
      <w:r>
        <w:t xml:space="preserve"> </w:t>
      </w:r>
      <w:r>
        <w:t xml:space="preserve">1.0</w:t>
      </w:r>
      <w:r>
        <w:t xml:space="preserve"> </w:t>
      </w:r>
      <w:r>
        <w:t xml:space="preserve">·</w:t>
      </w:r>
      <w:r>
        <w:t xml:space="preserve"> </w:t>
      </w:r>
      <w:r>
        <w:t xml:space="preserve">Ekim</w:t>
      </w:r>
      <w:r>
        <w:t xml:space="preserve"> </w:t>
      </w:r>
      <w:r>
        <w:t xml:space="preserve">2026</w:t>
      </w:r>
    </w:p>
    <w:p>
      <w:pPr>
        <w:pStyle w:val="FirstParagraph"/>
      </w:pPr>
      <w:r>
        <w:t xml:space="preserve">6698 sayılı Kişisel Verilerin Korunması Kanunu ("KVKK") uyarınca, kimliği belirli ya da belirlenebilir bir gerçek kişiye ilişkin her türlü bilgi kişisel veridir. Bu metin, kişisel verilerinizin veri sorumlusu REM Mimarlık Dekorasyon Restorasyon Proje ve Taahhüt Hizmetleri Ltd. Şti. ("SP Architects" veya "Şirket") tarafından hangi kapsamda işlendiğini açıklar. SP Architects, BM Küresel İlkeler Sözleşmesi katılımcısı olarak İnsan Hakları Evrensel Beyannamesi'nin 12. maddesindeki özel hayatın gizliliği hakkına saygıyı İlke 1 ve Politika 10 — Kişisel Verilerin Korunması ve Bilgi Güvenliği kapsamında taahhüt eder.</w:t>
      </w:r>
    </w:p>
    <w:p>
      <w:pPr>
        <w:pStyle w:val="BodyText"/>
      </w:pPr>
      <w:r>
        <w:t xml:space="preserve">Irk, etnik köken, siyasi düşünce, felsefi inanç, din, mezhep veya diğer inançlar, kılık ve kıyafet, dernek, vakıf ya da sendika üyeliği, sağlık, cinsel hayat, ceza mahkûmiyeti ve güvenlik tedbirleriyle ilgili veriler ile biyometrik ve genetik veriler özel nitelikli kişisel veridir. Bu metinde "kişisel veri" ifadesi, uygun düştüğü ölçüde özel nitelikli kişisel verileri de kapsar.</w:t>
      </w:r>
    </w:p>
    <w:bookmarkStart w:id="20" w:name="Xd24a22191d7181e449bf9c8deb5354532ad9e4f"/>
    <w:p>
      <w:pPr>
        <w:pStyle w:val="Heading3"/>
      </w:pPr>
      <w:r>
        <w:t xml:space="preserve">1. Kişisel verilerin toplanma yöntemi ve hukuki sebepleri</w:t>
      </w:r>
    </w:p>
    <w:p>
      <w:pPr>
        <w:pStyle w:val="FirstParagraph"/>
      </w:pPr>
      <w:r>
        <w:t xml:space="preserve">Kişisel verileriniz, faaliyetlerimizi yürütmek amacıyla Şirketimiz tarafından farklı kanallarla ve şu hukuki sebeplere dayanılarak toplanır:</w:t>
      </w:r>
    </w:p>
    <w:p>
      <w:pPr>
        <w:numPr>
          <w:ilvl w:val="0"/>
          <w:numId w:val="1001"/>
        </w:numPr>
        <w:pStyle w:val="Compact"/>
      </w:pPr>
      <w:r>
        <w:t xml:space="preserve">yasal mevzuattan doğan yükümlülükler,</w:t>
      </w:r>
    </w:p>
    <w:p>
      <w:pPr>
        <w:numPr>
          <w:ilvl w:val="0"/>
          <w:numId w:val="1001"/>
        </w:numPr>
        <w:pStyle w:val="Compact"/>
      </w:pPr>
      <w:r>
        <w:t xml:space="preserve">Şirketimizin meşru menfaatleri,</w:t>
      </w:r>
    </w:p>
    <w:p>
      <w:pPr>
        <w:numPr>
          <w:ilvl w:val="0"/>
          <w:numId w:val="1001"/>
        </w:numPr>
        <w:pStyle w:val="Compact"/>
      </w:pPr>
      <w:r>
        <w:t xml:space="preserve">Şirket politikalarına uyumun sağlanması,</w:t>
      </w:r>
    </w:p>
    <w:p>
      <w:pPr>
        <w:numPr>
          <w:ilvl w:val="0"/>
          <w:numId w:val="1001"/>
        </w:numPr>
        <w:pStyle w:val="Compact"/>
      </w:pPr>
      <w:r>
        <w:t xml:space="preserve">sözleşmenin kurulması ve ifası.</w:t>
      </w:r>
    </w:p>
    <w:p>
      <w:pPr>
        <w:pStyle w:val="FirstParagraph"/>
      </w:pPr>
      <w:r>
        <w:t xml:space="preserve">Kişisel verileriniz, KVKK'nın temel ilkelerine uygun olarak, KVKK m.5 ve m.6'da belirtilen kişisel veri işleme şartları kapsamında ve bu metinde belirtilen amaçlarla işlenebilir ve aktarılabilir.</w:t>
      </w:r>
    </w:p>
    <w:bookmarkEnd w:id="20"/>
    <w:bookmarkStart w:id="21" w:name="kişisel-verilerin-işlenme-amaçları"/>
    <w:p>
      <w:pPr>
        <w:pStyle w:val="Heading3"/>
      </w:pPr>
      <w:r>
        <w:t xml:space="preserve">2. Kişisel verilerin işlenme amaçları</w:t>
      </w:r>
    </w:p>
    <w:p>
      <w:pPr>
        <w:pStyle w:val="FirstParagraph"/>
      </w:pPr>
      <w:r>
        <w:t xml:space="preserve">Kişisel verileriniz, KVKK m.5 ve m.6'daki işleme şartları dahilinde şu amaçlarla işlenebilir:</w:t>
      </w:r>
    </w:p>
    <w:p>
      <w:pPr>
        <w:numPr>
          <w:ilvl w:val="0"/>
          <w:numId w:val="1002"/>
        </w:numPr>
        <w:pStyle w:val="Compact"/>
      </w:pPr>
      <w:r>
        <w:t xml:space="preserve">SP Architects'in ticari faaliyetlerinin mevzuata ve Şirket politikalarına uygun yürütülmesi için iş birimlerimizin gerekli çalışmaları yapması,</w:t>
      </w:r>
    </w:p>
    <w:p>
      <w:pPr>
        <w:numPr>
          <w:ilvl w:val="0"/>
          <w:numId w:val="1002"/>
        </w:numPr>
        <w:pStyle w:val="Compact"/>
      </w:pPr>
      <w:r>
        <w:t xml:space="preserve">SP Architects'in kısa, orta ve uzun vadeli ticari politikalarının belirlenmesi, planlanması ve uygulanması,</w:t>
      </w:r>
    </w:p>
    <w:p>
      <w:pPr>
        <w:numPr>
          <w:ilvl w:val="0"/>
          <w:numId w:val="1002"/>
        </w:numPr>
        <w:pStyle w:val="Compact"/>
      </w:pPr>
      <w:r>
        <w:t xml:space="preserve">SP Architects'in insan kaynakları faaliyetlerinin planlanması ve yürütülmesi,</w:t>
      </w:r>
    </w:p>
    <w:p>
      <w:pPr>
        <w:numPr>
          <w:ilvl w:val="0"/>
          <w:numId w:val="1002"/>
        </w:numPr>
        <w:pStyle w:val="Compact"/>
      </w:pPr>
      <w:r>
        <w:t xml:space="preserve">SP Architects'in ve iş ilişkisi içinde olunan gerçek kişilerin ticari ve hukuki güvenliğinin sağlanması,</w:t>
      </w:r>
    </w:p>
    <w:p>
      <w:pPr>
        <w:numPr>
          <w:ilvl w:val="0"/>
          <w:numId w:val="1002"/>
        </w:numPr>
        <w:pStyle w:val="Compact"/>
      </w:pPr>
      <w:r>
        <w:t xml:space="preserve">SP Architects'in sektörde ve toplum nezdinde oluşturduğu güvenin ve ticari itibarının korunması.</w:t>
      </w:r>
    </w:p>
    <w:bookmarkEnd w:id="21"/>
    <w:bookmarkStart w:id="22" w:name="kişisel-verilerin-aktarılması"/>
    <w:p>
      <w:pPr>
        <w:pStyle w:val="Heading3"/>
      </w:pPr>
      <w:r>
        <w:t xml:space="preserve">3. Kişisel verilerin aktarılması</w:t>
      </w:r>
    </w:p>
    <w:p>
      <w:pPr>
        <w:pStyle w:val="FirstParagraph"/>
      </w:pPr>
      <w:r>
        <w:t xml:space="preserve">Kişisel verileriniz, mevzuata, Şirket politikalarına ve KVKK'nın temel ilkelerine uygun olarak ve KVKK m.8 ve m.9'da belirtilen kişisel veri aktarma şartları dahilinde, Bölüm 2'de sayılan amaçlarla şu alıcılarla paylaşılabilir:</w:t>
      </w:r>
    </w:p>
    <w:p>
      <w:pPr>
        <w:numPr>
          <w:ilvl w:val="0"/>
          <w:numId w:val="1003"/>
        </w:numPr>
        <w:pStyle w:val="Compact"/>
      </w:pPr>
      <w:r>
        <w:t xml:space="preserve">iştiraklerimiz, hissedarlarımız ve iş ortaklarımız,</w:t>
      </w:r>
    </w:p>
    <w:p>
      <w:pPr>
        <w:numPr>
          <w:ilvl w:val="0"/>
          <w:numId w:val="1003"/>
        </w:numPr>
        <w:pStyle w:val="Compact"/>
      </w:pPr>
      <w:r>
        <w:t xml:space="preserve">dış hizmet sağlayıcılarımız, tedarikçilerimiz ve imalatçılarımız,</w:t>
      </w:r>
    </w:p>
    <w:p>
      <w:pPr>
        <w:numPr>
          <w:ilvl w:val="0"/>
          <w:numId w:val="1003"/>
        </w:numPr>
        <w:pStyle w:val="Compact"/>
      </w:pPr>
      <w:r>
        <w:t xml:space="preserve">müşterilerimiz ve danışmanlarımız,</w:t>
      </w:r>
    </w:p>
    <w:p>
      <w:pPr>
        <w:numPr>
          <w:ilvl w:val="0"/>
          <w:numId w:val="1003"/>
        </w:numPr>
        <w:pStyle w:val="Compact"/>
      </w:pPr>
      <w:r>
        <w:t xml:space="preserve">kanunen yetkili kamu kurum ve kuruluşları ile talep yetkisini belgeleyen özel hukuk kişileri.</w:t>
      </w:r>
    </w:p>
    <w:p>
      <w:pPr>
        <w:pStyle w:val="FirstParagraph"/>
      </w:pPr>
      <w:r>
        <w:t xml:space="preserve">Kişisel verilerinizin işlenme amaçları, paylaşılması ve güvenliği hakkında ayrıntılı bilgiye www.spdo.com.tr adresindeki "REM MİMARLIK DEKORASYON RESTORASYON PROJE VE TAAHHÜT HİZMETLERİ LTD. ŞTİ. GİZLİLİK VE VERİ POLİTİKASI"ndan ulaşabilirsiniz.</w:t>
      </w:r>
    </w:p>
    <w:bookmarkEnd w:id="22"/>
    <w:bookmarkStart w:id="23" w:name="kvkk-m.11-kapsamındaki-haklarınız"/>
    <w:p>
      <w:pPr>
        <w:pStyle w:val="Heading3"/>
      </w:pPr>
      <w:r>
        <w:t xml:space="preserve">4. KVKK m.11 kapsamındaki haklarınız</w:t>
      </w:r>
    </w:p>
    <w:p>
      <w:pPr>
        <w:pStyle w:val="FirstParagraph"/>
      </w:pPr>
      <w:r>
        <w:t xml:space="preserve">Kişisel verisi işlenen gerçek kişi olarak şu haklara sahipsiniz:</w:t>
      </w:r>
    </w:p>
    <w:p>
      <w:pPr>
        <w:numPr>
          <w:ilvl w:val="0"/>
          <w:numId w:val="1004"/>
        </w:numPr>
        <w:pStyle w:val="Compact"/>
      </w:pPr>
      <w:r>
        <w:t xml:space="preserve">Kişisel verilerinizin işlenip işlenmediğini öğrenme,</w:t>
      </w:r>
    </w:p>
    <w:p>
      <w:pPr>
        <w:numPr>
          <w:ilvl w:val="0"/>
          <w:numId w:val="1004"/>
        </w:numPr>
        <w:pStyle w:val="Compact"/>
      </w:pPr>
      <w:r>
        <w:t xml:space="preserve">İşlenmişse buna ilişkin bilgi talep etme,</w:t>
      </w:r>
    </w:p>
    <w:p>
      <w:pPr>
        <w:numPr>
          <w:ilvl w:val="0"/>
          <w:numId w:val="1004"/>
        </w:numPr>
        <w:pStyle w:val="Compact"/>
      </w:pPr>
      <w:r>
        <w:t xml:space="preserve">İşlenme amacını ve amacına uygun kullanılıp kullanılmadığını öğrenme,</w:t>
      </w:r>
    </w:p>
    <w:p>
      <w:pPr>
        <w:numPr>
          <w:ilvl w:val="0"/>
          <w:numId w:val="1004"/>
        </w:numPr>
        <w:pStyle w:val="Compact"/>
      </w:pPr>
      <w:r>
        <w:t xml:space="preserve">Yurt içinde veya yurt dışında kişisel verilerinizin aktarıldığı üçüncü kişileri bilme,</w:t>
      </w:r>
    </w:p>
    <w:p>
      <w:pPr>
        <w:numPr>
          <w:ilvl w:val="0"/>
          <w:numId w:val="1004"/>
        </w:numPr>
        <w:pStyle w:val="Compact"/>
      </w:pPr>
      <w:r>
        <w:t xml:space="preserve">Eksik veya yanlış işlenmişse düzeltilmesini isteme ve bu işlemin aktarıldığı üçüncü kişilere bildirilmesini isteme,</w:t>
      </w:r>
    </w:p>
    <w:p>
      <w:pPr>
        <w:numPr>
          <w:ilvl w:val="0"/>
          <w:numId w:val="1004"/>
        </w:numPr>
        <w:pStyle w:val="Compact"/>
      </w:pPr>
      <w:r>
        <w:t xml:space="preserve">KVKK ve ilgili diğer kanunlara uygun işlenmiş olsa da işlenmesini gerektiren sebepler ortadan kalkmışsa silinmesini veya yok edilmesini isteme ve bu işlemin aktarıldığı üçüncü kişilere bildirilmesini isteme,</w:t>
      </w:r>
    </w:p>
    <w:p>
      <w:pPr>
        <w:numPr>
          <w:ilvl w:val="0"/>
          <w:numId w:val="1004"/>
        </w:numPr>
        <w:pStyle w:val="Compact"/>
      </w:pPr>
      <w:r>
        <w:t xml:space="preserve">İşlenen verilerin münhasıran otomatik sistemlerle analiz edilmesi sonucu aleyhinize bir sonuç çıkmasına itiraz etme,</w:t>
      </w:r>
    </w:p>
    <w:p>
      <w:pPr>
        <w:numPr>
          <w:ilvl w:val="0"/>
          <w:numId w:val="1004"/>
        </w:numPr>
        <w:pStyle w:val="Compact"/>
      </w:pPr>
      <w:r>
        <w:t xml:space="preserve">Kanuna aykırı işleme nedeniyle zarara uğramanız halinde zararın giderilmesini talep etme.</w:t>
      </w:r>
    </w:p>
    <w:bookmarkEnd w:id="23"/>
    <w:bookmarkStart w:id="24" w:name="başvuru-yöntemi-yanıt-süresi-ve-ücret"/>
    <w:p>
      <w:pPr>
        <w:pStyle w:val="Heading3"/>
      </w:pPr>
      <w:r>
        <w:t xml:space="preserve">5. Başvuru yöntemi, yanıt süresi ve ücret</w:t>
      </w:r>
    </w:p>
    <w:p>
      <w:pPr>
        <w:pStyle w:val="FirstParagraph"/>
      </w:pPr>
      <w:r>
        <w:t xml:space="preserve">Bölüm 4'teki haklarınıza ilişkin taleplerinizi kimliğinizi kanıtlayan belgelerle birlikte, yazılı ve ıslak imzalı olarak veya Kişisel Verileri Koruma Kurulu'nun belirlediği diğer yöntemlerle iletebilirsiniz. Yazılı başvuru için www.spdo.com.tr adresindeki İlgili Kişi Başvuru Formu'nu doldurup ıslak imzayla imzalayarak (i) şahsen veya (ii) noter aracılığıyla Ayazağa Mah. Azerbaycan Cad. Vadistanbul 2B Ofis, No:3K Kat:6 34485 Sarıyer/İstanbul adresine ya da (iii) güvenli elektronik imzayla imzalayarak kvkk@spdo.com.tr adresine gönderebilirsiniz.</w:t>
      </w:r>
    </w:p>
    <w:p>
      <w:pPr>
        <w:pStyle w:val="BodyText"/>
      </w:pPr>
      <w:r>
        <w:t xml:space="preserve">Talebiniz Şirketimize ulaştığı tarihten itibaren en kısa sürede ve en geç 30 (otuz) gün içinde sonuçlandırılır ve size bilgi verilir. Başvurular kural olarak ücretsizdir; ancak işlemin ayrıca bir maliyet gerektirmesi halinde Şirketimiz Kişisel Verileri Koruma Kurulu'nun belirlediği tarifeye göre ücret talep etme hakkını saklı tutar.</w:t>
      </w:r>
    </w:p>
    <w:p>
      <w:pPr>
        <w:pStyle w:val="BodyText"/>
      </w:pPr>
      <w:r>
        <w:t xml:space="preserve">Saygılarımızla,</w:t>
      </w:r>
      <w:r>
        <w:t xml:space="preserve"> </w:t>
      </w:r>
      <w:r>
        <w:t xml:space="preserve">REM MİMARLIK DEKORASYON RESTORASYON PROJE VE TAAHHÜT HİZMETLERİ LTD. ŞTİ.</w:t>
      </w:r>
    </w:p>
    <w:p>
      <w:pPr>
        <w:pStyle w:val="BodyText"/>
      </w:pPr>
      <w:r>
        <w:t xml:space="preserve">Yürürlük tarihi: [gg.aa.yyyy] · Onaylayan: Sabri Paşayiğit, Kurucu Ortak / Genel Müdür</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Sitesi Aydınlatma Metni</dc:title>
  <dc:creator/>
  <cp:keywords/>
  <dcterms:created xsi:type="dcterms:W3CDTF">2026-10-14T16:17:17Z</dcterms:created>
  <dcterms:modified xsi:type="dcterms:W3CDTF">2026-10-14T16:17:17Z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REM Mimarlık Dekorasyon Restorasyon Proje ve Taahhüt Hizmetleri Ltd. Şti. · Taslak 1.0 · Ekim 2026</vt:lpwstr>
  </property>
</Properties>
</file>