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Notice</w:t>
      </w:r>
      <w:r>
        <w:t xml:space="preserve"> </w:t>
      </w:r>
      <w:r>
        <w:t xml:space="preserve">for</w:t>
      </w:r>
      <w:r>
        <w:t xml:space="preserve"> </w:t>
      </w:r>
      <w:r>
        <w:t xml:space="preserve">Job</w:t>
      </w:r>
      <w:r>
        <w:t xml:space="preserve"> </w:t>
      </w:r>
      <w:r>
        <w:t xml:space="preserve">Applicants</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p>
      <w:pPr>
        <w:pStyle w:val="FirstParagraph"/>
      </w:pPr>
      <w:r>
        <w:t xml:space="preserve">Dear applicant,</w:t>
      </w:r>
    </w:p>
    <w:p>
      <w:pPr>
        <w:pStyle w:val="BodyText"/>
      </w:pPr>
      <w:r>
        <w:t xml:space="preserve">Thank you for applying to REM Mimarlık Dekorasyon Restorasyon Proje ve Taahhüt Hizmetleri Ltd. Şti. ("SP Architects" or the "Company"). As data controller, we process your personal data in line with the Constitution of the Republic of Türkiye, the international agreements to which Türkiye is party, the Personal Data Protection Law No. 6698 (Kişisel Verilerin Korunması Kanunu, "KVKK"), its secondary legislation and the guidance and decisions of the Personal Data Protection Board, and we take the necessary organisational and technical measures. As a UN Global Compact participant, we are committed to respecting the right to privacy in Article 12 of the Universal Declaration of Human Rights (Principle 1).</w:t>
      </w:r>
    </w:p>
    <w:p>
      <w:pPr>
        <w:pStyle w:val="BodyText"/>
      </w:pPr>
      <w:r>
        <w:t xml:space="preserve">We do not use gender, age, disability, ethnic origin, religion, marital status or any similar discriminatory criteria in recruitment decisions (see Policy 5 — Human Rights, Equal Opportunity and Anti-Harassment).</w:t>
      </w:r>
    </w:p>
    <w:p>
      <w:pPr>
        <w:pStyle w:val="BodyText"/>
      </w:pPr>
      <w:r>
        <w:t xml:space="preserve">This Privacy Notice for Job Applicants (the "Notice") explains which personal data we process in connection with your application, and why.</w:t>
      </w:r>
    </w:p>
    <w:bookmarkStart w:id="20" w:name="personal-data-we-process"/>
    <w:p>
      <w:pPr>
        <w:pStyle w:val="Heading3"/>
      </w:pPr>
      <w:r>
        <w:t xml:space="preserve">Personal data we process</w:t>
      </w:r>
    </w:p>
    <w:p>
      <w:pPr>
        <w:pStyle w:val="FirstParagraph"/>
      </w:pPr>
      <w:r>
        <w:t xml:space="preserve">We obtain your personal data during recruitment through our website www.spdo.com.tr, vacancies published on kariyer.net and/or LinkedIn, or the paper application form you complete.</w:t>
      </w:r>
    </w:p>
    <w:p>
      <w:pPr>
        <w:pStyle w:val="BodyText"/>
      </w:pPr>
      <w:r>
        <w:rPr>
          <w:bCs/>
          <w:b/>
        </w:rPr>
        <w:t xml:space="preserve">Purpose (all categories):</w:t>
      </w:r>
      <w:r>
        <w:t xml:space="preserve"> </w:t>
      </w:r>
      <w:r>
        <w:t xml:space="preserve">to learn about and get to know the applicant; to manage the application and recruitment process; to keep in contact and notify the outcome of the interview; to assess suitability for the role by learning about education, professional experience and competence, skills, career and development; and to manage our pay policy.</w:t>
      </w:r>
    </w:p>
    <w:p>
      <w:pPr>
        <w:pStyle w:val="BodyText"/>
      </w:pPr>
      <w:r>
        <w:rPr>
          <w:bCs/>
          <w:b/>
        </w:rPr>
        <w:t xml:space="preserve">Legal basis (all categories):</w:t>
      </w:r>
      <w:r>
        <w:t xml:space="preserve"> </w:t>
      </w:r>
      <w:r>
        <w:t xml:space="preserve">Article 5(2)(c) KVKK — processing is directly related to concluding a contract (the employment contract); Article 5(2)(f) KVKK — the Company's legitimate interests, provided your fundamental rights and freedoms are not harmed.</w:t>
      </w:r>
    </w:p>
    <w:p>
      <w:pPr>
        <w:pStyle w:val="BodyText"/>
      </w:pPr>
      <w:r>
        <w:t xml:space="preserve">The same purpose and legal basis apply to every category in the table below.</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Data category</w:t>
            </w:r>
          </w:p>
        </w:tc>
        <w:tc>
          <w:tcPr/>
          <w:p>
            <w:pPr>
              <w:pStyle w:val="Compact"/>
              <w:jc w:val="left"/>
            </w:pPr>
            <w:r>
              <w:rPr>
                <w:b/>
              </w:rPr>
              <w:t xml:space="preserve">Data types</w:t>
            </w:r>
          </w:p>
        </w:tc>
        <w:tc>
          <w:tcPr/>
          <w:p>
            <w:pPr>
              <w:pStyle w:val="Compact"/>
              <w:jc w:val="left"/>
            </w:pPr>
            <w:r>
              <w:rPr>
                <w:b/>
              </w:rPr>
              <w:t xml:space="preserve">Purpose</w:t>
            </w:r>
          </w:p>
        </w:tc>
        <w:tc>
          <w:tcPr/>
          <w:p>
            <w:pPr>
              <w:pStyle w:val="Compact"/>
              <w:jc w:val="left"/>
            </w:pPr>
            <w:r>
              <w:rPr>
                <w:b/>
              </w:rPr>
              <w:t xml:space="preserve">Legal basis</w:t>
            </w:r>
          </w:p>
        </w:tc>
      </w:tr>
      <w:tr>
        <w:tc>
          <w:tcPr/>
          <w:p>
            <w:pPr>
              <w:pStyle w:val="Compact"/>
              <w:jc w:val="left"/>
            </w:pPr>
            <w:r>
              <w:t xml:space="preserve">Identity</w:t>
            </w:r>
          </w:p>
        </w:tc>
        <w:tc>
          <w:tcPr/>
          <w:p>
            <w:pPr>
              <w:pStyle w:val="Compact"/>
              <w:jc w:val="left"/>
            </w:pPr>
            <w:r>
              <w:t xml:space="preserve">Name and surname, date of birth</w:t>
            </w:r>
          </w:p>
        </w:tc>
        <w:tc>
          <w:tcPr/>
          <w:p>
            <w:pPr>
              <w:pStyle w:val="Compact"/>
              <w:jc w:val="left"/>
            </w:pPr>
            <w:r>
              <w:t xml:space="preserve">Managing recruitment (purpose above)</w:t>
            </w:r>
          </w:p>
        </w:tc>
        <w:tc>
          <w:tcPr/>
          <w:p>
            <w:pPr>
              <w:pStyle w:val="Compact"/>
              <w:jc w:val="left"/>
            </w:pPr>
            <w:r>
              <w:t xml:space="preserve">Art. 5(2)(c) and 5(2)(f) KVKK</w:t>
            </w:r>
          </w:p>
        </w:tc>
      </w:tr>
      <w:tr>
        <w:tc>
          <w:tcPr/>
          <w:p>
            <w:pPr>
              <w:pStyle w:val="Compact"/>
              <w:jc w:val="left"/>
            </w:pPr>
            <w:r>
              <w:t xml:space="preserve">Contact</w:t>
            </w:r>
          </w:p>
        </w:tc>
        <w:tc>
          <w:tcPr/>
          <w:p>
            <w:pPr>
              <w:pStyle w:val="Compact"/>
              <w:jc w:val="left"/>
            </w:pPr>
            <w:r>
              <w:t xml:space="preserve">E-mail, mobile phone, address (district/province)</w:t>
            </w:r>
          </w:p>
        </w:tc>
        <w:tc>
          <w:tcPr/>
          <w:p>
            <w:pPr>
              <w:pStyle w:val="Compact"/>
              <w:jc w:val="left"/>
            </w:pPr>
            <w:r>
              <w:t xml:space="preserve">Managing recruitment (purpose above)</w:t>
            </w:r>
          </w:p>
        </w:tc>
        <w:tc>
          <w:tcPr/>
          <w:p>
            <w:pPr>
              <w:pStyle w:val="Compact"/>
              <w:jc w:val="left"/>
            </w:pPr>
            <w:r>
              <w:t xml:space="preserve">Art. 5(2)(c) and 5(2)(f) KVKK</w:t>
            </w:r>
          </w:p>
        </w:tc>
      </w:tr>
      <w:tr>
        <w:tc>
          <w:tcPr/>
          <w:p>
            <w:pPr>
              <w:pStyle w:val="Compact"/>
              <w:jc w:val="left"/>
            </w:pPr>
            <w:r>
              <w:t xml:space="preserve">Education and professional experience</w:t>
            </w:r>
          </w:p>
        </w:tc>
        <w:tc>
          <w:tcPr/>
          <w:p>
            <w:pPr>
              <w:pStyle w:val="Compact"/>
              <w:jc w:val="left"/>
            </w:pPr>
            <w:r>
              <w:t xml:space="preserve">Profession, specialism, education level, school/department and graduation date (month/year), certificates, IT skills, languages and level, driving licence/class, previous employment and employers, references (name, phone, e-mail)</w:t>
            </w:r>
          </w:p>
        </w:tc>
        <w:tc>
          <w:tcPr/>
          <w:p>
            <w:pPr>
              <w:pStyle w:val="Compact"/>
              <w:jc w:val="left"/>
            </w:pPr>
            <w:r>
              <w:t xml:space="preserve">Managing recruitment (purpose above)</w:t>
            </w:r>
          </w:p>
        </w:tc>
        <w:tc>
          <w:tcPr/>
          <w:p>
            <w:pPr>
              <w:pStyle w:val="Compact"/>
              <w:jc w:val="left"/>
            </w:pPr>
            <w:r>
              <w:t xml:space="preserve">Art. 5(2)(c) and 5(2)(f) KVKK</w:t>
            </w:r>
          </w:p>
        </w:tc>
      </w:tr>
      <w:tr>
        <w:tc>
          <w:tcPr/>
          <w:p>
            <w:pPr>
              <w:pStyle w:val="Compact"/>
              <w:jc w:val="left"/>
            </w:pPr>
            <w:r>
              <w:t xml:space="preserve">Financial</w:t>
            </w:r>
          </w:p>
        </w:tc>
        <w:tc>
          <w:tcPr/>
          <w:p>
            <w:pPr>
              <w:pStyle w:val="Compact"/>
              <w:jc w:val="left"/>
            </w:pPr>
            <w:r>
              <w:t xml:space="preserve">Salary expectation</w:t>
            </w:r>
          </w:p>
        </w:tc>
        <w:tc>
          <w:tcPr/>
          <w:p>
            <w:pPr>
              <w:pStyle w:val="Compact"/>
              <w:jc w:val="left"/>
            </w:pPr>
            <w:r>
              <w:t xml:space="preserve">Managing recruitment (purpose above)</w:t>
            </w:r>
          </w:p>
        </w:tc>
        <w:tc>
          <w:tcPr/>
          <w:p>
            <w:pPr>
              <w:pStyle w:val="Compact"/>
              <w:jc w:val="left"/>
            </w:pPr>
            <w:r>
              <w:t xml:space="preserve">Art. 5(2)(c) and 5(2)(f) KVKK</w:t>
            </w:r>
          </w:p>
        </w:tc>
      </w:tr>
      <w:tr>
        <w:tc>
          <w:tcPr/>
          <w:p>
            <w:pPr>
              <w:pStyle w:val="Compact"/>
              <w:jc w:val="left"/>
            </w:pPr>
            <w:r>
              <w:t xml:space="preserve">Other</w:t>
            </w:r>
          </w:p>
        </w:tc>
        <w:tc>
          <w:tcPr/>
          <w:p>
            <w:pPr>
              <w:pStyle w:val="Compact"/>
              <w:jc w:val="left"/>
            </w:pPr>
            <w:r>
              <w:t xml:space="preserve">Military service status (completed / exempt / deferred and deferral period)</w:t>
            </w:r>
          </w:p>
        </w:tc>
        <w:tc>
          <w:tcPr/>
          <w:p>
            <w:pPr>
              <w:pStyle w:val="Compact"/>
              <w:jc w:val="left"/>
            </w:pPr>
            <w:r>
              <w:t xml:space="preserve">Managing recruitment (purpose above)</w:t>
            </w:r>
          </w:p>
        </w:tc>
        <w:tc>
          <w:tcPr/>
          <w:p>
            <w:pPr>
              <w:pStyle w:val="Compact"/>
              <w:jc w:val="left"/>
            </w:pPr>
            <w:r>
              <w:t xml:space="preserve">Art. 5(2)(c) and 5(2)(f) KVKK</w:t>
            </w:r>
          </w:p>
        </w:tc>
      </w:tr>
    </w:tbl>
    <w:p>
      <w:pPr>
        <w:pStyle w:val="BodyText"/>
      </w:pPr>
      <w:r>
        <w:t xml:space="preserve">This Notice does not cover special categories of personal data. Please do not include special category data, such as health, religion, ethnic origin or membership of associations or trade unions, or any information not needed for recruitment, in your CV or application documents. Such information will not be taken into account and will be destroyed within [period].</w:t>
      </w:r>
    </w:p>
    <w:bookmarkEnd w:id="20"/>
    <w:bookmarkStart w:id="21" w:name="retention-and-transfers"/>
    <w:p>
      <w:pPr>
        <w:pStyle w:val="Heading3"/>
      </w:pPr>
      <w:r>
        <w:t xml:space="preserve">Retention and transfers</w:t>
      </w:r>
    </w:p>
    <w:p>
      <w:pPr>
        <w:pStyle w:val="FirstParagraph"/>
      </w:pPr>
      <w:r>
        <w:t xml:space="preserve">We keep your personal data only for the purposes and on the legal bases above, for the duration of the application process and, if your application is unsuccessful, for 6 months. If your application needs to be reconsidered during that period, your data may be shared with our administrative staff and employees assigned or authorised for recruitment, business partners, advisers, our group companies and/or public authorities.</w:t>
      </w:r>
    </w:p>
    <w:p>
      <w:pPr>
        <w:pStyle w:val="BodyText"/>
      </w:pPr>
      <w:r>
        <w:t xml:space="preserve">We use external IT companies for our IT services. To provide technical support, these companies may from time to time access the Company's servers and software and, indirectly, the data held in them. They work in a way that does not harm your fundamental rights and freedoms, and they do not transfer the data to their own systems or process or store it themselves.</w:t>
      </w:r>
    </w:p>
    <w:p>
      <w:pPr>
        <w:pStyle w:val="BodyText"/>
      </w:pPr>
      <w:r>
        <w:t xml:space="preserve">If a public authority makes a request during the retention period, your personal data may be shared with that authority or with the courts in order to meet our obligations under the legislation then in force.</w:t>
      </w:r>
    </w:p>
    <w:p>
      <w:pPr>
        <w:pStyle w:val="BodyText"/>
      </w:pPr>
      <w:r>
        <w:t xml:space="preserve">Other than as described above, your personal data is not transferred to third parties in Türkiye or abroad.</w:t>
      </w:r>
    </w:p>
    <w:bookmarkEnd w:id="21"/>
    <w:bookmarkStart w:id="22" w:name="your-rights-under-the-kvkk"/>
    <w:p>
      <w:pPr>
        <w:pStyle w:val="Heading3"/>
      </w:pPr>
      <w:r>
        <w:t xml:space="preserve">Your rights under the KVKK</w:t>
      </w:r>
    </w:p>
    <w:p>
      <w:pPr>
        <w:pStyle w:val="FirstParagraph"/>
      </w:pPr>
      <w:r>
        <w:t xml:space="preserve">Under the KVKK and related legislation, you have the right to:</w:t>
      </w:r>
    </w:p>
    <w:p>
      <w:pPr>
        <w:numPr>
          <w:ilvl w:val="0"/>
          <w:numId w:val="1001"/>
        </w:numPr>
        <w:pStyle w:val="Compact"/>
      </w:pPr>
      <w:r>
        <w:t xml:space="preserve">learn whether your personal data is processed;</w:t>
      </w:r>
    </w:p>
    <w:p>
      <w:pPr>
        <w:numPr>
          <w:ilvl w:val="0"/>
          <w:numId w:val="1001"/>
        </w:numPr>
        <w:pStyle w:val="Compact"/>
      </w:pPr>
      <w:r>
        <w:t xml:space="preserve">request information about the processing if it is;</w:t>
      </w:r>
    </w:p>
    <w:p>
      <w:pPr>
        <w:numPr>
          <w:ilvl w:val="0"/>
          <w:numId w:val="1001"/>
        </w:numPr>
        <w:pStyle w:val="Compact"/>
      </w:pPr>
      <w:r>
        <w:t xml:space="preserve">learn the purpose of processing and whether the data is used accordingly;</w:t>
      </w:r>
    </w:p>
    <w:p>
      <w:pPr>
        <w:numPr>
          <w:ilvl w:val="0"/>
          <w:numId w:val="1001"/>
        </w:numPr>
        <w:pStyle w:val="Compact"/>
      </w:pPr>
      <w:r>
        <w:t xml:space="preserve">know the third parties in Türkiye or abroad to whom your data is transferred;</w:t>
      </w:r>
    </w:p>
    <w:p>
      <w:pPr>
        <w:numPr>
          <w:ilvl w:val="0"/>
          <w:numId w:val="1001"/>
        </w:numPr>
        <w:pStyle w:val="Compact"/>
      </w:pPr>
      <w:r>
        <w:t xml:space="preserve">request correction of incomplete or inaccurate data;</w:t>
      </w:r>
    </w:p>
    <w:p>
      <w:pPr>
        <w:numPr>
          <w:ilvl w:val="0"/>
          <w:numId w:val="1001"/>
        </w:numPr>
        <w:pStyle w:val="Compact"/>
      </w:pPr>
      <w:r>
        <w:t xml:space="preserve">request erasure or destruction of your data under the conditions set out in the KVKK;</w:t>
      </w:r>
    </w:p>
    <w:p>
      <w:pPr>
        <w:numPr>
          <w:ilvl w:val="0"/>
          <w:numId w:val="1001"/>
        </w:numPr>
        <w:pStyle w:val="Compact"/>
      </w:pPr>
      <w:r>
        <w:t xml:space="preserve">request that actions under items 5 and 6 are notified to the third parties to whom your data was transferred;</w:t>
      </w:r>
    </w:p>
    <w:p>
      <w:pPr>
        <w:numPr>
          <w:ilvl w:val="0"/>
          <w:numId w:val="1001"/>
        </w:numPr>
        <w:pStyle w:val="Compact"/>
      </w:pPr>
      <w:r>
        <w:t xml:space="preserve">object to an outcome against you that results solely from automated analysis of your data;</w:t>
      </w:r>
    </w:p>
    <w:p>
      <w:pPr>
        <w:numPr>
          <w:ilvl w:val="0"/>
          <w:numId w:val="1001"/>
        </w:numPr>
        <w:pStyle w:val="Compact"/>
      </w:pPr>
      <w:r>
        <w:t xml:space="preserve">claim compensation for damage caused by unlawful processing.</w:t>
      </w:r>
    </w:p>
    <w:bookmarkEnd w:id="22"/>
    <w:bookmarkStart w:id="23" w:name="how-to-apply-response-time-and-fees"/>
    <w:p>
      <w:pPr>
        <w:pStyle w:val="Heading3"/>
      </w:pPr>
      <w:r>
        <w:t xml:space="preserve">How to apply, response time and fees</w:t>
      </w:r>
    </w:p>
    <w:p>
      <w:pPr>
        <w:pStyle w:val="FirstParagraph"/>
      </w:pPr>
      <w:r>
        <w:t xml:space="preserve">Under the Communiqué on the Procedures and Principles for Applications to the Data Controller, you may submit requests about your rights in writing with a wet signature, together with proof of identity, or by any other method set by the Personal Data Protection Board. For a written application, print and complete the Data Subject Application Form at www.spdo.com.tr, sign it by hand, and (i) deliver it in person or (ii) send it through a notary to Ayazağa Mah. Azerbaycan Cad. Vadistanbul 2B Ofis, No:3K Kat:6 34485 Sarıyer/İstanbul, or (iii) sign it with a secure electronic signature and e-mail it to kvkk@spdo.com.tr.</w:t>
      </w:r>
    </w:p>
    <w:p>
      <w:pPr>
        <w:pStyle w:val="BodyText"/>
      </w:pPr>
      <w:r>
        <w:t xml:space="preserve">Your request will be concluded as soon as possible and in any event within 30 (thirty) days of its receipt, and you will be informed of the outcome. Applications are free of charge as a rule; however, if the request involves an additional cost, the Company reserves the right to charge the fee set in the Personal Data Protection Board's tariff.</w:t>
      </w:r>
    </w:p>
    <w:p>
      <w:pPr>
        <w:pStyle w:val="BodyText"/>
      </w:pPr>
      <w:r>
        <w:t xml:space="preserve">This English version is provided for convenience; in case of any discrepancy, the Turkish version prevails.</w:t>
      </w:r>
    </w:p>
    <w:p>
      <w:pPr>
        <w:pStyle w:val="BodyText"/>
      </w:pPr>
      <w:r>
        <w:t xml:space="preserve">Yours faithfully,</w:t>
      </w:r>
      <w:r>
        <w:t xml:space="preserve"> </w:t>
      </w:r>
      <w:r>
        <w:t xml:space="preserve">REM MİMARLIK DEKORASYON RESTORASYON PROJE VE TAAHHÜT HİZMETLERİ LTD. ŞTİ.</w:t>
      </w:r>
    </w:p>
    <w:p>
      <w:pPr>
        <w:pStyle w:val="BodyText"/>
      </w:pPr>
      <w:r>
        <w:t xml:space="preserve">Effective date: [dd.mm.yyyy] · Approved by: Sabri Paşayiğit, Founding Partner / General Manager</w:t>
      </w:r>
    </w:p>
    <w:bookmarkEnd w:id="23"/>
    <w:bookmarkStart w:id="24" w:name="applicants-declaration"/>
    <w:p>
      <w:pPr>
        <w:pStyle w:val="Heading3"/>
      </w:pPr>
      <w:r>
        <w:t xml:space="preserve">Applicant's declaration</w:t>
      </w:r>
    </w:p>
    <w:p>
      <w:pPr>
        <w:numPr>
          <w:ilvl w:val="0"/>
          <w:numId w:val="1002"/>
        </w:numPr>
        <w:pStyle w:val="Compact"/>
      </w:pPr>
      <w:r>
        <w:t xml:space="preserve">I have read and understood the Privacy Notice for Job Applicants provided to me by REM Mimarlık Dekorasyon Restorasyon Proje ve Taahhüt Hizmetleri Ltd. Şti. ("SP Architects"), whose content was explained to me orally/in writing and a copy of which I have received.</w:t>
      </w:r>
    </w:p>
    <w:p>
      <w:pPr>
        <w:numPr>
          <w:ilvl w:val="0"/>
          <w:numId w:val="1002"/>
        </w:numPr>
        <w:pStyle w:val="Compact"/>
      </w:pPr>
      <w:r>
        <w:t xml:space="preserve">If my CV contains additional information that SP Architects did not request, I understand it will be processed only to assess my suitability for the role I applied for, and under the terms of this Notice. I have been informed that I should not share special categories of personal data.</w:t>
      </w:r>
    </w:p>
    <w:p>
      <w:pPr>
        <w:numPr>
          <w:ilvl w:val="0"/>
          <w:numId w:val="1002"/>
        </w:numPr>
        <w:pStyle w:val="Compact"/>
      </w:pPr>
      <w:r>
        <w:t xml:space="preserve">I have informed the people whose name, surname, phone number and e-mail address I gave as references on the Application Form that I have shared these details with SP Architects and that they may be contacted solely to verify my reference. I understand that SP Architects will provide them with its own privacy information when it first contacts them.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Name and surname</w:t>
            </w:r>
          </w:p>
        </w:tc>
        <w:tc>
          <w:tcPr/>
          <w:p>
            <w:pPr>
              <w:pStyle w:val="Compact"/>
              <w:jc w:val="left"/>
            </w:pPr>
            <w:r>
              <w:rPr>
                <w:b/>
              </w:rPr>
              <w:t xml:space="preserve">Date</w:t>
            </w:r>
          </w:p>
        </w:tc>
        <w:tc>
          <w:tcPr/>
          <w:p>
            <w:pPr>
              <w:pStyle w:val="Compact"/>
              <w:jc w:val="left"/>
            </w:pPr>
            <w:r>
              <w:rPr>
                <w:b/>
              </w:rPr>
              <w:t xml:space="preserve">Signature</w:t>
            </w:r>
          </w:p>
        </w:tc>
      </w:tr>
      <w:tr>
        <w:tc>
          <w:tcPr/>
          <w:p>
            <w:pPr>
              <w:pStyle w:val="Compact"/>
            </w:pPr>
          </w:p>
        </w:tc>
        <w:tc>
          <w:tcPr/>
          <w:p>
            <w:pPr>
              <w:pStyle w:val="Compact"/>
            </w:pPr>
          </w:p>
        </w:tc>
        <w:tc>
          <w:tcPr/>
          <w:p>
            <w:pPr>
              <w:pStyle w:val="Compact"/>
            </w:pPr>
          </w:p>
        </w:tc>
      </w:tr>
    </w:tbl>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 for Job Applicants</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