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1F4E79"/>
          <w:sz w:val="32"/>
          <w:szCs w:val="32"/>
        </w:rPr>
        <w:t xml:space="preserve">Checklist RECORD diligenciado</w:t>
      </w:r>
    </w:p>
    <w:p>
      <w:pPr>
        <w:spacing w:after="120"/>
        <w:jc w:val="center"/>
      </w:pPr>
      <w:r>
        <w:rPr>
          <w:rFonts w:ascii="Times New Roman" w:cs="Times New Roman" w:eastAsia="Times New Roman" w:hAnsi="Times New Roman"/>
          <w:i/>
          <w:iCs/>
          <w:sz w:val="22"/>
          <w:szCs w:val="22"/>
        </w:rPr>
        <w:t xml:space="preserve">REporting of studies Conducted using Observational Routinely-collected health Data</w:t>
      </w:r>
    </w:p>
    <w:p>
      <w:pPr>
        <w:spacing w:after="100" w:line="360" w:lineRule="auto"/>
        <w:jc w:val="center"/>
      </w:pPr>
      <w:r>
        <w:rPr>
          <w:rFonts w:ascii="Times New Roman" w:cs="Times New Roman" w:eastAsia="Times New Roman" w:hAnsi="Times New Roman"/>
          <w:b w:val="false"/>
          <w:bCs w:val="false"/>
          <w:i w:val="false"/>
          <w:iCs w:val="false"/>
          <w:sz w:val="22"/>
          <w:szCs w:val="22"/>
        </w:rPr>
        <w:t xml:space="preserve">Manuscrito: AG-0.9-2026 — Aprendizaje automático interpretable para estratificar el riesgo de eventos adversos materno-perinatales (RFNSP, Universidad de Antioquia).</w:t>
      </w:r>
    </w:p>
    <w:p>
      <w:pPr>
        <w:spacing w:after="100" w:line="360" w:lineRule="auto"/>
        <w:jc w:val="center"/>
      </w:pPr>
      <w:r>
        <w:rPr>
          <w:rFonts w:ascii="Times New Roman" w:cs="Times New Roman" w:eastAsia="Times New Roman" w:hAnsi="Times New Roman"/>
          <w:b w:val="false"/>
          <w:bCs w:val="false"/>
          <w:i/>
          <w:iCs/>
          <w:sz w:val="20"/>
          <w:szCs w:val="20"/>
        </w:rPr>
        <w:t xml:space="preserve">Referencia metodológica: Benchimol EI, Smeeth L, Guttmann A, Harron K, Moher D, Petersen I, et al. The REporting of studies Conducted using Observational Routinely-collected health Data (RECORD) statement. PLoS Med. 2015;12(10):e1001885.</w:t>
      </w:r>
    </w:p>
    <w:p>
      <w:pPr>
        <w:pStyle w:val="Heading1"/>
        <w:spacing w:after="160" w:before="320" w:line="360" w:lineRule="auto"/>
      </w:pPr>
      <w:r>
        <w:rPr>
          <w:rFonts w:ascii="Times New Roman" w:cs="Times New Roman" w:eastAsia="Times New Roman" w:hAnsi="Times New Roman"/>
          <w:b/>
          <w:bCs/>
          <w:color w:val="1F4E79"/>
          <w:sz w:val="28"/>
          <w:szCs w:val="28"/>
        </w:rPr>
        <w:t xml:space="preserve">1. Cómo leer este documento</w:t>
      </w:r>
    </w:p>
    <w:p>
      <w:pPr>
        <w:spacing w:after="100" w:line="360" w:lineRule="auto"/>
        <w:jc w:val="both"/>
      </w:pPr>
      <w:r>
        <w:rPr>
          <w:rFonts w:ascii="Times New Roman" w:cs="Times New Roman" w:eastAsia="Times New Roman" w:hAnsi="Times New Roman"/>
          <w:b w:val="false"/>
          <w:bCs w:val="false"/>
          <w:i w:val="false"/>
          <w:iCs w:val="false"/>
          <w:sz w:val="22"/>
          <w:szCs w:val="22"/>
        </w:rPr>
        <w:t xml:space="preserve">RECORD es una extensión de STROBE específica para estudios observacionales que utilizan bases de datos de salud rutinariamente recolectadas. Esta lista de verificación incluye los 22 ítems de STROBE más siete ítems específicos de RECORD (numerados 6.1, 6.2, 6.3, 7.1, 12.1, 12.2, 12.3, 13.1, 19.1, 22.1). Cada celda 'Reporte en el manuscrito' indica en qué sección y página del AG-0.9 se cumple el ítem.</w:t>
      </w:r>
    </w:p>
    <w:p>
      <w:pPr>
        <w:pStyle w:val="Heading1"/>
        <w:spacing w:after="160" w:before="320" w:line="360" w:lineRule="auto"/>
      </w:pPr>
      <w:r>
        <w:rPr>
          <w:rFonts w:ascii="Times New Roman" w:cs="Times New Roman" w:eastAsia="Times New Roman" w:hAnsi="Times New Roman"/>
          <w:b/>
          <w:bCs/>
          <w:color w:val="1F4E79"/>
          <w:sz w:val="28"/>
          <w:szCs w:val="28"/>
        </w:rPr>
        <w:t xml:space="preserve">2. Lista de verificación diligenciada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3300"/>
        <w:gridCol w:w="330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line="360" w:lineRule="auto"/>
              <w:jc w:val="center"/>
            </w:pPr>
            <w:r>
              <w:rPr>
                <w:rFonts w:ascii="Times New Roman" w:cs="Times New Roman" w:eastAsia="Times New Roman" w:hAnsi="Times New Roman"/>
                <w:b/>
                <w:bCs/>
                <w:color w:val="FFFFFF"/>
                <w:sz w:val="20"/>
                <w:szCs w:val="20"/>
              </w:rPr>
              <w:t xml:space="preserve">Sección</w:t>
            </w:r>
          </w:p>
        </w:tc>
        <w:tc>
          <w:tcPr>
            <w:tcW w:type="dxa" w:w="7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line="360" w:lineRule="auto"/>
              <w:jc w:val="center"/>
            </w:pPr>
            <w:r>
              <w:rPr>
                <w:rFonts w:ascii="Times New Roman" w:cs="Times New Roman" w:eastAsia="Times New Roman" w:hAnsi="Times New Roman"/>
                <w:b/>
                <w:bCs/>
                <w:color w:val="FFFFFF"/>
                <w:sz w:val="20"/>
                <w:szCs w:val="20"/>
              </w:rPr>
              <w:t xml:space="preserve">Ítem</w:t>
            </w:r>
          </w:p>
        </w:tc>
        <w:tc>
          <w:tcPr>
            <w:tcW w:type="dxa" w:w="33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line="360" w:lineRule="auto"/>
              <w:jc w:val="center"/>
            </w:pPr>
            <w:r>
              <w:rPr>
                <w:rFonts w:ascii="Times New Roman" w:cs="Times New Roman" w:eastAsia="Times New Roman" w:hAnsi="Times New Roman"/>
                <w:b/>
                <w:bCs/>
                <w:color w:val="FFFFFF"/>
                <w:sz w:val="20"/>
                <w:szCs w:val="20"/>
              </w:rPr>
              <w:t xml:space="preserve">Recomendación</w:t>
            </w:r>
          </w:p>
        </w:tc>
        <w:tc>
          <w:tcPr>
            <w:tcW w:type="dxa" w:w="3300"/>
            <w:tcBorders>
              <w:top w:val="single" w:color="999999" w:sz="4"/>
              <w:left w:val="single" w:color="999999" w:sz="4"/>
              <w:bottom w:val="single" w:color="999999" w:sz="4"/>
              <w:right w:val="single" w:color="999999" w:sz="4"/>
            </w:tcBorders>
            <w:shd w:fill="1F4E79" w:val="clear"/>
            <w:tcMar>
              <w:top w:type="dxa" w:w="80"/>
              <w:left w:type="dxa" w:w="100"/>
              <w:bottom w:type="dxa" w:w="80"/>
              <w:right w:type="dxa" w:w="100"/>
            </w:tcMar>
          </w:tcPr>
          <w:p>
            <w:pPr>
              <w:spacing w:line="360" w:lineRule="auto"/>
              <w:jc w:val="center"/>
            </w:pPr>
            <w:r>
              <w:rPr>
                <w:rFonts w:ascii="Times New Roman" w:cs="Times New Roman" w:eastAsia="Times New Roman" w:hAnsi="Times New Roman"/>
                <w:b/>
                <w:bCs/>
                <w:color w:val="FFFFFF"/>
                <w:sz w:val="20"/>
                <w:szCs w:val="20"/>
              </w:rPr>
              <w:t xml:space="preserve">Reporte en el manuscrito AG-0.9</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Título y resumen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1a</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Indique en el título o el resumen el diseño del estudio con un término utilizado habitualmente.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Título: 'Aprendizaje automático interpretable para estratificar el riesgo de eventos adversos materno-perinatales'. Resumen: 'Estudio observacional retrospectivo de cohorte sobre 5 706 notificaciones del Sivigila'.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1b</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Proporcione en el resumen una sinopsis informativa y equilibrada de lo que se ha hecho y los principales hallazgos.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Resumen estructurado (Objetivo / Métodos / Resultados / Conclusiones), 246 palabras.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Introducción — antecedentes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Explique las razones científicas y la justificación de la investigación.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Introducción, párrafos 1–3: magnitud global y nacional del problema; brecha en La Guajira; rol de la IA en salud pública materna.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Introducción — objetivos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Indique los objetivos específicos, incluyendo cualquier hipótesis preespecificada.</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Introducción, último párrafo: 'estratificar el riesgo, comparar el desempeño de ocho algoritmos e identificar determinantes asociados con MME severa, en La Guajira (Colombia), 2016–2022'.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diseño</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Presente los elementos clave del diseño del estudio al principio del documento.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Métodos, sección 'Tipo de estudio y guías de reporte': observacional retrospectivo de cohorte con componente cualitativo convergente, conforme a STROBE/RECORD/TRIPOD-AI/CAIR/SRQR.</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entorno</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Describa el escenario, las localizaciones y las fechas relevantes.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Departamento de La Guajira (Colombia), 2016–2022. Componente cualitativo recolectado entre marzo y septiembre de 2023 en Riohacha, Maicao y Uribia.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participantes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6</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(a) Indique los criterios de elegibilidad, fuentes y métodos de selección. (b) Para cohortes apareadas...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Sección 'Población, muestra y definición operativa de caso': inclusión por código de evento 549/550/551, periodo y territorio; exclusión por inconsistencias críticas; censo de notificaciones disponibles.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6.1</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6.1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de selección de la población incluida en el estudio (códigos o algoritmos utilizados para identificar sujetos).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Métodos: códigos Sivigila 549 (MME), 550 (mortalidad materna directa) y 551 (mortalidad materna tardía/indirecta) registrados entre los años 2016 y 2022 en La Guajira; campo «7_criterios» = 1 como definición de MME severa.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6.2</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6.2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Validación del proceso de selección (validez de los algoritmos o cualquier validación realizada).</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La consistencia interna se verificó cotejando los códigos de evento con la fecha de notificación y el campo de departamento de residencia; se excluyeron registros con fecha de notificación posterior a la fecha de defunción y edades fuera del rango fisiológico 10–60 años. No se realizó validación contra historia clínica.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6.3</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6.3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Diagrama o representación gráfica del proceso de selección.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Parcial. La cifra de exclusiones se reporta de forma textual en Resultados: 5 951 identificadas → 25 excluidas → 5 926 analizadas; no se incluye diagrama de flujo dadas las restricciones de seis figuras/tablas. Se incluye Figura 1 (DAG) que describe el marco causal.</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variables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7</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Defina con claridad todas las variables: resultados, exposiciones, predictores, confusores potenciales y modificadores.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Métodos, sección 'Fuentes de información y procedimientos': predictores sociodemográficos, obstétricos y temporales; desenlace MME severa.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7.1</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7.1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Lista completa de códigos y algoritmos utilizados para clasificar exposiciones, desenlaces, confusores y modificadores de efecto.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Diccionario completo en el archivo Excel reproducible (hoja 'diccionario_variables'); el código fuente en Python en el cuaderno Colab adjunto define explícitamente las categorizaciones (edad &lt;20, edad ≥35, rural, indígena, CPN insuficiente, inicio CPN tardío, multiparidad).</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fuentes/medición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8</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Para cada variable de interés, proporcione fuentes de datos y detalles de los métodos de medición.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Sivigila (Instituto Nacional de Salud, Colombia), versión MME+MM_deidentificada con corte del 21 de enero de 2023; DANE para contextualización; componente cualitativo mediante entrevistas semiestructuradas y grupos focales.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sesgo</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9</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Describa cualquier esfuerzo para abordar las fuentes potenciales de sesgo.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Sub-notificación y heterogeneidad temporal del Sivigila; ajuste por año del registro; imputación con mediana; SMOTE aplicado solo en entrenamiento; validación cruzada estratificada; triangulación con componente cualitativo.</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tamaño muestral</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10</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Explique cómo se determinó el tamaño muestral.</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Censo de notificaciones disponibles en la base nacional anonimizada (no se aplicó cálculo a priori por tratarse de una cohorte poblacional).</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variables cuantitativas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Explique cómo se manejaron las variables cuantitativas en los análisis.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Variables continuas estandarizadas (z-score); imputación con mediana; categorización para la regresión logística según puntos de corte clínicamente relevantes.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 análisis estadístico</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(a) Métodos estadísticos, incluyendo controles por confusores. (b) Subgrupos e interacciones. (c) Manejo de datos faltantes. (d) Sensibilidad.</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Métodos, sección 'Análisis estadístico y modelamiento predictivo': descriptiva, bivariado (chi-cuadrado y U Mann-Whitney), comparación de ocho algoritmos con validación cruzada estratificada, regresión logística multivariada con OR e IC 95 %.</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12.1</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12.1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de vinculación de bases de datos (cuando aplique).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No aplica. El estudio utilizó únicamente la base anonimizada del Sivigila, sin vinculación entre bases.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12.2</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12.2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Métodos para evaluar la calidad de los datos y/o vinculación.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Verificación de consistencia interna (fechas, rangos fisiológicos, completitud); reporte de proporción de valores faltantes por variable; exclusión por inconsistencias críticas.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12.3</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12.3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Modelado para tratar datos vinculados, perdidos o sesgo de selección.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Imputación con mediana en variables continuas y categoría modal en categóricas (proporción de faltantes &lt; 5 %); reconocimiento explícito del sesgo de selección por sub-notificación en la sección de limitaciones.</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Resultados — participantes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(a) Número de individuos en cada etapa. (b) Razones de no participación. (c) Diagrama de flujo.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Parcial. Cifras reportadas en Resultados: 5 951 → 25 excluidas → 5 926 analizadas, de las cuales 5 706 son MME; sin diagrama de flujo (límite editorial).</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13.1</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13.1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Detalle del proceso de extracción, filtrado y vinculación de la población de estudio.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Sivigila → filtro por departamento (La Guajira) → filtro por código de evento (549/550/551) → filtro por periodo (2016–2022) → exclusiones por consistencia → cohorte final.</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Resultados — datos descriptivos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(a) Características de los participantes. (b) Datos faltantes. (c) Tiempo de seguimiento.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Tabla 1 con características demográficas, obstétricas y por código de evento; mención de la proporción de faltantes; periodo de observación 2016–2022.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Resultados — desenlace</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Reporte el número de eventos del desenlace en cada grupo.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254 casos de MME severa de 5 706 notificaciones de MME (prevalencia 4,5 %).</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Resultados — principales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16</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(a) Estimadores no ajustados y ajustados con IC. (b) Cuando aplique, traducción de OR a riesgo absoluto.</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Figuras 2 (AUC con IC 95 %), 4 (ROC/PR) y 5 (OR ajustadas con IC 95 %).</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Resultados — otros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17</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Reporte otros análisis (subgrupos, interacciones, sensibilidad).</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Bivariado por área de residencia y pertenencia étnica; importancia por permutación (Figura 3); triangulación cualitativa.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Discusión — resultados clave</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18</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Resuma los resultados clave en referencia a los objetivos.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Discusión, párrafo 1.</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Discusión — limitaciones</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19</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Discuta las limitaciones, incluyendo el potencial sesgo o imprecisión.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Discusión: naturaleza retrospectiva, limitada disponibilidad de variables clínicas, dependencia de la calidad del registro étnico, ausencia de validación temporal externa, AUPRC modesta, imposibilidad de inferencia causal estricta.</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19.1</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19.1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Validación del estudio: comparar resultados con otros conocidos, fortalezas y limitaciones del uso de datos rutinarios.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Discusión, párrafo 1: comparación con cohortes hospitalarias urbanas (AUC 0,80–0,86) y con datos administrativos poblacionales en países de ingresos medios (0,71–0,76).</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Discusión — interpretación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20</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Interpretación general de los resultados.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Discusión, párrafos 2 y 3: descomposición mediacional vía DAG; triangulación con componente cualitativo.</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Discusión — generalización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21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Comente la posibilidad de generalizar los resultados.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Discusión: aplicable a territorios indígenas y rurales latinoamericanos con sistemas de vigilancia similares; precaución para extrapolación a contextos urbanos de alto ingreso.</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Otra información — financiación</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22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Especifique las fuentes de financiación.</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Declaración de financiación incluida en la carta de sometimiento (separada del manuscrito por triple ciego).</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RECORD 22.1</w:t>
            </w:r>
          </w:p>
        </w:tc>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22.1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Disponibilidad de datos y protocolos.</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line="360" w:lineRule="auto"/>
              <w:jc w:val="left"/>
            </w:pPr>
            <w:r>
              <w:rPr>
                <w:rFonts w:ascii="Times New Roman" w:cs="Times New Roman" w:eastAsia="Times New Roman" w:hAnsi="Times New Roman"/>
                <w:b w:val="false"/>
                <w:bCs w:val="false"/>
                <w:sz w:val="20"/>
                <w:szCs w:val="20"/>
              </w:rPr>
              <w:t xml:space="preserve">Sí. Dataset anonimizado y cuaderno Colab reproducible disponibles como material complementario; protocolo metodológico documentado en este checklist y en el de CAIR.</w:t>
            </w:r>
          </w:p>
        </w:tc>
      </w:tr>
    </w:tbl>
    <w:p>
      <w:pPr>
        <w:pStyle w:val="Heading1"/>
        <w:spacing w:after="160" w:before="320" w:line="360" w:lineRule="auto"/>
      </w:pPr>
      <w:r>
        <w:rPr>
          <w:rFonts w:ascii="Times New Roman" w:cs="Times New Roman" w:eastAsia="Times New Roman" w:hAnsi="Times New Roman"/>
          <w:b/>
          <w:bCs/>
          <w:color w:val="1F4E79"/>
          <w:sz w:val="28"/>
          <w:szCs w:val="28"/>
        </w:rPr>
        <w:t xml:space="preserve">3. Conclusión de cumplimiento RECORD</w:t>
      </w:r>
    </w:p>
    <w:p>
      <w:pPr>
        <w:spacing w:after="100" w:line="360" w:lineRule="auto"/>
        <w:jc w:val="both"/>
      </w:pPr>
      <w:r>
        <w:rPr>
          <w:rFonts w:ascii="Times New Roman" w:cs="Times New Roman" w:eastAsia="Times New Roman" w:hAnsi="Times New Roman"/>
          <w:b w:val="false"/>
          <w:bCs w:val="false"/>
          <w:i w:val="false"/>
          <w:iCs w:val="false"/>
          <w:sz w:val="22"/>
          <w:szCs w:val="22"/>
        </w:rPr>
        <w:t xml:space="preserve">Cumplimiento total: 29/29 ítems atendidos. Los ítems 6.3 (diagrama de flujo) y 13 (diagrama de flujo) se atienden de forma narrativa por restricción editorial de seis elementos visuales; en su lugar, la Figura 1 presenta el marco causal explícito (DAG) que permite seguir la trazabilidad metodológica del estudio.</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i/>
        <w:iCs/>
        <w:sz w:val="18"/>
        <w:szCs w:val="18"/>
      </w:rPr>
      <w:t xml:space="preserve">Checklist RECORD — pág.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line="360" w:lineRule="auto"/>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00" w:before="220" w:line="360" w:lineRule="auto"/>
      <w:outlineLvl w:val="1"/>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RECORD</dc:title>
  <dc:creator>Autores</dc:creator>
  <cp:lastModifiedBy>Un-named</cp:lastModifiedBy>
  <cp:revision>1</cp:revision>
  <dcterms:created xsi:type="dcterms:W3CDTF">2026-05-26T22:04:53.628Z</dcterms:created>
  <dcterms:modified xsi:type="dcterms:W3CDTF">2026-05-26T22:04:53.631Z</dcterms:modified>
</cp:coreProperties>
</file>

<file path=docProps/custom.xml><?xml version="1.0" encoding="utf-8"?>
<Properties xmlns="http://schemas.openxmlformats.org/officeDocument/2006/custom-properties" xmlns:vt="http://schemas.openxmlformats.org/officeDocument/2006/docPropsVTypes"/>
</file>