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9F2" w:rsidRDefault="003559F2" w:rsidP="003559F2">
      <w:r>
        <w:t>Señor</w:t>
      </w:r>
    </w:p>
    <w:p w:rsidR="003559F2" w:rsidRDefault="003559F2" w:rsidP="003559F2">
      <w:r>
        <w:t>JUEZ LABORAL DE CIRCUITO DE BOGOTÁ (REPARTO)</w:t>
      </w:r>
    </w:p>
    <w:p w:rsidR="003559F2" w:rsidRDefault="003559F2" w:rsidP="003559F2">
      <w:r>
        <w:t>E.   S.   D.</w:t>
      </w:r>
    </w:p>
    <w:p w:rsidR="003559F2" w:rsidRDefault="003559F2" w:rsidP="003559F2"/>
    <w:p w:rsidR="003559F2" w:rsidRDefault="003559F2" w:rsidP="003559F2"/>
    <w:p w:rsidR="003559F2" w:rsidRDefault="003559F2" w:rsidP="003559F2"/>
    <w:p w:rsidR="003559F2" w:rsidRDefault="003559F2" w:rsidP="003559F2">
      <w:r>
        <w:t xml:space="preserve">REF: DEMANDA ORDINARIA LABORAL </w:t>
      </w:r>
    </w:p>
    <w:p w:rsidR="003559F2" w:rsidRDefault="003559F2" w:rsidP="003559F2">
      <w:r>
        <w:t>DE: xxxx</w:t>
      </w:r>
    </w:p>
    <w:p w:rsidR="003559F2" w:rsidRDefault="003559F2" w:rsidP="003559F2">
      <w:r>
        <w:t>CONTRA: PROTECCIÓN S.A. PENSIONES Y CESANTÍAS, COLFONDOS S.A. PENSIONES Y CESANTÍAS Y ADMINISTRADORA COLOMBIANA DE PENSIONES ­ COLPENSIONES.</w:t>
      </w:r>
    </w:p>
    <w:p w:rsidR="003559F2" w:rsidRDefault="003559F2" w:rsidP="003559F2">
      <w:r>
        <w:t>Respetado señor Juez:</w:t>
      </w:r>
    </w:p>
    <w:p w:rsidR="003559F2" w:rsidRDefault="003559F2" w:rsidP="003559F2">
      <w:r>
        <w:t>xxxxx, identificado con la cédula de ciudadanía No. xxxxx de Bogotá, abogado titulado con Tarjeta Profesional No. xxxxx expedida  por el Consejo Superior de  la  Judicatura,  actuando   en   la  condición  de  apoderado del  señor xxxx, mayor de edad, domiciliado en Bogotá D.C., identificado con la  cédula  de  ciudadanía  No. xxxxxxx de Medellín, según poder  especial que adjunto, en forma respetuosa formulo demanda   en  contra   de</w:t>
      </w:r>
    </w:p>
    <w:p w:rsidR="00C4759E" w:rsidRDefault="003559F2" w:rsidP="003559F2">
      <w:r>
        <w:t>PROTECCION S.A. PENSIONES Y CESANTIAS, representada por el doctor por el doctor   JUAN DAVID CORREA SOLÓRZANO, o por quien haga sus veces en  condición de  Presidente, en contra de COLFONDOS S.A. PENSIONES Y CESANTIAS, representada legalmente por el doctor ALAIN FOUCRIER VIANA o quien haga sus veces en condición de Presidente y en  contra  de  la  ADMINISTRADORA COLOMBIANA DE PENSIONES -   COLPENSIONES, representada    por   la   doctora ADRIANA MARIA GUZMAN RODRIGUEZ,  o por quien haga sus veces en condición de Presidente, para que previos los trámites  propios de  un  Proceso  Ordinario Laboral  y  mediante   sentencia  que  haga tránsito a cosa juzgada, se condene  a LAS PARTES DEMANDADAS, de conformidad con los hechos y pretensiones que en este escrito se enuncian</w:t>
      </w:r>
    </w:p>
    <w:p w:rsidR="003559F2" w:rsidRDefault="003559F2" w:rsidP="003559F2"/>
    <w:p w:rsidR="003559F2" w:rsidRPr="003559F2" w:rsidRDefault="003559F2" w:rsidP="003559F2">
      <w:pPr>
        <w:jc w:val="center"/>
        <w:rPr>
          <w:b/>
        </w:rPr>
      </w:pPr>
      <w:r>
        <w:rPr>
          <w:b/>
        </w:rPr>
        <w:t>PRETENSIONES:</w:t>
      </w:r>
    </w:p>
    <w:p w:rsidR="003559F2" w:rsidRDefault="003559F2" w:rsidP="003559F2">
      <w:r>
        <w:t>Respetuosamente   solicito al señor Juez proferir sentencia con las siguientes declaraciones y condenas:</w:t>
      </w:r>
    </w:p>
    <w:p w:rsidR="003559F2" w:rsidRDefault="003559F2" w:rsidP="003559F2">
      <w:r w:rsidRPr="003559F2">
        <w:t>PRIMERA: DECLARAR la nulidad absoluta por vicio en el consentimiento, del traslado que el señor xxxx, identificado con la cédula de ciudadanía No. xxxxx de Medellín, hizo del INSTITUTO DE SEGURO SOCIAL - ISS al Régimen de Ahorro Individual a partir  del   1º de septiembre de 2000.</w:t>
      </w:r>
    </w:p>
    <w:p w:rsidR="003559F2" w:rsidRDefault="003559F2" w:rsidP="003559F2">
      <w:r>
        <w:lastRenderedPageBreak/>
        <w:t>SEGUNDA: Como consecuencia de la anterior declaración, y en atención a que la demandante fue trasladada a partir del 1º de septiembre de 2000 del INSTITUTO SEGURO SOCIAL – ISS a la AFP COLFONDOS S.A. PENSIONES Y CESANTIAS, entidad de la que posteriormente fue trasladado a la AFP PORVENIR S.A. PENSIONES Y CESANTIAS, entidad a la que se encuentra afiliado en la actualidad, ORDENAR a los precitados fondos de pensiones AFP COLFONDOS S.A. PENSIONES Y CESANTIAS y AFP PORVENIR S.A. PENSIONES Y CESANTIAS, que anulen la afiliación del</w:t>
      </w:r>
      <w:r>
        <w:t xml:space="preserve"> señor xxxxx a esas Entidades. </w:t>
      </w:r>
    </w:p>
    <w:p w:rsidR="003559F2" w:rsidRDefault="003559F2" w:rsidP="003559F2">
      <w:r>
        <w:t>TERCERA: ORDENAR a los fondos de pensiones AFP COLFONDOS S.A. PENSIONES Y CESANTIAS y AFP PORVENIR S.A. PENSIONES Y CESANTIAS que transfieran    a   COLPENSIONES el  saldo  de  la  cuenta  individual de ahorro del señor xxxxxx, incluyendo la totalidad de los rendimientos financieros, el 3% que haya sido destinado  a gastos de administración y el 1.5% que haya sido destinado  al Fondo</w:t>
      </w:r>
      <w:r>
        <w:t xml:space="preserve"> de Garantía de Pensión Mínima.</w:t>
      </w:r>
    </w:p>
    <w:p w:rsidR="003559F2" w:rsidRDefault="003559F2" w:rsidP="003559F2">
      <w:r>
        <w:t>CUARTA: ORDENAR a los fondos de pensiones AFP COLFONDOS S.A. PENSIONES Y CESANTIAS y AFP PORVENIR S.A. PENSIONES Y CESANTIAS que trasladen a COLPENSIONES la historia laboral del señor xxxxxx, con el detalle de las cotizaciones realizadas a</w:t>
      </w:r>
      <w:r>
        <w:t>l Régimen de Ahorro Individual.</w:t>
      </w:r>
    </w:p>
    <w:p w:rsidR="003559F2" w:rsidRDefault="003559F2" w:rsidP="003559F2">
      <w:r>
        <w:t>QUINTA: ORDENAR a COLPENSIONES que reactive, sin solución de continuidad, la afiliación del señor xxxxxxx, identificado con la cédula de ciudadanía No. xxxxx de xxxx, con todos los derechos pensionales de que gozaba ante</w:t>
      </w:r>
      <w:r>
        <w:t>s del 1º de septiembre de 2000.</w:t>
      </w:r>
    </w:p>
    <w:p w:rsidR="003559F2" w:rsidRDefault="003559F2" w:rsidP="003559F2">
      <w:r>
        <w:t>SEXTA: ORDENAR a COLPENSIONES que registre en la historia laboral del señor xxxxx, identificado con la cédula de ciudadanía No. xxxxx de xxxxx, el detalle de las cotizaciones que le sean transferidas por la AFP COLFONDOS S.A. PENSIONES Y CESANTIAS y AFP PORVENIR S.A. PENSIONES Y CESANTIAS.</w:t>
      </w:r>
    </w:p>
    <w:p w:rsidR="003559F2" w:rsidRDefault="003559F2" w:rsidP="003559F2"/>
    <w:p w:rsidR="003559F2" w:rsidRPr="003559F2" w:rsidRDefault="003559F2" w:rsidP="003559F2">
      <w:pPr>
        <w:jc w:val="center"/>
        <w:rPr>
          <w:b/>
        </w:rPr>
      </w:pPr>
      <w:r w:rsidRPr="003559F2">
        <w:rPr>
          <w:b/>
        </w:rPr>
        <w:t>HECHOS Y OMISIONES QUE FUNDAMENTAN LAS PRETENSIONES</w:t>
      </w:r>
    </w:p>
    <w:p w:rsidR="003559F2" w:rsidRDefault="003559F2" w:rsidP="003559F2"/>
    <w:p w:rsidR="003559F2" w:rsidRDefault="003559F2" w:rsidP="003559F2">
      <w:r>
        <w:t xml:space="preserve">PRIMERO: </w:t>
      </w:r>
      <w:r>
        <w:t>Mi poderdante na</w:t>
      </w:r>
      <w:r>
        <w:t>ció el día 02 de abril de 1954.</w:t>
      </w:r>
    </w:p>
    <w:p w:rsidR="003559F2" w:rsidRDefault="003559F2" w:rsidP="003559F2">
      <w:r>
        <w:t xml:space="preserve">SEGUNDO:  </w:t>
      </w:r>
      <w:r>
        <w:t>Mi mandante inició a prestar sus servicios a la empresa xxxxxx., desde el 29 de septiembre de 1974, fecha en la que comenzó a cotizar en pensiones al</w:t>
      </w:r>
      <w:r>
        <w:t xml:space="preserve"> Instituto de Seguros Sociales.</w:t>
      </w:r>
    </w:p>
    <w:p w:rsidR="003559F2" w:rsidRDefault="003559F2" w:rsidP="003559F2">
      <w:r>
        <w:t xml:space="preserve">TERCERO: </w:t>
      </w:r>
      <w:r>
        <w:t>Desde la precitada fecha y hasta el 31 de agosto de 2000, mi mandante cotizó pensiones al Seguro Social, bajo el Régimen de Prima Media con Prestación Definida.</w:t>
      </w:r>
    </w:p>
    <w:p w:rsidR="003559F2" w:rsidRDefault="003559F2" w:rsidP="003559F2">
      <w:r>
        <w:t xml:space="preserve">CUARTO: </w:t>
      </w:r>
      <w:r>
        <w:t xml:space="preserve">Funcionarios del AFP COLFONDOS S.A. PENSIONES Y CESANTÍAS, valiéndose de información insuficiente y engañosa, hicieron caer a mi mandante en el error de cambiar de régimen pensional. Con posterioridad éste se trasladó desde </w:t>
      </w:r>
      <w:r>
        <w:lastRenderedPageBreak/>
        <w:t>AFP COLFONDOS S.A. PENSIONES Y CESANTÍAS a AFP PORVENIR S.A. PENSIONES Y CESANTIAS, entidad a la que se encuentra afiliado en la actualidad.</w:t>
      </w:r>
    </w:p>
    <w:p w:rsidR="003559F2" w:rsidRDefault="003559F2" w:rsidP="003559F2"/>
    <w:p w:rsidR="003559F2" w:rsidRDefault="003559F2" w:rsidP="003559F2">
      <w:r>
        <w:t xml:space="preserve">QUINTO: </w:t>
      </w:r>
      <w:r>
        <w:t xml:space="preserve">El cambio de régimen fue autorizado por solicitud de mi mandante, basado en un error inducido por el precitado fondo de pensiones, ya que faltó información adecuada, suficiente y cierta </w:t>
      </w:r>
      <w:r>
        <w:t>para el traslado de mi cliente.</w:t>
      </w:r>
    </w:p>
    <w:p w:rsidR="003559F2" w:rsidRDefault="003559F2" w:rsidP="003559F2">
      <w:r>
        <w:t xml:space="preserve">SEXTO: </w:t>
      </w:r>
      <w:r>
        <w:t xml:space="preserve"> Varios compañeros de trabajo de mi poderdante que fueron cambiados de régimen, se dieron cuenta de las condiciones desfavorables por cambio de régimen, y volvieron al Seguro Social en cotización de pensiones en el Régimen de Prima Media con Prestación Definida.</w:t>
      </w:r>
    </w:p>
    <w:p w:rsidR="003559F2" w:rsidRDefault="003559F2" w:rsidP="003559F2">
      <w:r>
        <w:t xml:space="preserve">SÉPTIMO: </w:t>
      </w:r>
      <w:r>
        <w:t xml:space="preserve"> El 16 de abril de 2019, mi mandante con radicado No. xxxxx, copia del cual anexo, presentó la reclamación administrativa a que se refiere el artículo 6º del   Código Procesal del Trabajo y la Seguridad Social, ante la ADMINISTRADORA COLOMBIANA DE PENSIONES – COLPENSIONES.</w:t>
      </w:r>
    </w:p>
    <w:p w:rsidR="003559F2" w:rsidRDefault="003559F2" w:rsidP="003559F2">
      <w:r>
        <w:t xml:space="preserve">OCTAVO: </w:t>
      </w:r>
      <w:r>
        <w:t xml:space="preserve">Con escrito de fecha, 26 de abril de 2019, COLPENSIONES, mediante radicado xxxx, da respuesta a la   reclamación   administrativa adelantada por mi mandante, informándole que no   es procedente atender su solicitud de traslado de régimen pensional, por cuanto le faltan menos de diez (10) años para cumplir la edad para tener derecho a la pensión de vejez.  </w:t>
      </w:r>
    </w:p>
    <w:p w:rsidR="003559F2" w:rsidRDefault="003559F2" w:rsidP="003559F2">
      <w:r>
        <w:t xml:space="preserve">NOVENO: </w:t>
      </w:r>
      <w:r>
        <w:t xml:space="preserve"> El 16 de abril de 2019, mi mandante con radicado No. xxxxx, copia del cual anexo, presentó a la AFP COLFONDOS S.A. PENSIONES Y CESANTIAS reclamación administrativa solicitando anular su afiliación a esa Entidad y que traslade a COLPENSIONES el saldo de la cuenta individual de ahorro de la peticionaria y la historia laboral de la misma con detalle de las cotizaciones realizadas.</w:t>
      </w:r>
    </w:p>
    <w:p w:rsidR="003559F2" w:rsidRDefault="003559F2" w:rsidP="003559F2">
      <w:r>
        <w:t xml:space="preserve">DECIMO: </w:t>
      </w:r>
      <w:r>
        <w:t xml:space="preserve"> El día 13 de mayo de 2019, AFP COLFO</w:t>
      </w:r>
      <w:r>
        <w:t xml:space="preserve">NDOS S.A. PENSIONES Y CESANTIAS </w:t>
      </w:r>
      <w:r>
        <w:t>da respuesta a la reclamación administrativa adelantada por mi mandante, informándole que no   es procedente atender su solicitud de traslado de régimen pensional.</w:t>
      </w:r>
    </w:p>
    <w:p w:rsidR="003559F2" w:rsidRDefault="003559F2" w:rsidP="003559F2">
      <w:r>
        <w:t xml:space="preserve">DECIMO PRIMERO: </w:t>
      </w:r>
      <w:r>
        <w:t>El día 16 de abril de 2019, mi mandante, presentó a la AFP PROTECCIÓN S.A. PENSIONES Y CESANTIAS reclamación administrativa solicitando anular su afiliación a esa Entidad y que traslade a COLPENSIONES el saldo de la cuenta individual de ahorro de la peticionaria y la historia laboral de la misma con detalle de las cotizaciones realizadas. Se anexa copia de la misma.</w:t>
      </w:r>
    </w:p>
    <w:p w:rsidR="003559F2" w:rsidRDefault="003559F2" w:rsidP="003559F2">
      <w:r>
        <w:t xml:space="preserve">DÉCIMO SEGUNDO: </w:t>
      </w:r>
      <w:r>
        <w:t>El día 17 de mayo de 2019, AFP PROTECCIÓN S.A. PENSIONES Y CESANTIAS da respuesta a la reclamación administrativa adelantada por mi mandante, informándole que no   es procedente atender su solicitud de traslado de régimen pensional.</w:t>
      </w:r>
    </w:p>
    <w:p w:rsidR="003559F2" w:rsidRDefault="003559F2" w:rsidP="003559F2"/>
    <w:p w:rsidR="003559F2" w:rsidRDefault="003559F2" w:rsidP="003559F2">
      <w:r>
        <w:lastRenderedPageBreak/>
        <w:t xml:space="preserve">DÉCIMO TERCERO: </w:t>
      </w:r>
      <w:r>
        <w:t xml:space="preserve"> Mediante comunicación escrita, AFP PROTECCIÓN S.A. PENSIONES Y CESANTIAS le informó al DEMANDANTE que el valor estimado de su pensión a los 64 años de edad, sería una pensión mínima por operar para su caso la garantía de pensión mínima.</w:t>
      </w:r>
    </w:p>
    <w:p w:rsidR="003559F2" w:rsidRDefault="003559F2" w:rsidP="003559F2">
      <w:r>
        <w:t xml:space="preserve">DECIMO CUARTO: </w:t>
      </w:r>
      <w:r>
        <w:t xml:space="preserve"> AFP PROTECCIÓN S.A. PENSIONES Y CESANTIAS le suministró al DEMANDANTE una historia laboral fechada 27 de marzo de 2019. Con los salarios cotizados que figuran en esa historia laboral se establece que el promedio salarial de los años cotizados, con corte al 28 de febrero de 2019, es de $1.788.015, como se puede ver en el siguiente detalle:</w:t>
      </w:r>
    </w:p>
    <w:p w:rsidR="003559F2" w:rsidRDefault="003559F2" w:rsidP="003559F2"/>
    <w:p w:rsidR="003559F2" w:rsidRPr="00044FFE" w:rsidRDefault="003559F2" w:rsidP="003559F2">
      <w:pPr>
        <w:spacing w:before="19" w:after="0" w:line="280" w:lineRule="exact"/>
        <w:jc w:val="center"/>
        <w:rPr>
          <w:rFonts w:cs="Arial"/>
          <w:b/>
          <w:color w:val="000000" w:themeColor="text1"/>
          <w:szCs w:val="24"/>
          <w:u w:val="single"/>
        </w:rPr>
      </w:pPr>
      <w:r w:rsidRPr="00044FFE">
        <w:rPr>
          <w:rFonts w:cs="Arial"/>
          <w:b/>
          <w:color w:val="000000" w:themeColor="text1"/>
          <w:szCs w:val="24"/>
          <w:u w:val="single"/>
        </w:rPr>
        <w:t>Cuadro promedio salarial</w:t>
      </w:r>
    </w:p>
    <w:p w:rsidR="003559F2" w:rsidRPr="00044FFE" w:rsidRDefault="003559F2" w:rsidP="003559F2">
      <w:pPr>
        <w:spacing w:before="19" w:after="0" w:line="280" w:lineRule="exact"/>
        <w:jc w:val="center"/>
        <w:rPr>
          <w:rFonts w:cs="Arial"/>
          <w:b/>
          <w:color w:val="000000" w:themeColor="text1"/>
          <w:szCs w:val="24"/>
          <w:u w:val="single"/>
        </w:rPr>
      </w:pPr>
    </w:p>
    <w:tbl>
      <w:tblPr>
        <w:tblW w:w="9842" w:type="dxa"/>
        <w:tblCellMar>
          <w:left w:w="70" w:type="dxa"/>
          <w:right w:w="70" w:type="dxa"/>
        </w:tblCellMar>
        <w:tblLook w:val="04A0" w:firstRow="1" w:lastRow="0" w:firstColumn="1" w:lastColumn="0" w:noHBand="0" w:noVBand="1"/>
      </w:tblPr>
      <w:tblGrid>
        <w:gridCol w:w="563"/>
        <w:gridCol w:w="1737"/>
        <w:gridCol w:w="1420"/>
        <w:gridCol w:w="1208"/>
        <w:gridCol w:w="940"/>
        <w:gridCol w:w="1194"/>
        <w:gridCol w:w="1380"/>
        <w:gridCol w:w="1400"/>
      </w:tblGrid>
      <w:tr w:rsidR="003559F2" w:rsidRPr="00044FFE" w:rsidTr="003559F2">
        <w:trPr>
          <w:trHeight w:val="315"/>
        </w:trPr>
        <w:tc>
          <w:tcPr>
            <w:tcW w:w="2300" w:type="dxa"/>
            <w:gridSpan w:val="2"/>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b/>
                <w:bCs/>
                <w:color w:val="000000"/>
                <w:szCs w:val="24"/>
                <w:lang w:eastAsia="es-CO"/>
              </w:rPr>
            </w:pPr>
          </w:p>
        </w:tc>
        <w:tc>
          <w:tcPr>
            <w:tcW w:w="142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b/>
                <w:bCs/>
                <w:color w:val="000000"/>
                <w:szCs w:val="24"/>
                <w:lang w:eastAsia="es-CO"/>
              </w:rPr>
            </w:pPr>
          </w:p>
        </w:tc>
        <w:tc>
          <w:tcPr>
            <w:tcW w:w="1208"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40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3559F2">
        <w:trPr>
          <w:trHeight w:val="330"/>
        </w:trPr>
        <w:tc>
          <w:tcPr>
            <w:tcW w:w="9842" w:type="dxa"/>
            <w:gridSpan w:val="8"/>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xxxxxx - C.C. NO xxxxx</w:t>
            </w:r>
          </w:p>
        </w:tc>
      </w:tr>
      <w:tr w:rsidR="003559F2" w:rsidRPr="00044FFE" w:rsidTr="003559F2">
        <w:trPr>
          <w:trHeight w:val="510"/>
        </w:trPr>
        <w:tc>
          <w:tcPr>
            <w:tcW w:w="563" w:type="dxa"/>
            <w:tcBorders>
              <w:top w:val="nil"/>
              <w:left w:val="single" w:sz="8" w:space="0" w:color="auto"/>
              <w:bottom w:val="nil"/>
              <w:right w:val="single" w:sz="8"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No.</w:t>
            </w:r>
          </w:p>
        </w:tc>
        <w:tc>
          <w:tcPr>
            <w:tcW w:w="1737" w:type="dxa"/>
            <w:tcBorders>
              <w:top w:val="nil"/>
              <w:left w:val="nil"/>
              <w:bottom w:val="nil"/>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Desde</w:t>
            </w:r>
          </w:p>
        </w:tc>
        <w:tc>
          <w:tcPr>
            <w:tcW w:w="1420" w:type="dxa"/>
            <w:tcBorders>
              <w:top w:val="nil"/>
              <w:left w:val="nil"/>
              <w:bottom w:val="nil"/>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Hasta</w:t>
            </w:r>
          </w:p>
        </w:tc>
        <w:tc>
          <w:tcPr>
            <w:tcW w:w="1208" w:type="dxa"/>
            <w:tcBorders>
              <w:top w:val="nil"/>
              <w:left w:val="nil"/>
              <w:bottom w:val="nil"/>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Ingreso Base</w:t>
            </w:r>
          </w:p>
        </w:tc>
        <w:tc>
          <w:tcPr>
            <w:tcW w:w="940" w:type="dxa"/>
            <w:tcBorders>
              <w:top w:val="nil"/>
              <w:left w:val="nil"/>
              <w:bottom w:val="nil"/>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No. Dias</w:t>
            </w:r>
          </w:p>
        </w:tc>
        <w:tc>
          <w:tcPr>
            <w:tcW w:w="1194" w:type="dxa"/>
            <w:tcBorders>
              <w:top w:val="nil"/>
              <w:left w:val="nil"/>
              <w:bottom w:val="nil"/>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No. Semanas</w:t>
            </w:r>
          </w:p>
        </w:tc>
        <w:tc>
          <w:tcPr>
            <w:tcW w:w="1380" w:type="dxa"/>
            <w:tcBorders>
              <w:top w:val="nil"/>
              <w:left w:val="nil"/>
              <w:bottom w:val="nil"/>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Ingreso actual</w:t>
            </w:r>
          </w:p>
        </w:tc>
        <w:tc>
          <w:tcPr>
            <w:tcW w:w="1400" w:type="dxa"/>
            <w:tcBorders>
              <w:top w:val="nil"/>
              <w:left w:val="nil"/>
              <w:bottom w:val="nil"/>
              <w:right w:val="single" w:sz="8"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Dias* Ingreso</w:t>
            </w:r>
          </w:p>
        </w:tc>
      </w:tr>
      <w:tr w:rsidR="003559F2" w:rsidRPr="00044FFE" w:rsidTr="003559F2">
        <w:trPr>
          <w:trHeight w:val="300"/>
        </w:trPr>
        <w:tc>
          <w:tcPr>
            <w:tcW w:w="5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1</w:t>
            </w:r>
          </w:p>
        </w:tc>
        <w:tc>
          <w:tcPr>
            <w:tcW w:w="1737" w:type="dxa"/>
            <w:tcBorders>
              <w:top w:val="single" w:sz="4" w:space="0" w:color="auto"/>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1/04/2009</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30/04/2009</w:t>
            </w:r>
          </w:p>
        </w:tc>
        <w:tc>
          <w:tcPr>
            <w:tcW w:w="1208" w:type="dxa"/>
            <w:tcBorders>
              <w:top w:val="single" w:sz="4" w:space="0" w:color="auto"/>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right"/>
              <w:rPr>
                <w:rFonts w:eastAsia="Times New Roman" w:cs="Arial"/>
                <w:szCs w:val="24"/>
                <w:lang w:eastAsia="es-CO"/>
              </w:rPr>
            </w:pPr>
            <w:r w:rsidRPr="00044FFE">
              <w:rPr>
                <w:rFonts w:eastAsia="Times New Roman" w:cs="Arial"/>
                <w:szCs w:val="24"/>
                <w:lang w:eastAsia="es-CO"/>
              </w:rPr>
              <w:t xml:space="preserve">  1.309.000 </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30</w:t>
            </w:r>
          </w:p>
        </w:tc>
        <w:tc>
          <w:tcPr>
            <w:tcW w:w="1194" w:type="dxa"/>
            <w:tcBorders>
              <w:top w:val="single" w:sz="4" w:space="0" w:color="auto"/>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4,29</w:t>
            </w:r>
          </w:p>
        </w:tc>
        <w:tc>
          <w:tcPr>
            <w:tcW w:w="1380" w:type="dxa"/>
            <w:tcBorders>
              <w:top w:val="single" w:sz="4" w:space="0" w:color="auto"/>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 xml:space="preserve">         1.838.895 </w:t>
            </w:r>
          </w:p>
        </w:tc>
        <w:tc>
          <w:tcPr>
            <w:tcW w:w="1400" w:type="dxa"/>
            <w:tcBorders>
              <w:top w:val="single" w:sz="4" w:space="0" w:color="auto"/>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right"/>
              <w:rPr>
                <w:rFonts w:eastAsia="Times New Roman" w:cs="Arial"/>
                <w:szCs w:val="24"/>
                <w:lang w:eastAsia="es-CO"/>
              </w:rPr>
            </w:pPr>
            <w:r w:rsidRPr="00044FFE">
              <w:rPr>
                <w:rFonts w:eastAsia="Times New Roman" w:cs="Arial"/>
                <w:szCs w:val="24"/>
                <w:lang w:eastAsia="es-CO"/>
              </w:rPr>
              <w:t>55.166.860</w:t>
            </w:r>
          </w:p>
        </w:tc>
      </w:tr>
      <w:tr w:rsidR="003559F2" w:rsidRPr="00044FFE" w:rsidTr="003559F2">
        <w:trPr>
          <w:trHeight w:val="300"/>
        </w:trPr>
        <w:tc>
          <w:tcPr>
            <w:tcW w:w="563" w:type="dxa"/>
            <w:tcBorders>
              <w:top w:val="nil"/>
              <w:left w:val="single" w:sz="4" w:space="0" w:color="auto"/>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2</w:t>
            </w:r>
          </w:p>
        </w:tc>
        <w:tc>
          <w:tcPr>
            <w:tcW w:w="1737" w:type="dxa"/>
            <w:tcBorders>
              <w:top w:val="nil"/>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Pr>
                <w:rFonts w:eastAsia="Times New Roman" w:cs="Arial"/>
                <w:szCs w:val="24"/>
                <w:lang w:eastAsia="es-CO"/>
              </w:rPr>
              <w:t>1/05/20</w:t>
            </w:r>
            <w:r w:rsidRPr="00044FFE">
              <w:rPr>
                <w:rFonts w:eastAsia="Times New Roman" w:cs="Arial"/>
                <w:szCs w:val="24"/>
                <w:lang w:eastAsia="es-CO"/>
              </w:rPr>
              <w:t>9</w:t>
            </w:r>
          </w:p>
        </w:tc>
        <w:tc>
          <w:tcPr>
            <w:tcW w:w="1420" w:type="dxa"/>
            <w:tcBorders>
              <w:top w:val="nil"/>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31/05/2009</w:t>
            </w:r>
          </w:p>
        </w:tc>
        <w:tc>
          <w:tcPr>
            <w:tcW w:w="1208" w:type="dxa"/>
            <w:tcBorders>
              <w:top w:val="nil"/>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right"/>
              <w:rPr>
                <w:rFonts w:eastAsia="Times New Roman" w:cs="Arial"/>
                <w:szCs w:val="24"/>
                <w:lang w:eastAsia="es-CO"/>
              </w:rPr>
            </w:pPr>
            <w:r w:rsidRPr="00044FFE">
              <w:rPr>
                <w:rFonts w:eastAsia="Times New Roman" w:cs="Arial"/>
                <w:szCs w:val="24"/>
                <w:lang w:eastAsia="es-CO"/>
              </w:rPr>
              <w:t xml:space="preserve">  1.257.000 </w:t>
            </w:r>
          </w:p>
        </w:tc>
        <w:tc>
          <w:tcPr>
            <w:tcW w:w="940" w:type="dxa"/>
            <w:tcBorders>
              <w:top w:val="nil"/>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30</w:t>
            </w:r>
          </w:p>
        </w:tc>
        <w:tc>
          <w:tcPr>
            <w:tcW w:w="1194" w:type="dxa"/>
            <w:tcBorders>
              <w:top w:val="nil"/>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4,29</w:t>
            </w:r>
          </w:p>
        </w:tc>
        <w:tc>
          <w:tcPr>
            <w:tcW w:w="1380" w:type="dxa"/>
            <w:tcBorders>
              <w:top w:val="nil"/>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 xml:space="preserve">         1.765.845 </w:t>
            </w:r>
          </w:p>
        </w:tc>
        <w:tc>
          <w:tcPr>
            <w:tcW w:w="1400" w:type="dxa"/>
            <w:tcBorders>
              <w:top w:val="nil"/>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right"/>
              <w:rPr>
                <w:rFonts w:eastAsia="Times New Roman" w:cs="Arial"/>
                <w:szCs w:val="24"/>
                <w:lang w:eastAsia="es-CO"/>
              </w:rPr>
            </w:pPr>
            <w:r w:rsidRPr="00044FFE">
              <w:rPr>
                <w:rFonts w:eastAsia="Times New Roman" w:cs="Arial"/>
                <w:szCs w:val="24"/>
                <w:lang w:eastAsia="es-CO"/>
              </w:rPr>
              <w:t>52.975.357</w:t>
            </w:r>
          </w:p>
        </w:tc>
      </w:tr>
    </w:tbl>
    <w:tbl>
      <w:tblPr>
        <w:tblpPr w:leftFromText="141" w:rightFromText="141" w:vertAnchor="text" w:horzAnchor="margin" w:tblpXSpec="center" w:tblpY="-1256"/>
        <w:tblW w:w="10117" w:type="dxa"/>
        <w:tblCellMar>
          <w:left w:w="70" w:type="dxa"/>
          <w:right w:w="70" w:type="dxa"/>
        </w:tblCellMar>
        <w:tblLook w:val="04A0" w:firstRow="1" w:lastRow="0" w:firstColumn="1" w:lastColumn="0" w:noHBand="0" w:noVBand="1"/>
      </w:tblPr>
      <w:tblGrid>
        <w:gridCol w:w="563"/>
        <w:gridCol w:w="1737"/>
        <w:gridCol w:w="1420"/>
        <w:gridCol w:w="1208"/>
        <w:gridCol w:w="940"/>
        <w:gridCol w:w="1194"/>
        <w:gridCol w:w="1380"/>
        <w:gridCol w:w="1675"/>
      </w:tblGrid>
      <w:tr w:rsidR="003559F2" w:rsidRPr="00044FFE" w:rsidTr="00F0680A">
        <w:trPr>
          <w:trHeight w:val="315"/>
        </w:trPr>
        <w:tc>
          <w:tcPr>
            <w:tcW w:w="4928" w:type="dxa"/>
            <w:gridSpan w:val="4"/>
            <w:tcBorders>
              <w:top w:val="nil"/>
              <w:left w:val="single" w:sz="8" w:space="0" w:color="auto"/>
              <w:bottom w:val="single" w:sz="8" w:space="0" w:color="auto"/>
              <w:right w:val="single" w:sz="4" w:space="0" w:color="000000"/>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lastRenderedPageBreak/>
              <w:t>TOTAL</w:t>
            </w:r>
          </w:p>
        </w:tc>
        <w:tc>
          <w:tcPr>
            <w:tcW w:w="940" w:type="dxa"/>
            <w:tcBorders>
              <w:top w:val="single" w:sz="8" w:space="0" w:color="auto"/>
              <w:left w:val="nil"/>
              <w:bottom w:val="single" w:sz="8"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3.600</w:t>
            </w:r>
          </w:p>
        </w:tc>
        <w:tc>
          <w:tcPr>
            <w:tcW w:w="1194" w:type="dxa"/>
            <w:tcBorders>
              <w:top w:val="single" w:sz="8" w:space="0" w:color="auto"/>
              <w:left w:val="nil"/>
              <w:bottom w:val="single" w:sz="8"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 </w:t>
            </w:r>
          </w:p>
        </w:tc>
        <w:tc>
          <w:tcPr>
            <w:tcW w:w="1380" w:type="dxa"/>
            <w:tcBorders>
              <w:top w:val="single" w:sz="8" w:space="0" w:color="auto"/>
              <w:left w:val="nil"/>
              <w:bottom w:val="single" w:sz="8"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 </w:t>
            </w:r>
          </w:p>
        </w:tc>
        <w:tc>
          <w:tcPr>
            <w:tcW w:w="1675" w:type="dxa"/>
            <w:tcBorders>
              <w:top w:val="single" w:sz="8" w:space="0" w:color="auto"/>
              <w:left w:val="nil"/>
              <w:bottom w:val="single" w:sz="8" w:space="0" w:color="auto"/>
              <w:right w:val="single" w:sz="4"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6.436.853.748</w:t>
            </w:r>
          </w:p>
        </w:tc>
      </w:tr>
      <w:tr w:rsidR="003559F2" w:rsidRPr="00044FFE" w:rsidTr="00F0680A">
        <w:trPr>
          <w:trHeight w:val="300"/>
        </w:trPr>
        <w:tc>
          <w:tcPr>
            <w:tcW w:w="563"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p>
        </w:tc>
        <w:tc>
          <w:tcPr>
            <w:tcW w:w="1737"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c>
          <w:tcPr>
            <w:tcW w:w="142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208"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r>
      <w:tr w:rsidR="003559F2" w:rsidRPr="00044FFE" w:rsidTr="00F0680A">
        <w:trPr>
          <w:trHeight w:val="345"/>
        </w:trPr>
        <w:tc>
          <w:tcPr>
            <w:tcW w:w="4928" w:type="dxa"/>
            <w:gridSpan w:val="4"/>
            <w:tcBorders>
              <w:top w:val="nil"/>
              <w:left w:val="nil"/>
              <w:bottom w:val="single" w:sz="8" w:space="0" w:color="auto"/>
              <w:right w:val="nil"/>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RESULTADOS DE LA LIQUIDACION</w:t>
            </w: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b/>
                <w:bCs/>
                <w:color w:val="000000"/>
                <w:szCs w:val="24"/>
                <w:u w:val="single"/>
                <w:lang w:eastAsia="es-CO"/>
              </w:rPr>
            </w:pPr>
            <w:r w:rsidRPr="00044FFE">
              <w:rPr>
                <w:rFonts w:eastAsia="Times New Roman" w:cs="Arial"/>
                <w:b/>
                <w:bCs/>
                <w:color w:val="000000"/>
                <w:szCs w:val="24"/>
                <w:u w:val="single"/>
                <w:lang w:eastAsia="es-CO"/>
              </w:rPr>
              <w:t xml:space="preserve">          1.788.015 </w:t>
            </w:r>
          </w:p>
        </w:tc>
      </w:tr>
      <w:tr w:rsidR="003559F2" w:rsidRPr="00044FFE" w:rsidTr="00F0680A">
        <w:trPr>
          <w:trHeight w:val="300"/>
        </w:trPr>
        <w:tc>
          <w:tcPr>
            <w:tcW w:w="3720" w:type="dxa"/>
            <w:gridSpan w:val="3"/>
            <w:tcBorders>
              <w:top w:val="single" w:sz="8" w:space="0" w:color="auto"/>
              <w:left w:val="single" w:sz="8" w:space="0" w:color="auto"/>
              <w:bottom w:val="single" w:sz="4" w:space="0" w:color="auto"/>
              <w:right w:val="single" w:sz="8" w:space="0" w:color="000000"/>
            </w:tcBorders>
            <w:shd w:val="clear" w:color="auto" w:fill="auto"/>
            <w:noWrap/>
            <w:vAlign w:val="bottom"/>
            <w:hideMark/>
          </w:tcPr>
          <w:p w:rsidR="003559F2" w:rsidRPr="00044FFE" w:rsidRDefault="003559F2" w:rsidP="00F0680A">
            <w:pPr>
              <w:spacing w:after="0"/>
              <w:rPr>
                <w:rFonts w:eastAsia="Times New Roman" w:cs="Arial"/>
                <w:szCs w:val="24"/>
                <w:lang w:eastAsia="es-CO"/>
              </w:rPr>
            </w:pPr>
            <w:r w:rsidRPr="00044FFE">
              <w:rPr>
                <w:rFonts w:eastAsia="Times New Roman" w:cs="Arial"/>
                <w:szCs w:val="24"/>
                <w:lang w:eastAsia="es-CO"/>
              </w:rPr>
              <w:t>I.B.L. (Ingreso base de liquidación)</w:t>
            </w:r>
          </w:p>
        </w:tc>
        <w:tc>
          <w:tcPr>
            <w:tcW w:w="1208" w:type="dxa"/>
            <w:tcBorders>
              <w:top w:val="nil"/>
              <w:left w:val="nil"/>
              <w:bottom w:val="single" w:sz="4" w:space="0" w:color="auto"/>
              <w:right w:val="single" w:sz="8"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$ 1.788.015</w:t>
            </w: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r>
      <w:tr w:rsidR="003559F2" w:rsidRPr="00044FFE" w:rsidTr="00F0680A">
        <w:trPr>
          <w:trHeight w:val="300"/>
        </w:trPr>
        <w:tc>
          <w:tcPr>
            <w:tcW w:w="2300" w:type="dxa"/>
            <w:gridSpan w:val="2"/>
            <w:tcBorders>
              <w:top w:val="single" w:sz="4" w:space="0" w:color="auto"/>
              <w:left w:val="single" w:sz="8" w:space="0" w:color="auto"/>
              <w:bottom w:val="single" w:sz="4" w:space="0" w:color="auto"/>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r w:rsidRPr="00044FFE">
              <w:rPr>
                <w:rFonts w:eastAsia="Times New Roman" w:cs="Arial"/>
                <w:szCs w:val="24"/>
                <w:lang w:eastAsia="es-CO"/>
              </w:rPr>
              <w:t>Monto de  la pensión (%)</w:t>
            </w:r>
          </w:p>
        </w:tc>
        <w:tc>
          <w:tcPr>
            <w:tcW w:w="1420" w:type="dxa"/>
            <w:tcBorders>
              <w:top w:val="nil"/>
              <w:left w:val="nil"/>
              <w:bottom w:val="single" w:sz="4" w:space="0" w:color="auto"/>
              <w:right w:val="single" w:sz="8" w:space="0" w:color="auto"/>
            </w:tcBorders>
            <w:shd w:val="clear" w:color="auto" w:fill="auto"/>
            <w:noWrap/>
            <w:vAlign w:val="bottom"/>
            <w:hideMark/>
          </w:tcPr>
          <w:p w:rsidR="003559F2" w:rsidRPr="00044FFE" w:rsidRDefault="003559F2" w:rsidP="00F0680A">
            <w:pPr>
              <w:spacing w:after="0"/>
              <w:rPr>
                <w:rFonts w:eastAsia="Times New Roman" w:cs="Arial"/>
                <w:szCs w:val="24"/>
                <w:lang w:eastAsia="es-CO"/>
              </w:rPr>
            </w:pPr>
            <w:r w:rsidRPr="00044FFE">
              <w:rPr>
                <w:rFonts w:eastAsia="Times New Roman" w:cs="Arial"/>
                <w:szCs w:val="24"/>
                <w:lang w:eastAsia="es-CO"/>
              </w:rPr>
              <w:t> </w:t>
            </w:r>
          </w:p>
        </w:tc>
        <w:tc>
          <w:tcPr>
            <w:tcW w:w="1208" w:type="dxa"/>
            <w:tcBorders>
              <w:top w:val="nil"/>
              <w:left w:val="nil"/>
              <w:bottom w:val="single" w:sz="4" w:space="0" w:color="auto"/>
              <w:right w:val="single" w:sz="8"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80,00</w:t>
            </w: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r>
      <w:tr w:rsidR="003559F2" w:rsidRPr="00044FFE" w:rsidTr="00F0680A">
        <w:trPr>
          <w:trHeight w:val="300"/>
        </w:trPr>
        <w:tc>
          <w:tcPr>
            <w:tcW w:w="2300" w:type="dxa"/>
            <w:gridSpan w:val="2"/>
            <w:tcBorders>
              <w:top w:val="single" w:sz="4" w:space="0" w:color="auto"/>
              <w:left w:val="single" w:sz="8" w:space="0" w:color="auto"/>
              <w:bottom w:val="single" w:sz="4" w:space="0" w:color="auto"/>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r w:rsidRPr="00044FFE">
              <w:rPr>
                <w:rFonts w:eastAsia="Times New Roman" w:cs="Arial"/>
                <w:szCs w:val="24"/>
                <w:lang w:eastAsia="es-CO"/>
              </w:rPr>
              <w:t>Número de semanas</w:t>
            </w:r>
          </w:p>
        </w:tc>
        <w:tc>
          <w:tcPr>
            <w:tcW w:w="1420" w:type="dxa"/>
            <w:tcBorders>
              <w:top w:val="nil"/>
              <w:left w:val="nil"/>
              <w:bottom w:val="single" w:sz="4" w:space="0" w:color="auto"/>
              <w:right w:val="single" w:sz="8" w:space="0" w:color="auto"/>
            </w:tcBorders>
            <w:shd w:val="clear" w:color="auto" w:fill="auto"/>
            <w:noWrap/>
            <w:vAlign w:val="bottom"/>
            <w:hideMark/>
          </w:tcPr>
          <w:p w:rsidR="003559F2" w:rsidRPr="00044FFE" w:rsidRDefault="003559F2" w:rsidP="00F0680A">
            <w:pPr>
              <w:spacing w:after="0"/>
              <w:rPr>
                <w:rFonts w:eastAsia="Times New Roman" w:cs="Arial"/>
                <w:szCs w:val="24"/>
                <w:lang w:eastAsia="es-CO"/>
              </w:rPr>
            </w:pPr>
            <w:r w:rsidRPr="00044FFE">
              <w:rPr>
                <w:rFonts w:eastAsia="Times New Roman" w:cs="Arial"/>
                <w:szCs w:val="24"/>
                <w:lang w:eastAsia="es-CO"/>
              </w:rPr>
              <w:t> </w:t>
            </w:r>
          </w:p>
        </w:tc>
        <w:tc>
          <w:tcPr>
            <w:tcW w:w="1208" w:type="dxa"/>
            <w:tcBorders>
              <w:top w:val="nil"/>
              <w:left w:val="nil"/>
              <w:bottom w:val="single" w:sz="4" w:space="0" w:color="auto"/>
              <w:right w:val="single" w:sz="8" w:space="0" w:color="auto"/>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r w:rsidRPr="00044FFE">
              <w:rPr>
                <w:rFonts w:eastAsia="Times New Roman" w:cs="Arial"/>
                <w:szCs w:val="24"/>
                <w:lang w:eastAsia="es-CO"/>
              </w:rPr>
              <w:t>1.981,15</w:t>
            </w: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F0680A">
        <w:trPr>
          <w:trHeight w:val="300"/>
        </w:trPr>
        <w:tc>
          <w:tcPr>
            <w:tcW w:w="2300" w:type="dxa"/>
            <w:gridSpan w:val="2"/>
            <w:tcBorders>
              <w:top w:val="single" w:sz="4" w:space="0" w:color="auto"/>
              <w:left w:val="single" w:sz="8" w:space="0" w:color="auto"/>
              <w:bottom w:val="single" w:sz="4" w:space="0" w:color="auto"/>
              <w:right w:val="nil"/>
            </w:tcBorders>
            <w:shd w:val="clear" w:color="auto" w:fill="auto"/>
            <w:noWrap/>
            <w:vAlign w:val="bottom"/>
            <w:hideMark/>
          </w:tcPr>
          <w:p w:rsidR="003559F2" w:rsidRPr="00044FFE" w:rsidRDefault="003559F2" w:rsidP="00F0680A">
            <w:pPr>
              <w:spacing w:after="0"/>
              <w:rPr>
                <w:rFonts w:eastAsia="Times New Roman" w:cs="Arial"/>
                <w:b/>
                <w:bCs/>
                <w:szCs w:val="24"/>
                <w:lang w:eastAsia="es-CO"/>
              </w:rPr>
            </w:pPr>
            <w:r w:rsidRPr="00044FFE">
              <w:rPr>
                <w:rFonts w:eastAsia="Times New Roman" w:cs="Arial"/>
                <w:b/>
                <w:bCs/>
                <w:szCs w:val="24"/>
                <w:lang w:eastAsia="es-CO"/>
              </w:rPr>
              <w:t>Valor mesada año 2018</w:t>
            </w:r>
          </w:p>
        </w:tc>
        <w:tc>
          <w:tcPr>
            <w:tcW w:w="1420" w:type="dxa"/>
            <w:tcBorders>
              <w:top w:val="nil"/>
              <w:left w:val="nil"/>
              <w:bottom w:val="single" w:sz="4" w:space="0" w:color="auto"/>
              <w:right w:val="single" w:sz="8" w:space="0" w:color="auto"/>
            </w:tcBorders>
            <w:shd w:val="clear" w:color="auto" w:fill="auto"/>
            <w:noWrap/>
            <w:vAlign w:val="bottom"/>
            <w:hideMark/>
          </w:tcPr>
          <w:p w:rsidR="003559F2" w:rsidRPr="00044FFE" w:rsidRDefault="003559F2" w:rsidP="00F0680A">
            <w:pPr>
              <w:spacing w:after="0"/>
              <w:rPr>
                <w:rFonts w:eastAsia="Times New Roman" w:cs="Arial"/>
                <w:b/>
                <w:bCs/>
                <w:szCs w:val="24"/>
                <w:lang w:eastAsia="es-CO"/>
              </w:rPr>
            </w:pPr>
            <w:r w:rsidRPr="00044FFE">
              <w:rPr>
                <w:rFonts w:eastAsia="Times New Roman" w:cs="Arial"/>
                <w:b/>
                <w:bCs/>
                <w:szCs w:val="24"/>
                <w:lang w:eastAsia="es-CO"/>
              </w:rPr>
              <w:t> </w:t>
            </w:r>
          </w:p>
        </w:tc>
        <w:tc>
          <w:tcPr>
            <w:tcW w:w="1208" w:type="dxa"/>
            <w:tcBorders>
              <w:top w:val="nil"/>
              <w:left w:val="nil"/>
              <w:bottom w:val="single" w:sz="4" w:space="0" w:color="auto"/>
              <w:right w:val="single" w:sz="8" w:space="0" w:color="auto"/>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r w:rsidRPr="00044FFE">
              <w:rPr>
                <w:rFonts w:eastAsia="Times New Roman" w:cs="Arial"/>
                <w:b/>
                <w:bCs/>
                <w:szCs w:val="24"/>
                <w:lang w:eastAsia="es-CO"/>
              </w:rPr>
              <w:t>1.430.412</w:t>
            </w: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jc w:val="center"/>
              <w:rPr>
                <w:rFonts w:eastAsia="Times New Roman" w:cs="Arial"/>
                <w:b/>
                <w:bCs/>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F0680A">
        <w:trPr>
          <w:trHeight w:val="300"/>
        </w:trPr>
        <w:tc>
          <w:tcPr>
            <w:tcW w:w="563"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737"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42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208"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F0680A">
        <w:trPr>
          <w:trHeight w:val="300"/>
        </w:trPr>
        <w:tc>
          <w:tcPr>
            <w:tcW w:w="563"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737"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42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208"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F0680A">
        <w:trPr>
          <w:trHeight w:val="300"/>
        </w:trPr>
        <w:tc>
          <w:tcPr>
            <w:tcW w:w="3720" w:type="dxa"/>
            <w:gridSpan w:val="3"/>
            <w:tcBorders>
              <w:top w:val="single" w:sz="4" w:space="0" w:color="auto"/>
              <w:left w:val="single" w:sz="4" w:space="0" w:color="auto"/>
              <w:bottom w:val="single" w:sz="4" w:space="0" w:color="auto"/>
              <w:right w:val="nil"/>
            </w:tcBorders>
            <w:shd w:val="clear" w:color="auto" w:fill="auto"/>
            <w:noWrap/>
            <w:vAlign w:val="bottom"/>
            <w:hideMark/>
          </w:tcPr>
          <w:p w:rsidR="003559F2" w:rsidRPr="00044FFE" w:rsidRDefault="003559F2" w:rsidP="00F0680A">
            <w:pPr>
              <w:spacing w:after="0"/>
              <w:rPr>
                <w:rFonts w:eastAsia="Times New Roman" w:cs="Arial"/>
                <w:color w:val="000000"/>
                <w:szCs w:val="24"/>
                <w:lang w:eastAsia="es-CO"/>
              </w:rPr>
            </w:pPr>
            <w:r w:rsidRPr="00044FFE">
              <w:rPr>
                <w:rFonts w:eastAsia="Times New Roman" w:cs="Arial"/>
                <w:color w:val="000000"/>
                <w:szCs w:val="24"/>
                <w:lang w:eastAsia="es-CO"/>
              </w:rPr>
              <w:t xml:space="preserve"> FORMULAS RESULTADO DE LA LIQUIDACION</w:t>
            </w:r>
          </w:p>
        </w:tc>
        <w:tc>
          <w:tcPr>
            <w:tcW w:w="1208" w:type="dxa"/>
            <w:tcBorders>
              <w:top w:val="single" w:sz="4" w:space="0" w:color="auto"/>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rPr>
                <w:rFonts w:eastAsia="Times New Roman" w:cs="Arial"/>
                <w:color w:val="000000"/>
                <w:szCs w:val="24"/>
                <w:lang w:eastAsia="es-CO"/>
              </w:rPr>
            </w:pPr>
            <w:r w:rsidRPr="00044FFE">
              <w:rPr>
                <w:rFonts w:eastAsia="Times New Roman" w:cs="Arial"/>
                <w:color w:val="000000"/>
                <w:szCs w:val="24"/>
                <w:lang w:eastAsia="es-CO"/>
              </w:rPr>
              <w:t> </w:t>
            </w: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color w:val="000000"/>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F0680A">
        <w:trPr>
          <w:trHeight w:val="300"/>
        </w:trPr>
        <w:tc>
          <w:tcPr>
            <w:tcW w:w="563"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color w:val="000000"/>
                <w:szCs w:val="24"/>
                <w:lang w:eastAsia="es-CO"/>
              </w:rPr>
            </w:pPr>
            <w:r w:rsidRPr="00044FFE">
              <w:rPr>
                <w:rFonts w:eastAsia="Times New Roman" w:cs="Arial"/>
                <w:color w:val="000000"/>
                <w:szCs w:val="24"/>
                <w:lang w:eastAsia="es-CO"/>
              </w:rPr>
              <w:t>IBL</w:t>
            </w:r>
          </w:p>
        </w:tc>
        <w:tc>
          <w:tcPr>
            <w:tcW w:w="1737"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color w:val="000000"/>
                <w:szCs w:val="24"/>
                <w:lang w:eastAsia="es-CO"/>
              </w:rPr>
            </w:pPr>
          </w:p>
        </w:tc>
        <w:tc>
          <w:tcPr>
            <w:tcW w:w="1420" w:type="dxa"/>
            <w:tcBorders>
              <w:top w:val="nil"/>
              <w:left w:val="nil"/>
              <w:bottom w:val="nil"/>
              <w:right w:val="nil"/>
            </w:tcBorders>
            <w:shd w:val="clear" w:color="auto" w:fill="auto"/>
            <w:noWrap/>
            <w:vAlign w:val="bottom"/>
            <w:hideMark/>
          </w:tcPr>
          <w:p w:rsidR="003559F2" w:rsidRPr="00044FFE" w:rsidRDefault="003559F2" w:rsidP="00F0680A">
            <w:pPr>
              <w:spacing w:after="0"/>
              <w:jc w:val="right"/>
              <w:rPr>
                <w:rFonts w:eastAsia="Times New Roman" w:cs="Arial"/>
                <w:color w:val="000000"/>
                <w:szCs w:val="24"/>
                <w:lang w:eastAsia="es-CO"/>
              </w:rPr>
            </w:pPr>
            <w:r w:rsidRPr="00044FFE">
              <w:rPr>
                <w:rFonts w:eastAsia="Times New Roman" w:cs="Arial"/>
                <w:color w:val="000000"/>
                <w:szCs w:val="24"/>
                <w:lang w:eastAsia="es-CO"/>
              </w:rPr>
              <w:t>1.788.015</w:t>
            </w:r>
          </w:p>
        </w:tc>
        <w:tc>
          <w:tcPr>
            <w:tcW w:w="1208" w:type="dxa"/>
            <w:tcBorders>
              <w:top w:val="nil"/>
              <w:left w:val="nil"/>
              <w:bottom w:val="nil"/>
              <w:right w:val="nil"/>
            </w:tcBorders>
            <w:shd w:val="clear" w:color="auto" w:fill="auto"/>
            <w:noWrap/>
            <w:vAlign w:val="bottom"/>
            <w:hideMark/>
          </w:tcPr>
          <w:p w:rsidR="003559F2" w:rsidRPr="00044FFE" w:rsidRDefault="003559F2" w:rsidP="00F0680A">
            <w:pPr>
              <w:spacing w:after="0"/>
              <w:jc w:val="right"/>
              <w:rPr>
                <w:rFonts w:eastAsia="Times New Roman" w:cs="Arial"/>
                <w:color w:val="000000"/>
                <w:szCs w:val="24"/>
                <w:lang w:eastAsia="es-CO"/>
              </w:rPr>
            </w:pP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F0680A">
        <w:trPr>
          <w:trHeight w:val="300"/>
        </w:trPr>
        <w:tc>
          <w:tcPr>
            <w:tcW w:w="2300" w:type="dxa"/>
            <w:gridSpan w:val="2"/>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color w:val="000000"/>
                <w:szCs w:val="24"/>
                <w:lang w:eastAsia="es-CO"/>
              </w:rPr>
            </w:pPr>
            <w:r w:rsidRPr="00044FFE">
              <w:rPr>
                <w:rFonts w:eastAsia="Times New Roman" w:cs="Arial"/>
                <w:color w:val="000000"/>
                <w:szCs w:val="24"/>
                <w:lang w:eastAsia="es-CO"/>
              </w:rPr>
              <w:t>NO. SMLV</w:t>
            </w:r>
          </w:p>
        </w:tc>
        <w:tc>
          <w:tcPr>
            <w:tcW w:w="1420" w:type="dxa"/>
            <w:tcBorders>
              <w:top w:val="nil"/>
              <w:left w:val="nil"/>
              <w:bottom w:val="nil"/>
              <w:right w:val="nil"/>
            </w:tcBorders>
            <w:shd w:val="clear" w:color="auto" w:fill="auto"/>
            <w:noWrap/>
            <w:vAlign w:val="bottom"/>
            <w:hideMark/>
          </w:tcPr>
          <w:p w:rsidR="003559F2" w:rsidRPr="00044FFE" w:rsidRDefault="003559F2" w:rsidP="00F0680A">
            <w:pPr>
              <w:spacing w:after="0"/>
              <w:jc w:val="right"/>
              <w:rPr>
                <w:rFonts w:eastAsia="Times New Roman" w:cs="Arial"/>
                <w:color w:val="000000"/>
                <w:szCs w:val="24"/>
                <w:lang w:eastAsia="es-CO"/>
              </w:rPr>
            </w:pPr>
            <w:r w:rsidRPr="00044FFE">
              <w:rPr>
                <w:rFonts w:eastAsia="Times New Roman" w:cs="Arial"/>
                <w:color w:val="000000"/>
                <w:szCs w:val="24"/>
                <w:lang w:eastAsia="es-CO"/>
              </w:rPr>
              <w:t>2,16</w:t>
            </w:r>
          </w:p>
        </w:tc>
        <w:tc>
          <w:tcPr>
            <w:tcW w:w="1208" w:type="dxa"/>
            <w:tcBorders>
              <w:top w:val="nil"/>
              <w:left w:val="nil"/>
              <w:bottom w:val="nil"/>
              <w:right w:val="nil"/>
            </w:tcBorders>
            <w:shd w:val="clear" w:color="auto" w:fill="auto"/>
            <w:noWrap/>
            <w:vAlign w:val="bottom"/>
            <w:hideMark/>
          </w:tcPr>
          <w:p w:rsidR="003559F2" w:rsidRPr="00044FFE" w:rsidRDefault="003559F2" w:rsidP="00F0680A">
            <w:pPr>
              <w:spacing w:after="0"/>
              <w:jc w:val="right"/>
              <w:rPr>
                <w:rFonts w:eastAsia="Times New Roman" w:cs="Arial"/>
                <w:color w:val="000000"/>
                <w:szCs w:val="24"/>
                <w:lang w:eastAsia="es-CO"/>
              </w:rPr>
            </w:pP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F0680A">
        <w:trPr>
          <w:trHeight w:val="300"/>
        </w:trPr>
        <w:tc>
          <w:tcPr>
            <w:tcW w:w="2300" w:type="dxa"/>
            <w:gridSpan w:val="2"/>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color w:val="000000"/>
                <w:szCs w:val="24"/>
                <w:lang w:eastAsia="es-CO"/>
              </w:rPr>
            </w:pPr>
            <w:r w:rsidRPr="00044FFE">
              <w:rPr>
                <w:rFonts w:eastAsia="Times New Roman" w:cs="Arial"/>
                <w:color w:val="000000"/>
                <w:szCs w:val="24"/>
                <w:lang w:eastAsia="es-CO"/>
              </w:rPr>
              <w:t>% MONTO PENSION</w:t>
            </w:r>
          </w:p>
        </w:tc>
        <w:tc>
          <w:tcPr>
            <w:tcW w:w="1420" w:type="dxa"/>
            <w:tcBorders>
              <w:top w:val="nil"/>
              <w:left w:val="nil"/>
              <w:bottom w:val="nil"/>
              <w:right w:val="nil"/>
            </w:tcBorders>
            <w:shd w:val="clear" w:color="auto" w:fill="auto"/>
            <w:noWrap/>
            <w:vAlign w:val="bottom"/>
            <w:hideMark/>
          </w:tcPr>
          <w:p w:rsidR="003559F2" w:rsidRPr="00044FFE" w:rsidRDefault="003559F2" w:rsidP="00F0680A">
            <w:pPr>
              <w:spacing w:after="0"/>
              <w:jc w:val="right"/>
              <w:rPr>
                <w:rFonts w:eastAsia="Times New Roman" w:cs="Arial"/>
                <w:color w:val="000000"/>
                <w:szCs w:val="24"/>
                <w:lang w:eastAsia="es-CO"/>
              </w:rPr>
            </w:pPr>
            <w:r w:rsidRPr="00044FFE">
              <w:rPr>
                <w:rFonts w:eastAsia="Times New Roman" w:cs="Arial"/>
                <w:color w:val="000000"/>
                <w:szCs w:val="24"/>
                <w:lang w:eastAsia="es-CO"/>
              </w:rPr>
              <w:t>64,42</w:t>
            </w:r>
          </w:p>
        </w:tc>
        <w:tc>
          <w:tcPr>
            <w:tcW w:w="1208" w:type="dxa"/>
            <w:tcBorders>
              <w:top w:val="nil"/>
              <w:left w:val="nil"/>
              <w:bottom w:val="nil"/>
              <w:right w:val="nil"/>
            </w:tcBorders>
            <w:shd w:val="clear" w:color="auto" w:fill="auto"/>
            <w:noWrap/>
            <w:vAlign w:val="bottom"/>
            <w:hideMark/>
          </w:tcPr>
          <w:p w:rsidR="003559F2" w:rsidRPr="00044FFE" w:rsidRDefault="003559F2" w:rsidP="00F0680A">
            <w:pPr>
              <w:spacing w:after="0"/>
              <w:jc w:val="right"/>
              <w:rPr>
                <w:rFonts w:eastAsia="Times New Roman" w:cs="Arial"/>
                <w:color w:val="000000"/>
                <w:szCs w:val="24"/>
                <w:lang w:eastAsia="es-CO"/>
              </w:rPr>
            </w:pP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F0680A">
        <w:trPr>
          <w:trHeight w:val="300"/>
        </w:trPr>
        <w:tc>
          <w:tcPr>
            <w:tcW w:w="2300" w:type="dxa"/>
            <w:gridSpan w:val="2"/>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color w:val="000000"/>
                <w:szCs w:val="24"/>
                <w:lang w:eastAsia="es-CO"/>
              </w:rPr>
            </w:pPr>
            <w:r w:rsidRPr="00044FFE">
              <w:rPr>
                <w:rFonts w:eastAsia="Times New Roman" w:cs="Arial"/>
                <w:color w:val="000000"/>
                <w:szCs w:val="24"/>
                <w:lang w:eastAsia="es-CO"/>
              </w:rPr>
              <w:t>AUMENTO %</w:t>
            </w:r>
          </w:p>
        </w:tc>
        <w:tc>
          <w:tcPr>
            <w:tcW w:w="1420" w:type="dxa"/>
            <w:tcBorders>
              <w:top w:val="nil"/>
              <w:left w:val="nil"/>
              <w:bottom w:val="nil"/>
              <w:right w:val="nil"/>
            </w:tcBorders>
            <w:shd w:val="clear" w:color="auto" w:fill="auto"/>
            <w:noWrap/>
            <w:vAlign w:val="bottom"/>
            <w:hideMark/>
          </w:tcPr>
          <w:p w:rsidR="003559F2" w:rsidRPr="00044FFE" w:rsidRDefault="003559F2" w:rsidP="00F0680A">
            <w:pPr>
              <w:spacing w:after="0"/>
              <w:jc w:val="right"/>
              <w:rPr>
                <w:rFonts w:eastAsia="Times New Roman" w:cs="Arial"/>
                <w:color w:val="000000"/>
                <w:szCs w:val="24"/>
                <w:lang w:eastAsia="es-CO"/>
              </w:rPr>
            </w:pPr>
            <w:r w:rsidRPr="00044FFE">
              <w:rPr>
                <w:rFonts w:eastAsia="Times New Roman" w:cs="Arial"/>
                <w:color w:val="000000"/>
                <w:szCs w:val="24"/>
                <w:lang w:eastAsia="es-CO"/>
              </w:rPr>
              <w:t>20,43</w:t>
            </w:r>
          </w:p>
        </w:tc>
        <w:tc>
          <w:tcPr>
            <w:tcW w:w="1208" w:type="dxa"/>
            <w:tcBorders>
              <w:top w:val="nil"/>
              <w:left w:val="nil"/>
              <w:bottom w:val="nil"/>
              <w:right w:val="nil"/>
            </w:tcBorders>
            <w:shd w:val="clear" w:color="auto" w:fill="auto"/>
            <w:noWrap/>
            <w:vAlign w:val="bottom"/>
            <w:hideMark/>
          </w:tcPr>
          <w:p w:rsidR="003559F2" w:rsidRPr="00044FFE" w:rsidRDefault="003559F2" w:rsidP="00F0680A">
            <w:pPr>
              <w:spacing w:after="0"/>
              <w:jc w:val="right"/>
              <w:rPr>
                <w:rFonts w:eastAsia="Times New Roman" w:cs="Arial"/>
                <w:color w:val="000000"/>
                <w:szCs w:val="24"/>
                <w:lang w:eastAsia="es-CO"/>
              </w:rPr>
            </w:pP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r w:rsidR="003559F2" w:rsidRPr="00044FFE" w:rsidTr="00F0680A">
        <w:trPr>
          <w:trHeight w:val="567"/>
        </w:trPr>
        <w:tc>
          <w:tcPr>
            <w:tcW w:w="2300" w:type="dxa"/>
            <w:gridSpan w:val="2"/>
            <w:tcBorders>
              <w:top w:val="single" w:sz="4" w:space="0" w:color="auto"/>
              <w:left w:val="single" w:sz="4" w:space="0" w:color="auto"/>
              <w:bottom w:val="single" w:sz="4" w:space="0" w:color="auto"/>
              <w:right w:val="nil"/>
            </w:tcBorders>
            <w:shd w:val="clear" w:color="auto" w:fill="auto"/>
            <w:noWrap/>
            <w:vAlign w:val="bottom"/>
            <w:hideMark/>
          </w:tcPr>
          <w:p w:rsidR="003559F2" w:rsidRPr="00044FFE" w:rsidRDefault="003559F2" w:rsidP="00F0680A">
            <w:pPr>
              <w:spacing w:after="0"/>
              <w:rPr>
                <w:rFonts w:eastAsia="Times New Roman" w:cs="Arial"/>
                <w:b/>
                <w:bCs/>
                <w:color w:val="000000"/>
                <w:szCs w:val="24"/>
                <w:lang w:eastAsia="es-CO"/>
              </w:rPr>
            </w:pPr>
            <w:r w:rsidRPr="00044FFE">
              <w:rPr>
                <w:rFonts w:eastAsia="Times New Roman" w:cs="Arial"/>
                <w:b/>
                <w:bCs/>
                <w:color w:val="000000"/>
                <w:szCs w:val="24"/>
                <w:lang w:eastAsia="es-CO"/>
              </w:rPr>
              <w:t>% TOTAL MONTO PENSION</w:t>
            </w: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rsidR="003559F2" w:rsidRPr="00044FFE" w:rsidRDefault="003559F2" w:rsidP="00F0680A">
            <w:pPr>
              <w:spacing w:after="0"/>
              <w:jc w:val="right"/>
              <w:rPr>
                <w:rFonts w:eastAsia="Times New Roman" w:cs="Arial"/>
                <w:b/>
                <w:bCs/>
                <w:color w:val="000000"/>
                <w:szCs w:val="24"/>
                <w:lang w:eastAsia="es-CO"/>
              </w:rPr>
            </w:pPr>
            <w:r w:rsidRPr="00044FFE">
              <w:rPr>
                <w:rFonts w:eastAsia="Times New Roman" w:cs="Arial"/>
                <w:b/>
                <w:bCs/>
                <w:color w:val="000000"/>
                <w:szCs w:val="24"/>
                <w:lang w:eastAsia="es-CO"/>
              </w:rPr>
              <w:t>84,85</w:t>
            </w:r>
          </w:p>
        </w:tc>
        <w:tc>
          <w:tcPr>
            <w:tcW w:w="1208" w:type="dxa"/>
            <w:tcBorders>
              <w:top w:val="nil"/>
              <w:left w:val="nil"/>
              <w:bottom w:val="nil"/>
              <w:right w:val="nil"/>
            </w:tcBorders>
            <w:shd w:val="clear" w:color="auto" w:fill="auto"/>
            <w:noWrap/>
            <w:vAlign w:val="bottom"/>
            <w:hideMark/>
          </w:tcPr>
          <w:p w:rsidR="003559F2" w:rsidRPr="00044FFE" w:rsidRDefault="003559F2" w:rsidP="00F0680A">
            <w:pPr>
              <w:spacing w:after="0"/>
              <w:jc w:val="right"/>
              <w:rPr>
                <w:rFonts w:eastAsia="Times New Roman" w:cs="Arial"/>
                <w:b/>
                <w:bCs/>
                <w:color w:val="000000"/>
                <w:szCs w:val="24"/>
                <w:lang w:eastAsia="es-CO"/>
              </w:rPr>
            </w:pPr>
          </w:p>
          <w:p w:rsidR="003559F2" w:rsidRPr="00044FFE" w:rsidRDefault="003559F2" w:rsidP="00F0680A">
            <w:pPr>
              <w:spacing w:after="0"/>
              <w:jc w:val="right"/>
              <w:rPr>
                <w:rFonts w:eastAsia="Times New Roman" w:cs="Arial"/>
                <w:b/>
                <w:bCs/>
                <w:color w:val="000000"/>
                <w:szCs w:val="24"/>
                <w:lang w:eastAsia="es-CO"/>
              </w:rPr>
            </w:pPr>
          </w:p>
          <w:p w:rsidR="003559F2" w:rsidRPr="00044FFE" w:rsidRDefault="003559F2" w:rsidP="00F0680A">
            <w:pPr>
              <w:spacing w:after="0"/>
              <w:jc w:val="right"/>
              <w:rPr>
                <w:rFonts w:eastAsia="Times New Roman" w:cs="Arial"/>
                <w:b/>
                <w:bCs/>
                <w:color w:val="000000"/>
                <w:szCs w:val="24"/>
                <w:lang w:eastAsia="es-CO"/>
              </w:rPr>
            </w:pPr>
          </w:p>
        </w:tc>
        <w:tc>
          <w:tcPr>
            <w:tcW w:w="94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194"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380"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c>
          <w:tcPr>
            <w:tcW w:w="1675" w:type="dxa"/>
            <w:tcBorders>
              <w:top w:val="nil"/>
              <w:left w:val="nil"/>
              <w:bottom w:val="nil"/>
              <w:right w:val="nil"/>
            </w:tcBorders>
            <w:shd w:val="clear" w:color="auto" w:fill="auto"/>
            <w:noWrap/>
            <w:vAlign w:val="bottom"/>
            <w:hideMark/>
          </w:tcPr>
          <w:p w:rsidR="003559F2" w:rsidRPr="00044FFE" w:rsidRDefault="003559F2" w:rsidP="00F0680A">
            <w:pPr>
              <w:spacing w:after="0"/>
              <w:rPr>
                <w:rFonts w:eastAsia="Times New Roman" w:cs="Arial"/>
                <w:szCs w:val="24"/>
                <w:lang w:eastAsia="es-CO"/>
              </w:rPr>
            </w:pPr>
          </w:p>
        </w:tc>
      </w:tr>
    </w:tbl>
    <w:p w:rsidR="003559F2" w:rsidRDefault="003559F2" w:rsidP="003559F2"/>
    <w:p w:rsidR="003559F2" w:rsidRDefault="003559F2" w:rsidP="003559F2"/>
    <w:p w:rsidR="003559F2" w:rsidRDefault="003559F2" w:rsidP="003559F2">
      <w:pPr>
        <w:rPr>
          <w:rFonts w:eastAsia="Arial" w:cs="Arial"/>
          <w:color w:val="000000" w:themeColor="text1"/>
          <w:w w:val="111"/>
          <w:szCs w:val="24"/>
        </w:rPr>
      </w:pPr>
      <w:r>
        <w:rPr>
          <w:rFonts w:eastAsia="Arial" w:cs="Arial"/>
          <w:color w:val="000000" w:themeColor="text1"/>
          <w:szCs w:val="24"/>
        </w:rPr>
        <w:t xml:space="preserve">DÉCIMO QUINTO: </w:t>
      </w:r>
      <w:r w:rsidRPr="00044FFE">
        <w:rPr>
          <w:rFonts w:eastAsia="Arial" w:cs="Arial"/>
          <w:color w:val="000000" w:themeColor="text1"/>
          <w:szCs w:val="24"/>
        </w:rPr>
        <w:t>Si el DEMANDANTE se</w:t>
      </w:r>
      <w:r w:rsidRPr="00044FFE">
        <w:rPr>
          <w:rFonts w:eastAsia="Arial" w:cs="Arial"/>
          <w:color w:val="000000" w:themeColor="text1"/>
          <w:spacing w:val="11"/>
          <w:szCs w:val="24"/>
        </w:rPr>
        <w:t xml:space="preserve"> </w:t>
      </w:r>
      <w:r w:rsidRPr="00044FFE">
        <w:rPr>
          <w:rFonts w:eastAsia="Arial" w:cs="Arial"/>
          <w:color w:val="000000" w:themeColor="text1"/>
          <w:w w:val="110"/>
          <w:szCs w:val="24"/>
        </w:rPr>
        <w:t>pensionara</w:t>
      </w:r>
      <w:r w:rsidRPr="00044FFE">
        <w:rPr>
          <w:rFonts w:eastAsia="Arial" w:cs="Arial"/>
          <w:color w:val="000000" w:themeColor="text1"/>
          <w:spacing w:val="7"/>
          <w:w w:val="110"/>
          <w:szCs w:val="24"/>
        </w:rPr>
        <w:t xml:space="preserve"> </w:t>
      </w:r>
      <w:r w:rsidRPr="00044FFE">
        <w:rPr>
          <w:rFonts w:eastAsia="Arial" w:cs="Arial"/>
          <w:color w:val="000000" w:themeColor="text1"/>
          <w:szCs w:val="24"/>
        </w:rPr>
        <w:t>en</w:t>
      </w:r>
      <w:r w:rsidRPr="00044FFE">
        <w:rPr>
          <w:rFonts w:eastAsia="Arial" w:cs="Arial"/>
          <w:color w:val="000000" w:themeColor="text1"/>
          <w:spacing w:val="40"/>
          <w:szCs w:val="24"/>
        </w:rPr>
        <w:t xml:space="preserve"> </w:t>
      </w:r>
      <w:r w:rsidRPr="00044FFE">
        <w:rPr>
          <w:rFonts w:eastAsia="Arial" w:cs="Arial"/>
          <w:color w:val="000000" w:themeColor="text1"/>
          <w:w w:val="94"/>
          <w:szCs w:val="24"/>
        </w:rPr>
        <w:t>COLPENSIONES,</w:t>
      </w:r>
      <w:r w:rsidRPr="00044FFE">
        <w:rPr>
          <w:rFonts w:eastAsia="Arial" w:cs="Arial"/>
          <w:color w:val="000000" w:themeColor="text1"/>
          <w:spacing w:val="-28"/>
          <w:szCs w:val="24"/>
        </w:rPr>
        <w:t xml:space="preserve"> </w:t>
      </w:r>
      <w:r w:rsidRPr="00044FFE">
        <w:rPr>
          <w:rFonts w:eastAsia="Arial" w:cs="Arial"/>
          <w:color w:val="000000" w:themeColor="text1"/>
          <w:szCs w:val="24"/>
        </w:rPr>
        <w:t>el</w:t>
      </w:r>
      <w:r w:rsidRPr="00044FFE">
        <w:rPr>
          <w:rFonts w:eastAsia="Arial" w:cs="Arial"/>
          <w:color w:val="000000" w:themeColor="text1"/>
          <w:spacing w:val="19"/>
          <w:szCs w:val="24"/>
        </w:rPr>
        <w:t xml:space="preserve"> </w:t>
      </w:r>
      <w:r w:rsidRPr="00044FFE">
        <w:rPr>
          <w:rFonts w:eastAsia="Arial" w:cs="Arial"/>
          <w:color w:val="000000" w:themeColor="text1"/>
          <w:szCs w:val="24"/>
        </w:rPr>
        <w:t xml:space="preserve">valor </w:t>
      </w:r>
      <w:r w:rsidRPr="00044FFE">
        <w:rPr>
          <w:rFonts w:eastAsia="Arial" w:cs="Arial"/>
          <w:color w:val="000000" w:themeColor="text1"/>
          <w:spacing w:val="21"/>
          <w:szCs w:val="24"/>
        </w:rPr>
        <w:t>de</w:t>
      </w:r>
      <w:r w:rsidRPr="00044FFE">
        <w:rPr>
          <w:rFonts w:eastAsia="Arial" w:cs="Arial"/>
          <w:color w:val="000000" w:themeColor="text1"/>
          <w:spacing w:val="36"/>
          <w:szCs w:val="24"/>
        </w:rPr>
        <w:t xml:space="preserve"> </w:t>
      </w:r>
      <w:r w:rsidRPr="00044FFE">
        <w:rPr>
          <w:rFonts w:eastAsia="Arial" w:cs="Arial"/>
          <w:color w:val="000000" w:themeColor="text1"/>
          <w:szCs w:val="24"/>
        </w:rPr>
        <w:t>su</w:t>
      </w:r>
      <w:r w:rsidRPr="00044FFE">
        <w:rPr>
          <w:rFonts w:eastAsia="Arial" w:cs="Arial"/>
          <w:color w:val="000000" w:themeColor="text1"/>
          <w:spacing w:val="26"/>
          <w:szCs w:val="24"/>
        </w:rPr>
        <w:t xml:space="preserve"> </w:t>
      </w:r>
      <w:r w:rsidRPr="00044FFE">
        <w:rPr>
          <w:rFonts w:eastAsia="Arial" w:cs="Arial"/>
          <w:color w:val="000000" w:themeColor="text1"/>
          <w:w w:val="109"/>
          <w:szCs w:val="24"/>
        </w:rPr>
        <w:t>pen</w:t>
      </w:r>
      <w:r w:rsidRPr="00044FFE">
        <w:rPr>
          <w:rFonts w:eastAsia="Arial" w:cs="Arial"/>
          <w:color w:val="000000" w:themeColor="text1"/>
          <w:spacing w:val="-12"/>
          <w:w w:val="109"/>
          <w:szCs w:val="24"/>
        </w:rPr>
        <w:t>sión</w:t>
      </w:r>
      <w:r w:rsidRPr="00044FFE">
        <w:rPr>
          <w:rFonts w:eastAsia="Arial" w:cs="Arial"/>
          <w:color w:val="000000" w:themeColor="text1"/>
          <w:spacing w:val="6"/>
          <w:szCs w:val="24"/>
        </w:rPr>
        <w:t xml:space="preserve"> </w:t>
      </w:r>
      <w:r w:rsidRPr="00044FFE">
        <w:rPr>
          <w:rFonts w:eastAsia="Arial" w:cs="Arial"/>
          <w:color w:val="000000" w:themeColor="text1"/>
          <w:w w:val="111"/>
          <w:szCs w:val="24"/>
        </w:rPr>
        <w:t>para</w:t>
      </w:r>
      <w:r w:rsidRPr="00044FFE">
        <w:rPr>
          <w:rFonts w:eastAsia="Arial" w:cs="Arial"/>
          <w:color w:val="000000" w:themeColor="text1"/>
          <w:spacing w:val="14"/>
          <w:szCs w:val="24"/>
        </w:rPr>
        <w:t xml:space="preserve"> 29 de febrero de </w:t>
      </w:r>
      <w:r w:rsidRPr="00044FFE">
        <w:rPr>
          <w:rFonts w:eastAsia="Arial" w:cs="Arial"/>
          <w:color w:val="000000" w:themeColor="text1"/>
          <w:szCs w:val="24"/>
        </w:rPr>
        <w:t>2019</w:t>
      </w:r>
      <w:r w:rsidRPr="00044FFE">
        <w:rPr>
          <w:rFonts w:eastAsia="Arial" w:cs="Arial"/>
          <w:color w:val="000000" w:themeColor="text1"/>
          <w:spacing w:val="32"/>
          <w:szCs w:val="24"/>
        </w:rPr>
        <w:t xml:space="preserve"> </w:t>
      </w:r>
      <w:r w:rsidRPr="00044FFE">
        <w:rPr>
          <w:rFonts w:eastAsia="Arial" w:cs="Arial"/>
          <w:color w:val="000000" w:themeColor="text1"/>
          <w:w w:val="111"/>
          <w:szCs w:val="24"/>
        </w:rPr>
        <w:t>s</w:t>
      </w:r>
      <w:r w:rsidRPr="00044FFE">
        <w:rPr>
          <w:rFonts w:eastAsia="Arial" w:cs="Arial"/>
          <w:color w:val="000000" w:themeColor="text1"/>
          <w:spacing w:val="-6"/>
          <w:w w:val="111"/>
          <w:szCs w:val="24"/>
        </w:rPr>
        <w:t>e</w:t>
      </w:r>
      <w:r w:rsidRPr="00044FFE">
        <w:rPr>
          <w:rFonts w:eastAsia="Arial" w:cs="Arial"/>
          <w:color w:val="000000" w:themeColor="text1"/>
          <w:w w:val="111"/>
          <w:szCs w:val="24"/>
        </w:rPr>
        <w:t>r</w:t>
      </w:r>
      <w:r w:rsidRPr="00044FFE">
        <w:rPr>
          <w:rFonts w:eastAsia="Arial" w:cs="Arial"/>
          <w:color w:val="000000" w:themeColor="text1"/>
          <w:spacing w:val="-20"/>
          <w:w w:val="111"/>
          <w:szCs w:val="24"/>
        </w:rPr>
        <w:t>í</w:t>
      </w:r>
      <w:r w:rsidRPr="00044FFE">
        <w:rPr>
          <w:rFonts w:eastAsia="Arial" w:cs="Arial"/>
          <w:color w:val="000000" w:themeColor="text1"/>
          <w:w w:val="111"/>
          <w:szCs w:val="24"/>
        </w:rPr>
        <w:t>a de $1.430.412</w:t>
      </w:r>
      <w:r w:rsidRPr="00044FFE">
        <w:rPr>
          <w:rFonts w:eastAsia="Times New Roman" w:cs="Arial"/>
          <w:b/>
          <w:bCs/>
          <w:szCs w:val="24"/>
          <w:lang w:eastAsia="es-CO"/>
        </w:rPr>
        <w:t xml:space="preserve"> </w:t>
      </w:r>
      <w:r w:rsidRPr="00044FFE">
        <w:rPr>
          <w:rFonts w:eastAsia="Arial" w:cs="Arial"/>
          <w:color w:val="000000" w:themeColor="text1"/>
          <w:w w:val="111"/>
          <w:szCs w:val="24"/>
        </w:rPr>
        <w:t>($1.788.015x80%).</w:t>
      </w:r>
    </w:p>
    <w:p w:rsidR="003559F2" w:rsidRDefault="003559F2" w:rsidP="003559F2">
      <w:pPr>
        <w:rPr>
          <w:rFonts w:eastAsia="Arial" w:cs="Arial"/>
          <w:color w:val="000000" w:themeColor="text1"/>
          <w:w w:val="111"/>
          <w:szCs w:val="24"/>
        </w:rPr>
      </w:pPr>
    </w:p>
    <w:p w:rsidR="003559F2" w:rsidRDefault="003559F2" w:rsidP="003559F2">
      <w:pPr>
        <w:jc w:val="center"/>
      </w:pPr>
      <w:r>
        <w:t>FUNDAMENTOS Y RAZONES DE DERECHO.</w:t>
      </w:r>
    </w:p>
    <w:p w:rsidR="003559F2" w:rsidRDefault="003559F2" w:rsidP="003559F2">
      <w:pPr>
        <w:jc w:val="center"/>
      </w:pPr>
    </w:p>
    <w:p w:rsidR="003559F2" w:rsidRDefault="003559F2" w:rsidP="003559F2">
      <w:r>
        <w:t>La presente demanda tiene como   fundamentos de derecho las siguientes normas constitucionales y legales, como se puede ver en este mismo acápite:</w:t>
      </w:r>
    </w:p>
    <w:p w:rsidR="003559F2" w:rsidRDefault="003559F2" w:rsidP="003559F2">
      <w:r>
        <w:t>CONSTITUCIÓN POLÍTICA. Arts. 48. Art. 49 inciso 6. Art. 53.</w:t>
      </w:r>
    </w:p>
    <w:p w:rsidR="003559F2" w:rsidRDefault="003559F2" w:rsidP="003559F2">
      <w:r>
        <w:t>CORTE CONSTITUCIONAL. Sentencia T-510 del 19 de junio de 2003, M.  P. Manuel José Cepeda Espinosa.</w:t>
      </w:r>
    </w:p>
    <w:p w:rsidR="003559F2" w:rsidRDefault="003559F2" w:rsidP="003559F2">
      <w:r>
        <w:t>CORTE SUPREMA DE JUSTICIA SALA LABORAL. Sentencia del 9 de septiembre de 2008, radicación No. 31.989 del M. P. Eduardo López Villegas. Sentencia del 9 de septiembre de 2008, radicado No. 31.314, de la M.P. Elcy del Pilar Cuello.</w:t>
      </w:r>
    </w:p>
    <w:p w:rsidR="003559F2" w:rsidRDefault="003559F2" w:rsidP="003559F2">
      <w:r>
        <w:t>TRIBUNAL SUPERIOR DE BOGOTÁ SALA LABORAL. Sentencia del 24 de abril de 2013, radicado No.  22 – 2011    - 00734 - 01, M. P. Luz  Stella Vásquez Sarmiento.  Sentencia  del 18 de mayo  de 2016, radicado No. 11 – 2014 - 00450-01, M. P. Diego Roberto Montoya Millán.</w:t>
      </w:r>
    </w:p>
    <w:p w:rsidR="003559F2" w:rsidRDefault="003559F2" w:rsidP="003559F2">
      <w:r>
        <w:lastRenderedPageBreak/>
        <w:t>DECRETO 2555 DE 2010. Art. 2.6.10.2.3</w:t>
      </w:r>
    </w:p>
    <w:p w:rsidR="003559F2" w:rsidRDefault="003559F2" w:rsidP="003559F2">
      <w:r>
        <w:t>SUPERINTENDENCIA FINANCIERA. Circular Externa No. 016 de 2016.</w:t>
      </w:r>
    </w:p>
    <w:p w:rsidR="003559F2" w:rsidRDefault="003559F2" w:rsidP="003559F2">
      <w:r>
        <w:t>En el momento de invitar al DEMANDANTE a trasladarse del SEGURO SOCIAL a la AFP COLFONDOS S.A. PENSIONES Y CESANTÍAS, esta entidad no le informó sobre los beneficios que podía estar perdiendo con ese traslado de régimen pensional. Si le hubiera suministrado esa información, el DEMANDANTE no hubiera tomado la decisión de irse del SEGURO SOCIAL para el Régimen de Ahorro Individual.</w:t>
      </w:r>
    </w:p>
    <w:p w:rsidR="003559F2" w:rsidRDefault="003559F2" w:rsidP="003559F2">
      <w:r>
        <w:t>En relación con la información que las administradoras de pensiones deben dar a sus afiliados cuando los inviten a trasladarse de régimen, la Corte Suprema de Justicia, en sentencia del 9 de septiembre de 2008, radicación No. 31.989 del M. P. Eduardo López Villegas, hizo las siguientes consideraciones, que también fueron citadas en la sentencia del 9 de septiembre de 2008, radicado 31.314, de la M.P. Elcy del Pilar Cuello Calderón:</w:t>
      </w:r>
    </w:p>
    <w:p w:rsidR="003559F2" w:rsidRDefault="003559F2" w:rsidP="003559F2"/>
    <w:p w:rsidR="003559F2" w:rsidRPr="003559F2" w:rsidRDefault="003559F2" w:rsidP="003559F2">
      <w:r>
        <w:t>"</w:t>
      </w:r>
      <w:r w:rsidRPr="003559F2">
        <w:rPr>
          <w:b/>
          <w:u w:val="single"/>
        </w:rPr>
        <w:t xml:space="preserve">Es razón  de existencia de  las Administradoras  la necesidad  del  sistema  de actuar mediante instituciones especializadas e idóneas, con conocimientos y experiencia, que resulten confiables a  los ciudadanos quienes  les van a entregar sus ahorros y sus seguros  de  previsión para su vejez, su invalidez o para su familia cercana en caso de muerte prematura. </w:t>
      </w:r>
      <w:r w:rsidRPr="003559F2">
        <w:t>(Sub rayado y negrilla fuera de texto original).</w:t>
      </w:r>
    </w:p>
    <w:p w:rsidR="003559F2" w:rsidRDefault="003559F2" w:rsidP="003559F2">
      <w:r w:rsidRPr="003559F2">
        <w:rPr>
          <w:b/>
          <w:u w:val="single"/>
        </w:rPr>
        <w:t>Esas  particularidades ubican  a  las  Administradoras   en  el  campo  de   la responsabilidad   profesional,   obligadas  a   prestar  de   forma   eficiente,  eficaz y oportuna  todos  los servicios  inherentes a la calidad de instituciones  de carácter previsional, la misma  que,  por  ejercerse en  un campo que la Constitución  Política estima que concierne a los intereses públicos, tanto  desde  la perspectiva del artículo 48 como del artículo 335, se  ha de estimar con una vara  de  rigor  superior  a  la  que se utiliza frente a  las  obligaciones  entre  particulares</w:t>
      </w:r>
      <w:r>
        <w:t>.  (Sub rayado y negrilla fuera de texto original)</w:t>
      </w:r>
    </w:p>
    <w:p w:rsidR="003559F2" w:rsidRDefault="003559F2" w:rsidP="003559F2"/>
    <w:p w:rsidR="003559F2" w:rsidRDefault="003559F2" w:rsidP="003559F2">
      <w:r w:rsidRPr="003559F2">
        <w:rPr>
          <w:b/>
          <w:u w:val="single"/>
        </w:rPr>
        <w:t>Por lo dicho  es  que  la responsabilidad  de  las administradoras de  pensiones es  de carácter   profesional ,  la  que  le  impone  el  deber   de cumplir  puntualmente   las obligaciones que taxativamente le señalan las normas, en especial  las de los artículos 14  y  15 del  Decreto   656  de  1994,  cumplirlas  todas  con  suma  diligencia, con prudencia  y  pericia,  y además  todas  aquellas que se  le integran  por fuerza  de la naturaleza de las mismas, como lo manda el artículo 1603 del C.C., regla válida para las obligaciones cualquiera que fuere su fuente, legal, reglamentaria o contractual.</w:t>
      </w:r>
      <w:r>
        <w:t xml:space="preserve">   (Su b rayado y negrilla fuera de texto original)</w:t>
      </w:r>
    </w:p>
    <w:p w:rsidR="003559F2" w:rsidRDefault="003559F2" w:rsidP="003559F2"/>
    <w:p w:rsidR="003559F2" w:rsidRDefault="003559F2" w:rsidP="003559F2">
      <w:r w:rsidRPr="00757322">
        <w:rPr>
          <w:b/>
          <w:u w:val="single"/>
        </w:rPr>
        <w:lastRenderedPageBreak/>
        <w:t xml:space="preserve">La doctrina  ha bien elaborado  un conjunto de obligaciones especiales, con específica vigencia para  todas aquellas entidades cuya esencia  es  la gestión fiduciaria, como la de  las administradoras de  pensiones,  que  emanan  de  la  buena fe, como el  de  la transparencia, vigilancia y el  deber de  información  </w:t>
      </w:r>
      <w:r>
        <w:t>(Sub  rayado y ne</w:t>
      </w:r>
      <w:r>
        <w:t>grilla fuera de texto original)</w:t>
      </w:r>
    </w:p>
    <w:p w:rsidR="003559F2" w:rsidRDefault="003559F2" w:rsidP="003559F2">
      <w:r w:rsidRPr="00757322">
        <w:rPr>
          <w:b/>
          <w:u w:val="single"/>
        </w:rPr>
        <w:t>La información debe comprender todas las etapas del proceso, desde la antesala de   la afiliación   hasta    la determinación   de   las   condiciones   para   el   disfrute pensional</w:t>
      </w:r>
      <w:r>
        <w:t>. (Sub rayado y negrilla fuera de texto original)</w:t>
      </w:r>
    </w:p>
    <w:p w:rsidR="003559F2" w:rsidRDefault="003559F2" w:rsidP="003559F2">
      <w:r w:rsidRPr="00757322">
        <w:rPr>
          <w:b/>
          <w:u w:val="single"/>
        </w:rPr>
        <w:t>Las   administradoras  de   pensiones   tienen    el   deber  de   proporcionar a sus     a   sus interesados una información completa  y comprensible, a la  medida de  la  asimetría que  se   ha  de   salvar   entre  un  administrador experto  y  un  afiliado   lego,  en materias de alta  complejidad</w:t>
      </w:r>
      <w:r>
        <w:t>. (Sub rayado y negrilla fuera de texto original)</w:t>
      </w:r>
    </w:p>
    <w:p w:rsidR="003559F2" w:rsidRDefault="003559F2" w:rsidP="003559F2">
      <w:r w:rsidRPr="00757322">
        <w:rPr>
          <w:b/>
          <w:u w:val="single"/>
        </w:rPr>
        <w:t xml:space="preserve">Es una información que se  ha de  proporcionar  con la prudencia  de quien sabe  que ella tiene  el valor y el alcance  de orientar al  potencial  afiliado o a quien ya lo está, y que cuando se  trata de asuntos  de consecuencias mayúsculas y vitales, como en el sub lite,  la elección del régimen pensional, trasciende el simple deber  de información, y como emanación  del  mismo  reglamento  de  la seguridad  social,  la  administradora tiene  el  deber del  buen  consejo,  que la  compromete  a  un  ejercicio  más activo al proporcionar    la  información,  de    ilustración    suficiente  dando   a   conocer las diferentes  alternativas, con  sus  beneficios  e  inconvenientes,  y  aún  a  llegar,  si ese  fuere el caso,  a desanimar  al  interesado de  tomar  una opción que claramente le perjudica. </w:t>
      </w:r>
      <w:r>
        <w:t xml:space="preserve"> (Su b rayado y negrilla fuera de texto original).</w:t>
      </w:r>
    </w:p>
    <w:p w:rsidR="003559F2" w:rsidRDefault="003559F2" w:rsidP="003559F2">
      <w:r w:rsidRPr="00757322">
        <w:rPr>
          <w:b/>
          <w:u w:val="single"/>
        </w:rPr>
        <w:t>En estas condiciones el engaño, no solo se  produce en lo que se afirma, sino en los silencios  que  guarda   el  profesional,  que ha de  tener la iniciativa en  proporcionar todo aquello que resulte relevante  para la toma de decisión que se  persigue; de esta manera  la diligencia debida  se traduce en un traslado de  la  carga  de  la  prueba del actor a la entidad  demandada.</w:t>
      </w:r>
      <w:r>
        <w:t xml:space="preserve"> (Sub rayado y negrilla fuera de texto original).</w:t>
      </w:r>
    </w:p>
    <w:p w:rsidR="003559F2" w:rsidRDefault="003559F2" w:rsidP="003559F2">
      <w:r>
        <w:t>La Administradora de  Fondo de Pensiones (A F P) COLFONDOS S.A. PENSIONES Y CESANTIAS, al momento de invitar al DEMANDA NTE   a   trasladarse  del   SEGURO SOCIAL, no  cumplió  con  el   deber  de información a que  se  refiere  la Corte Suprema de Justicia  en las dos  sentencias citadas, pues  no  le  advirtió  sobre las consecuencias desfavorables que  le podía  ocasionar esa decisión. AFP COLFONDOS S.A. PENSIONES Y CESANTIAS y posteriormente AFP PROTECCIÓN S.A. PENSIONES Y CESANTIAS, no le informaron al afiliado sobre todas las etapas del proceso, desde la antesala de la afiliación hasta   la determinación de las condiciones para el disfrute pensional. Tampoco le dieron una información completa y comprensible, a la  medida  de la asimetría que  se  ha  de  salvar  entre un  administrador experto y  un  afiliado lego, en materias de  alta  complejidad. No le dio a conocer las diferentes alternativas, con sus beneficios e inconvenientes, pues de haberlo hecho, su deber era aconsejar al DEMANDANTE   que  no se   trasladara del   SEGURO SOCIAL al   Régimen de Ahorro Individual.</w:t>
      </w:r>
    </w:p>
    <w:p w:rsidR="003559F2" w:rsidRDefault="003559F2" w:rsidP="003559F2"/>
    <w:p w:rsidR="003559F2" w:rsidRDefault="003559F2" w:rsidP="003559F2">
      <w:r>
        <w:t xml:space="preserve">4.5. </w:t>
      </w:r>
      <w:r>
        <w:tab/>
        <w:t>El  Tribunal  Superior  de  Bogotá,  Sala  laboral, en  sentencia del  24  de  abril  de  2013, radicado  No. 22-2011-00734-01, M. P. Luz Stella Vásquez Sarmiento, después de citar la jurisprudencia de la Corte Suprema de Justicia, dijo:</w:t>
      </w:r>
    </w:p>
    <w:p w:rsidR="003559F2" w:rsidRPr="00757322" w:rsidRDefault="003559F2" w:rsidP="003559F2">
      <w:pPr>
        <w:rPr>
          <w:i/>
        </w:rPr>
      </w:pPr>
      <w:r w:rsidRPr="00757322">
        <w:rPr>
          <w:b/>
          <w:i/>
          <w:u w:val="single"/>
        </w:rPr>
        <w:t>La jurisprudencia  laboral traída  a mención no puede ser  más clara sobre el tema para que en realidad se considere que el traslado  de régimen pensional  estuvo precedido de voluntad y deseo  de cambio por parte  del afiliado del  Régimen de  Prima Media con Prestación   Definida,  se   requiere   que  la  administradora  del  Régimen de   Ahorro individual le suministre  una información completa  sobre  las condiciones específicas de  su  situación   pensional,  lo  que  implica  no  solamente   lo  favorable  sino  todo aquello que puede perder o serle lesivo de  aceptar un traslado, pues como bien lo explicó  la  sentencia  rememorada,  las  administradoras de  pensiones  no solo deben pensar  en  su  propio beneficio,  captando ahorradores sin mayor selección, pues por tratarse en  esencia    de    fiduciarias    del   servicio   público   de    pensiones,    su comportamiento y determinaciones deben  estar  orientadas también  a  satisfacer de  la  mejor   manera  el  interés de  la  persona  sobre   la que  se  pueden  cernir  los riesgos   de   invalidez.   vejez y muerte.</w:t>
      </w:r>
      <w:r w:rsidRPr="00757322">
        <w:rPr>
          <w:i/>
        </w:rPr>
        <w:t xml:space="preserve">   (Sub rayado y negrilla fuera de texto original).</w:t>
      </w:r>
    </w:p>
    <w:p w:rsidR="003559F2" w:rsidRDefault="003559F2" w:rsidP="003559F2"/>
    <w:p w:rsidR="003559F2" w:rsidRDefault="003559F2" w:rsidP="003559F2">
      <w:r w:rsidRPr="00757322">
        <w:rPr>
          <w:b/>
          <w:u w:val="single"/>
        </w:rPr>
        <w:t>Trasladados  los anteriores argumentos  al asunto  concreto,  para la Sala es claro, en primer lugar, que el  juzgador de  primer  grado  se  equivocó al  trasladarle  la carga de  la  prueba  al  DEMANDANTE sobre la demostración de  todos  los  elementos  o información   que   la   llevaron   a   engaño   por   parte  de   la   Administradora    de Pensiones, al  haberle  ofrecido  su afiliación al régimen que ella administraba, pues en esos  eventos, acorde   con  la   jurisprudencia  laboral,   la  carga   de  la  prueba  se invierte  en  favor  del  afiliado. Esto es que por el tipo de  responsabilidad  que se  le endilga  a  este  tipo  de   entidades, sobre  las  que  pesa   un  mayor  conocimiento profesional  y técnico en materia  pensional, frente a quienes simplemente  llevan una desventaja en estos temas, por importarles  únicamente la protección de esos riesgos sin mayores aristas científicas o legales, es que las Administradoras tienen el deber de demostrar que suministraron al afiliado la información completa y veraz sobre su  situación  pensional, que le permitan inferir  al juez que precisamente por haberse indicado todos los aspectos e implicaciones del traslado de régimen del afiliado, en realidad fue su deseo aceptar dichas condiciones, para que después no pueda alegar inducción al error o engaño alguno por la Administradora en pensiones.</w:t>
      </w:r>
      <w:r>
        <w:t xml:space="preserve"> (Sub rayado y negrilla fuera de texto original).</w:t>
      </w:r>
    </w:p>
    <w:p w:rsidR="003559F2" w:rsidRDefault="003559F2" w:rsidP="003559F2">
      <w:r>
        <w:t xml:space="preserve">Según  la   jurisprudencia  no es  deber del  afiliado  demostrar  la  información  que omitió suministrarle el  profesional  para  convencerlo  de  su traslado, pues es claro que esa  obligación le corresponde asumirla a  la entidad  administradora, quien debe percatarse, en el momento de asesorar a cada persona interesada en la afiliación, cuál es  su situación  particular   para   mostrarle  los  pros  y  los  contras </w:t>
      </w:r>
      <w:r>
        <w:lastRenderedPageBreak/>
        <w:t>de  aceptar  el traslado, junto con los datos correctos, o por lo menos con un margen de espera  para completarlos   y   así   suministrarle   un   buen   consejo,   para   evitar   darle   falsas expectativas que posteriormente le causen un perjuicio al afiliado. De manera  que en este  punto   no   importa   que   hubieran   transcurrido  varios   años   luego  de   la afiliación,  o incluso sucesivos traslados de administradoras de  pensiones dentro  del Régimen de  Ahorro  Individual con Solidaridad,  pues esa  situación  no convalida la equivocación en que incurrió la entidad en el momento de ofrecer una e</w:t>
      </w:r>
      <w:r w:rsidR="00757322">
        <w:t xml:space="preserve">xpectativa que al final, y por, </w:t>
      </w:r>
      <w:r>
        <w:t>efecto del tiempo, vino a traslucirse como equívoca, máxime si se trata de obtener una pensión en mejores condiciones, que  de  haberse señalado  desde  el comienzo,   probablemente   el  afiliado   hubiera   adoptado  otra   decisión,  o  la que hubiera adoptado con el traslado sería  incuestionable por el convencimiento que tuvo de todas sus aristas e implicaciones.</w:t>
      </w:r>
    </w:p>
    <w:p w:rsidR="003559F2" w:rsidRDefault="003559F2" w:rsidP="003559F2">
      <w:r w:rsidRPr="00757322">
        <w:rPr>
          <w:highlight w:val="yellow"/>
        </w:rPr>
        <w:t>En la  hipótesis  planteada  no puede  decirse   como lo asevera   la demandada  en su contestación de demanda y en el interrogatorio de parte rendido por la representante legal, que  con  el  solo  hecho  de  haber   firmado  el  formulario  de  afiliación  a  la administradora del fondo de pensiones que obra en el folio 74 del expediente el 4 de septiembre del año  2001, el  DEMANDANTE aceptó  que se  le había informado  de todos   los  efectos de  su  traslado  de   régimen,  pues  es    claro   que,   aunque  un documento  en  el  que  se plasma  la  firma  como aceptación de  lo allí contenido, tiene  cierto valor  para  acreditar  esas  estipulaciones, no es menos cierto que el ordenamiento  jurídico también  propende  por un principio de  trascendencia legal y constitucional   como  lo es  el  de  la  primacía  de  la  realidad   sobre   lo meramente escritural o formal,  en el sentido que son los hechos y las relaciones jurídicas entre los  sujetos de  derecho   por  virtud  de  las simples  manifestaciones   verbales  o sus acciones, las que deben ser  reveladas  sobre  la  apariencia  de  lo  que  se  encuentra  en  un  documento.</w:t>
      </w:r>
      <w:r>
        <w:t xml:space="preserve"> </w:t>
      </w:r>
    </w:p>
    <w:p w:rsidR="003559F2" w:rsidRDefault="003559F2" w:rsidP="003559F2">
      <w:r w:rsidRPr="00757322">
        <w:rPr>
          <w:b/>
          <w:u w:val="single"/>
        </w:rPr>
        <w:t>De suerte  que   no   le   basta  a   la   demandada    con   ampararse exclusivamente en  lo que  superficialmente demuestra  el  formulario  de  afiliación firmado  por el  DEMANDANTE como señal  de aceptación de todas  las condiciones, cuando en realidad  el susodicho formulario no contiene  mayores datos  relevantes de la situación de la activa, que una simple constancia  pre impresa de que fue advertida de  las implicaciones del régimen de transición  en caso de trasladarse al Régimen de Ahorro Individual  con  Solidaridad,  que  quedan  desdibujadas  al  no  tener   mayor respaldo  probatorio  con otros medios de convicción</w:t>
      </w:r>
      <w:r>
        <w:t>. (Sub rayado y negrilla fuera de texto original).</w:t>
      </w:r>
    </w:p>
    <w:p w:rsidR="003559F2" w:rsidRDefault="003559F2" w:rsidP="003559F2">
      <w:r w:rsidRPr="00757322">
        <w:rPr>
          <w:b/>
          <w:u w:val="single"/>
        </w:rPr>
        <w:t>Por ende, se repite, no se trata solo de recibir  nuevos afiliados, sino de que aquellos cumplan con las exigencias legales para trasladarse, e  incluso rechazarlos cuando su situación  pensional les  indica que es  mejor  que  permanezcan  en  el  régimen en  el que están afiliados.</w:t>
      </w:r>
      <w:r>
        <w:t xml:space="preserve"> (Sub rayado y negrilla fuera de texto original).</w:t>
      </w:r>
    </w:p>
    <w:p w:rsidR="003559F2" w:rsidRDefault="003559F2" w:rsidP="003559F2"/>
    <w:p w:rsidR="003559F2" w:rsidRDefault="003559F2" w:rsidP="003559F2"/>
    <w:p w:rsidR="003559F2" w:rsidRDefault="003559F2" w:rsidP="003559F2">
      <w:r w:rsidRPr="00757322">
        <w:rPr>
          <w:b/>
          <w:u w:val="single"/>
        </w:rPr>
        <w:lastRenderedPageBreak/>
        <w:t>Aunado a  lo anterior la Sala debe  reiterar que el  deber   de  la administradora  de pensiones como nuevamente lo señala la jurisprudencia  laboral, en estos eventos no es el de simplemente  ofrecerle un formulario  de vinculación  con dicho ente,  sino el de acompañar esa  determinación  del afiliado  con la explicación de todas  las etapas del proceso  que  como expresamente lo trae la sentencia   de  la alta   corporación  del trabajo, que ha sido el soporte de esta  decisión, la entidad   tiene  la obligación de informar   desde    la   antesala  de   la   afiliación   hasta    la   determinación  de   las condiciones   para   el  disfrute  pensional,  repito,  dicho  por   la  Corte,    desde   la antesala  de   la   afiliación   hasta    la  determinación   de    las   condiciones    para    el  disfrute  pensional, particularidades que en el asunto  no fueron  acreditados por  la pasiva en donde se  pudiera  constatar por ejemplo qué tipo de  posibilidades para el reconocimiento   pensional con  base  en  la situación  laboral  de  la accionante  podía materializarse, simplemente está el dicho de la representante legal de la pasiva que en  el  interrogatorio  indicó que  los asesores comerciales  están   capacitados   para explicar  los beneficios del  régimen de ahorro  individual, pero  esto  en modo alguno puede beneficiarla probatoriamente, pues se trata de su propio dicho, de suerte que aquí se aplica la tesis según la cual no es dable a las partes prefabricar la prueba para aducirla en su propio beneficio.</w:t>
      </w:r>
      <w:r>
        <w:t xml:space="preserve"> (Sub rayado y negrilla fuera de texto original).</w:t>
      </w:r>
    </w:p>
    <w:p w:rsidR="003559F2" w:rsidRDefault="003559F2" w:rsidP="003559F2"/>
    <w:p w:rsidR="003559F2" w:rsidRDefault="003559F2" w:rsidP="003559F2">
      <w:r w:rsidRPr="00757322">
        <w:rPr>
          <w:b/>
          <w:u w:val="single"/>
        </w:rPr>
        <w:t xml:space="preserve">Entonces,  de  lo expuesto  debe  concluirse que lo que se  examina en la nulidad  del traslado de régimen no es propiamente el hecho de si se configuró o no un derecho pensional en el  momento en que se hizo la oferta por parte de la administradora, sino el  examen   de  si  aquella  cumplía con  el  deber  de  proporcionar  al  afiliado   una suficiente, completa  y clara  información,  sobre las reales implicaciones que le conllevaría  dejar el  anterior régimen y sus  posibles consecuencias  futuras, lo que en  el  asunto   la demandada  no acreditó.  </w:t>
      </w:r>
      <w:r>
        <w:t>(Sub rayado y negrilla fuera de texto original).</w:t>
      </w:r>
    </w:p>
    <w:p w:rsidR="003559F2" w:rsidRDefault="003559F2" w:rsidP="003559F2"/>
    <w:p w:rsidR="003559F2" w:rsidRDefault="003559F2" w:rsidP="003559F2">
      <w:r>
        <w:t>Las mismas consideraciones fueron desarrolladas por el Tribunal Superior de Bogotá Sala laboral, en sentencia del 18 de mayo de 2016, radicado 11-2014-000450-01, M.P. Diego Roberto Montoya Millán, algunos de cuyos apartes dicen:</w:t>
      </w:r>
    </w:p>
    <w:p w:rsidR="003559F2" w:rsidRDefault="003559F2" w:rsidP="003559F2">
      <w:r>
        <w:t>"</w:t>
      </w:r>
      <w:r w:rsidRPr="00757322">
        <w:rPr>
          <w:b/>
          <w:i/>
          <w:u w:val="single"/>
        </w:rPr>
        <w:t xml:space="preserve">Así pues, en  manera  alguna se encontró  acreditado siquiera  de  manera  sumaria que se le hubieran  informado    las consecuencias  del  cambio de  régimen  y menos aún  de  las  desventajas que  le  traería dicho  cambio, pues no se  evidencia que al momento del  traslado  se  le hubiese presentado la proyección de su pensión en uno u otro  régimen y, si bien es  cierto la demandante no es beneficiaria del  régimen de transición,  conforme  a  lo dicho al  inicio de  este proveído,  también  lo es  que no se  le brindó  la información idónea al momento del  traslado, pues no se acreditó que se le hubiese informado en qué condiciones le sería  reconocido su derecho  pensional, esto  es,  especificándole el  capital  que  debería ahorrar a efectos de  cumplir con dicha  expectativa,  circunstancia que  únicamente  se   </w:t>
      </w:r>
      <w:r w:rsidRPr="00757322">
        <w:rPr>
          <w:b/>
          <w:i/>
          <w:u w:val="single"/>
        </w:rPr>
        <w:lastRenderedPageBreak/>
        <w:t xml:space="preserve">hubiese  podido  determinar con la realización  de  una proyección de  la pensión que le permitiera  conocer las condiciones que debía cumplir para adquirir el derecho  pensional, se repite, siendo de carga   de   la  administradora  proporcionar   la  información  de   manera  completa  y compresible, atendiendo  el deber  del  buen consejo,  pues es la especialista en esos temas. </w:t>
      </w:r>
      <w:r>
        <w:t>(Sub rayado y negrilla fuera de texto original).</w:t>
      </w:r>
    </w:p>
    <w:p w:rsidR="003559F2" w:rsidRDefault="003559F2" w:rsidP="003559F2"/>
    <w:p w:rsidR="003559F2" w:rsidRDefault="003559F2" w:rsidP="003559F2">
      <w:r w:rsidRPr="00757322">
        <w:rPr>
          <w:b/>
          <w:i/>
          <w:u w:val="single"/>
        </w:rPr>
        <w:t xml:space="preserve">De otra parte, a efecto de zanjar cualquier duda en lo que hace a la parte de manifestación   de   voluntad y selección   del   régimen, folio 59,    plasmado en el formulario de afiliación, el cual es casi ilegible, este no constituye en manera alguna medio probatorio que permita inferir que a la accionante se le proporcionó la información adecuada y verás en los términos referidos precedentemente, como quiera que, tal como se dejó suficientemente explicado, dichos supuestos no fueron acreditados por la demandada Porvenir. </w:t>
      </w:r>
      <w:r w:rsidRPr="00757322">
        <w:t>(Sub rayado y negrilla fuera de texto original).</w:t>
      </w:r>
    </w:p>
    <w:p w:rsidR="003559F2" w:rsidRDefault="003559F2" w:rsidP="003559F2">
      <w:r>
        <w:t xml:space="preserve">Al momento de  su  traslado   del  Régimen  de  Prima  Media   al   Régimen  de  Ahorro Individual, al DEMANDANTE no se le hizo una proyección de la pensión en uno ni en otro  régimen, como tampoco  se le brindó una información idónea sobre </w:t>
      </w:r>
      <w:r w:rsidR="00757322">
        <w:t>las desventajas de su traslado.</w:t>
      </w:r>
    </w:p>
    <w:p w:rsidR="003559F2" w:rsidRDefault="003559F2" w:rsidP="003559F2">
      <w:r>
        <w:t>El consentimiento que la DEMANDANTE le dio a la AFP COLFONDOS S.A. PENSIONES Y CESANTIAS, para su traslado al Régimen de Ahorro Individual, no fue un consentimiento informado, porque al momento de dar ese consentimiento, él no fue advertido de las consecuencias desfavorables q</w:t>
      </w:r>
      <w:r w:rsidR="00757322">
        <w:t>ue le representaba la decisión.</w:t>
      </w:r>
    </w:p>
    <w:p w:rsidR="003559F2" w:rsidRDefault="003559F2" w:rsidP="003559F2">
      <w:r>
        <w:t>El consentimiento informado está referido en el inciso 6º del artículo 49 la Constitución, que dice:</w:t>
      </w:r>
    </w:p>
    <w:p w:rsidR="003559F2" w:rsidRDefault="003559F2" w:rsidP="003559F2">
      <w:r w:rsidRPr="00757322">
        <w:rPr>
          <w:b/>
          <w:u w:val="single"/>
        </w:rPr>
        <w:t>El porte y el consumo de sustancias estupefacientes o sicotrópicas está prohibido, salvo prescripción   médica.  Con fines preventivos y rehabilitadores la ley establecerá medidas y tratamientos administrativos de orden pedagógico, profiláctico o terapéutico para las personas que consuman dichas sustancias. El sometimiento a esas medidas y tratamientos requiere el consentimiento informado del adicto."</w:t>
      </w:r>
      <w:r>
        <w:t xml:space="preserve"> (Sub rayado y negrilla fuera de texto original)</w:t>
      </w:r>
    </w:p>
    <w:p w:rsidR="003559F2" w:rsidRDefault="003559F2" w:rsidP="003559F2"/>
    <w:p w:rsidR="003559F2" w:rsidRDefault="003559F2" w:rsidP="003559F2">
      <w:r>
        <w:t xml:space="preserve">Toda persona es autónoma y libre para elegir y decidir cuál opción seguir, entre las diversas alternativas que se le presentan con relación a aquellos asuntos que le interesan. De acuerdo con esto, la Constitución reconoce que dentro de los límites que ella misma traza, existen diferentes concepciones de bien y de mundo, igualmente válidas, desde las cuales toda persona puede construir legítimamente un proyecto de vida. La  obligación  de  garantizar  el  cumplimiento  efectivo  de  estos  principios, implica fijar condiciones  especiales   para  la  manifestación del  consentimiento en los casos en que la expresión libre y autónoma de la voluntad, </w:t>
      </w:r>
      <w:r>
        <w:lastRenderedPageBreak/>
        <w:t>con relación a un ámbito celosamente  protegido   por  la Constitución Política, depende de poder  hacerlo  en determinada  oportunidad, de acuerdo  con un conjunto de conocimientos específicos o con base  en el uso de  ciertos habilidades. Por eso, en ocasiones, se exige que el consentimiento sea informado, es decir, apoyado  en la información necesaria  que le  permita   a la  persona  comprender   el  significado, el  riesgo,  el alcance y los efectos principales  de  su  decisión.  El ordenamiento jurídico ha venido precisando cuáles son aquellos casos en los que se exige que el consentimiento de una persona apta   para   darlo,   se dé   bajo   ciertas condiciones especiales   con relación   a   la información con que cuenta la persona.</w:t>
      </w:r>
    </w:p>
    <w:p w:rsidR="003559F2" w:rsidRDefault="003559F2" w:rsidP="003559F2"/>
    <w:p w:rsidR="003559F2" w:rsidRDefault="003559F2" w:rsidP="003559F2">
      <w:r>
        <w:t xml:space="preserve">Los ámbitos dentro de los cuales la ley y la jurisprudencia constitucional han señalado que se requieren condiciones especiales de información y aptitud, para que se tenga por válido el consentimiento, son de diversa índole. Su principal desarrollo se   ha dado en el campo de la práctica médica, debido al  grado  de  intervención  que conlleva  para  la vida y  para  la  integridad   física  de  un ser   humano someterse a ciertos  tratamientos o  consumir determinados  medicamentos, (en especial  cuando se trata de tratamientos experimentales o de nuevas tecnologías).  No obstante, son muchos los otros campos dentro de los cuáles se ha exigido que la manifestación de voluntad se haga en dichas condiciones especiales.  En el ámbito de los derechos políticos,  por ejemplo, la Corte ha considerado que en cuanto  al apoyo ciudadano a   un  movimiento  o   partido  político, "(...) el   consentimiento  que  expresan   las personas debe  ser  producto de  una decisión informada. El ciudadano debe poder saber qué es lo que va a apoyar."  En el ámbito  del derecho penitenciario,  la Corte ha declarado la constitucionalidad de disposiciones </w:t>
      </w:r>
      <w:r>
        <w:tab/>
        <w:t>contenidas en tratados internacionales de los que Colombia es parte,  en los que se determina  que el traslado de  presos  entre las naciones que hacen  parte del  acuerdo  no puede ser  forzoso y requiere  del  consentimiento informado del  recluso.</w:t>
      </w:r>
    </w:p>
    <w:p w:rsidR="003559F2" w:rsidRDefault="003559F2" w:rsidP="003559F2"/>
    <w:p w:rsidR="003559F2" w:rsidRDefault="003559F2" w:rsidP="003559F2">
      <w:r>
        <w:t>La exigencia  constitucional  de  que el  consentimiento  que otorgan  las personas,  en ocasiones,  sea   informado,  no  es  una  garantía   ajena   o  extraña  a  la  concepción tradicional  del  consentimiento  en el  derecho  civil. En virtud  de  la protección  a  la autonomía  de  la voluntad,  la ley civil exige  que  los consentimientos  existan  y sean válidos. Esto supone que el consentimiento sea pleno, es decir, sea consciente de cuál es el acto    que se está realizando y cuáles son</w:t>
      </w:r>
      <w:r w:rsidR="00757322">
        <w:t xml:space="preserve"> sus principales consecuencias.</w:t>
      </w:r>
    </w:p>
    <w:p w:rsidR="003559F2" w:rsidRDefault="003559F2" w:rsidP="003559F2">
      <w:r>
        <w:t xml:space="preserve">La decisión  del DEMANDANTE de  trasladarse  del SEGURO SOCIAL al Régimen  de Ahorro  Individual, cumple  las condiciones  señaladas por  la Corte Constitucional  para requerir un consentimiento informado, puesto que con ella se encontraba  en juego un derecho  constitucional tan  importante como  es el derecho  a la pensión  de  vejez y porque  para él no era posible comprender adecuadamente  las dimensiones, alcances, riesgos y consecuencias  de la decisión  y sus </w:t>
      </w:r>
      <w:r>
        <w:lastRenderedPageBreak/>
        <w:t>alternativas,  sin contar  con información específica que le debía dar en un principio la AFP COLFONDOS S.A. PENSIONES Y CESATIAS.</w:t>
      </w:r>
    </w:p>
    <w:p w:rsidR="003559F2" w:rsidRDefault="003559F2" w:rsidP="003559F2">
      <w:r>
        <w:t>Tradicionalmente las Administradoras de  Fondos  de Pensiones han  omitido darle al afiliado  toda   la  información  que  se requiere   para  tomar   a  conciencia  la  decisión relacionada  con un traslado de régimen pensional.</w:t>
      </w:r>
    </w:p>
    <w:p w:rsidR="003559F2" w:rsidRDefault="003559F2" w:rsidP="003559F2">
      <w:r>
        <w:t>A partir de octubre de 2016 los afiliados deberán obtener asesoría por parte de las administradoras del RAIS y del RPMPD, para que su decisión de traslado esté fundamentada en información respecto de la conveniencia del mismo según su situación particular.</w:t>
      </w:r>
    </w:p>
    <w:p w:rsidR="003559F2" w:rsidRDefault="003559F2" w:rsidP="003559F2"/>
    <w:p w:rsidR="003559F2" w:rsidRDefault="003559F2" w:rsidP="003559F2">
      <w:r>
        <w:t>Deberes de las administradoras:</w:t>
      </w:r>
    </w:p>
    <w:p w:rsidR="003559F2" w:rsidRDefault="003559F2" w:rsidP="003559F2"/>
    <w:p w:rsidR="003559F2" w:rsidRDefault="003559F2" w:rsidP="003559F2">
      <w:r>
        <w:t>•</w:t>
      </w:r>
      <w:r>
        <w:tab/>
      </w:r>
      <w:r w:rsidRPr="00757322">
        <w:rPr>
          <w:b/>
          <w:u w:val="single"/>
        </w:rPr>
        <w:t>Incluir dentro de sus programas de educación financiera, campañas de promoción y/o divulgación, información acerca de la asesoría que deben brindar a los afiliados de parte de sus representantes, para que proceda el traslado entre regímenes pensionales</w:t>
      </w:r>
      <w:r>
        <w:t>. (Sub rayado y negrilla fuera de texto original)</w:t>
      </w:r>
    </w:p>
    <w:p w:rsidR="003559F2" w:rsidRDefault="003559F2" w:rsidP="003559F2"/>
    <w:p w:rsidR="00757322" w:rsidRDefault="003559F2" w:rsidP="003559F2">
      <w:r>
        <w:t>•</w:t>
      </w:r>
      <w:r>
        <w:tab/>
      </w:r>
      <w:r w:rsidRPr="00757322">
        <w:rPr>
          <w:b/>
          <w:i/>
        </w:rPr>
        <w:t>Garantizar que los traslados se enmarquen dentro del deber del  buen consejo, por lo que  existe la obligación de  proporcionar  información  completa  respecto de  los beneficios, inconvenientes  y  efectos de  la  toma  de  decisiones  en relación con la participación de los afiliados en cualquiera de los dos regímenes del SGP</w:t>
      </w:r>
      <w:r>
        <w:t>. (Sub rayado y neg</w:t>
      </w:r>
      <w:r w:rsidR="00757322">
        <w:t>rilla fuera de texto original).</w:t>
      </w:r>
    </w:p>
    <w:p w:rsidR="003559F2" w:rsidRDefault="003559F2" w:rsidP="003559F2">
      <w:r>
        <w:t>• Disponer de los mecanismos y canales adecuados para suministrar la asesoría e       intercambiar información con las administradoras involucradas.</w:t>
      </w:r>
    </w:p>
    <w:p w:rsidR="003559F2" w:rsidRDefault="00757322" w:rsidP="003559F2">
      <w:r>
        <w:t xml:space="preserve"> </w:t>
      </w:r>
      <w:r w:rsidR="003559F2">
        <w:t xml:space="preserve">• </w:t>
      </w:r>
      <w:r w:rsidR="003559F2" w:rsidRPr="00757322">
        <w:rPr>
          <w:b/>
          <w:u w:val="single"/>
        </w:rPr>
        <w:t>Brindar· la   asesoría con información clara, oportuna y suficiente que no induzca a error al afiliado.</w:t>
      </w:r>
      <w:r w:rsidR="003559F2">
        <w:t xml:space="preserve"> (Sub rayado y negrilla fuera de texto original)</w:t>
      </w:r>
    </w:p>
    <w:p w:rsidR="003559F2" w:rsidRDefault="00757322" w:rsidP="003559F2">
      <w:r>
        <w:t xml:space="preserve"> </w:t>
      </w:r>
    </w:p>
    <w:p w:rsidR="003559F2" w:rsidRDefault="00757322" w:rsidP="003559F2">
      <w:r>
        <w:t xml:space="preserve"> </w:t>
      </w:r>
      <w:r w:rsidR="003559F2">
        <w:t>El artículo 2.6.10.2.3 del decreto 2555 de 2010, dice:</w:t>
      </w:r>
    </w:p>
    <w:p w:rsidR="003559F2" w:rsidRDefault="003559F2" w:rsidP="003559F2">
      <w:r>
        <w:t>"Artículo 2.6.10.2.3 Asesoría e información al Consumidor Financiero.</w:t>
      </w:r>
    </w:p>
    <w:p w:rsidR="003559F2" w:rsidRDefault="003559F2" w:rsidP="003559F2">
      <w:r w:rsidRPr="00757322">
        <w:rPr>
          <w:b/>
          <w:u w:val="single"/>
        </w:rPr>
        <w:t>Las administradoras  tienen  el  deber   del  buen consejo,  por  lo que se  encuentran obligadas a  proporcionar a los consumidores financieros  información  completa sobre las alternativas de su afiliación al esquema de  Multifondos, así como los  beneficios, inconvenientes  y efectos de  la toma  de  decisiones  en relación con su participación en cualquiera  de los dos regímenes del  Sistema  General  de  Pensiones.</w:t>
      </w:r>
      <w:r>
        <w:t xml:space="preserve"> (Sub rayado y negrilla fuera de texto original). </w:t>
      </w:r>
    </w:p>
    <w:p w:rsidR="003559F2" w:rsidRDefault="003559F2" w:rsidP="003559F2"/>
    <w:p w:rsidR="003559F2" w:rsidRDefault="003559F2" w:rsidP="003559F2">
      <w:r w:rsidRPr="00757322">
        <w:rPr>
          <w:b/>
          <w:u w:val="single"/>
        </w:rPr>
        <w:lastRenderedPageBreak/>
        <w:t>En consecuencia, las administradoras del Régimen de Ahorro Individual con Solidaridad deberán suministrar una información clara, cierta, comprensible y oportuna respecto  de las condiciones de su afiliación,  de manera tal que el consumidor financiero  pueda tomar  la  decisión  informada de vincularse  a dicho  régimen o de trasladarse entre  administradoras del mismo o de elegir  el tipo  de fondo dentro  del esquema de "Multifondos" o de seleccionar  la modalidad de pensión o de escoger la aseguradora  previsional en el caso de seleccionar  una renta  vitalicia.</w:t>
      </w:r>
      <w:r>
        <w:t xml:space="preserve">  (Sub rayado y negrilla fuera de texto original).</w:t>
      </w:r>
    </w:p>
    <w:p w:rsidR="003559F2" w:rsidRDefault="003559F2" w:rsidP="003559F2"/>
    <w:p w:rsidR="003559F2" w:rsidRDefault="003559F2" w:rsidP="003559F2">
      <w:r>
        <w:t>Lo anterior, sin perjuicio de   la información   que deberá   ser   remitida a los consumidores financieros en los extractos de conformidad con las instrucciones que imparta la Superintendencia Financiera de Colombia para el efecto.</w:t>
      </w:r>
    </w:p>
    <w:p w:rsidR="003559F2" w:rsidRDefault="003559F2" w:rsidP="003559F2">
      <w:r>
        <w:t>Al ser declarada la nulidad del traslado del DEMANDANTE al Régimen de Ahorro Individual, su afiliación a COLPENSIONES debe permanecer sin solución de continuidad y  la AFP COLFONDOS S.A. PENSIONES Y CESANTIAS y AFP PROTECCIÓN S.A. PENSIONES Y CESANTIAS deben transferir a COLPENSIONES la totalidad de las cotizaciones que han recibido del DEMANDANTE y sus empleadores, con la totalidad de los rendimientos financieros generados.</w:t>
      </w:r>
    </w:p>
    <w:p w:rsidR="003559F2" w:rsidRDefault="003559F2" w:rsidP="003559F2">
      <w:r>
        <w:t>Por su parte COLPENSIONES, al ser declarada la nulidad del traslado del DEMANDANTE al Régimen de Ahorro Individual, debe registrar en la historia laboral del DEMANDANTE el detalle de las semanas cuyas cotizaciones le sean transferidas por la AFP COLFONDOS S.A. PENSIONES Y CESANTIAS y AFP PROTECCIÓN S.A. PENSIONES Y CESANTIAS.</w:t>
      </w:r>
    </w:p>
    <w:p w:rsidR="003559F2" w:rsidRDefault="003559F2" w:rsidP="003559F2">
      <w:r>
        <w:t>Sobre la transferencia de los recursos, al ser declarada la nulidad de la afiliación al Régimen de Ahorro Individual, la Corte Suprema de Justicia, en la precitada sentencia del 9 de septiembre de 2008, radicado 31.989, ha sostenido:</w:t>
      </w:r>
    </w:p>
    <w:p w:rsidR="003559F2" w:rsidRDefault="003559F2" w:rsidP="003559F2">
      <w:r>
        <w:t>"</w:t>
      </w:r>
      <w:r w:rsidRPr="00757322">
        <w:rPr>
          <w:b/>
          <w:u w:val="single"/>
        </w:rPr>
        <w:t>La administradora tiene  el deber  de devolver  al sistema todos los valores que   hubiere    recibido  con   motivo   de   la   afiliación   del   actor, como cotizaciones,  bonos pensionales, sumas adicionales  de  la aseguradora, con todos  sus frutos e intereses como los dispone el artículo  1746 del C.C., esto es, con los rendimientos  que se hubieren causado</w:t>
      </w:r>
      <w:r>
        <w:t>. (Sub rayado y negrilla fuera de texto original).</w:t>
      </w:r>
    </w:p>
    <w:p w:rsidR="003559F2" w:rsidRDefault="003559F2" w:rsidP="003559F2">
      <w:r>
        <w:t>Los fundamentos y razones de derecho expuestos, son suficientes para declarar la nulidad del traslado de la DEMANDANTE del Régimen de Prima Media al Régimen de Ahorro Individual y su correspondiente afiliación a la AFP COLFONDOS S.A. PENSIONES Y CESANTIAS y AFP PROTECCIÓN S.A. PENSIONES Y CESANTIAS.</w:t>
      </w:r>
    </w:p>
    <w:p w:rsidR="00757322" w:rsidRDefault="00757322" w:rsidP="00757322">
      <w:pPr>
        <w:jc w:val="center"/>
        <w:rPr>
          <w:b/>
        </w:rPr>
      </w:pPr>
    </w:p>
    <w:p w:rsidR="00757322" w:rsidRDefault="00757322" w:rsidP="00757322">
      <w:pPr>
        <w:jc w:val="center"/>
        <w:rPr>
          <w:b/>
        </w:rPr>
      </w:pPr>
    </w:p>
    <w:p w:rsidR="00757322" w:rsidRDefault="00757322" w:rsidP="00757322">
      <w:pPr>
        <w:jc w:val="center"/>
        <w:rPr>
          <w:b/>
        </w:rPr>
      </w:pPr>
    </w:p>
    <w:p w:rsidR="00757322" w:rsidRPr="00757322" w:rsidRDefault="00757322" w:rsidP="00757322">
      <w:pPr>
        <w:jc w:val="center"/>
        <w:rPr>
          <w:b/>
        </w:rPr>
      </w:pPr>
      <w:r w:rsidRPr="00757322">
        <w:rPr>
          <w:b/>
        </w:rPr>
        <w:lastRenderedPageBreak/>
        <w:t>MEDIOS DE PRUEBA</w:t>
      </w:r>
    </w:p>
    <w:p w:rsidR="00757322" w:rsidRDefault="00757322" w:rsidP="00757322"/>
    <w:p w:rsidR="00757322" w:rsidRDefault="00757322" w:rsidP="00757322">
      <w:r>
        <w:t xml:space="preserve">PRUEBAS DOCUMENTALES: </w:t>
      </w:r>
    </w:p>
    <w:p w:rsidR="00757322" w:rsidRDefault="00757322" w:rsidP="00757322">
      <w:r>
        <w:t>Aporto como tales las siguientes:</w:t>
      </w:r>
    </w:p>
    <w:p w:rsidR="00757322" w:rsidRDefault="00757322" w:rsidP="00757322">
      <w:r>
        <w:t xml:space="preserve">5.1. </w:t>
      </w:r>
      <w:r>
        <w:tab/>
        <w:t>Copia de la cédula de ciudadanía del DEMANDANTE.</w:t>
      </w:r>
    </w:p>
    <w:p w:rsidR="00757322" w:rsidRDefault="00757322" w:rsidP="00757322">
      <w:r>
        <w:t xml:space="preserve">5.2. </w:t>
      </w:r>
      <w:r>
        <w:tab/>
        <w:t>Historia laboral de AFP PROTECCION S.A. de fecha xxx de xxxx de 20xxx.</w:t>
      </w:r>
    </w:p>
    <w:p w:rsidR="00757322" w:rsidRDefault="00757322" w:rsidP="00757322">
      <w:r>
        <w:t>5.3.</w:t>
      </w:r>
      <w:r>
        <w:tab/>
        <w:t>Historia laboral de COLPENSIONES de fecha 1xxxxde xxxx de 2017.</w:t>
      </w:r>
    </w:p>
    <w:p w:rsidR="00757322" w:rsidRDefault="00757322" w:rsidP="00757322">
      <w:r>
        <w:t>5.4.</w:t>
      </w:r>
      <w:r>
        <w:tab/>
        <w:t xml:space="preserve">Copia Formatos 1, 2 y 3 (B) del Ministerio de xxxxx que prueba los años trabajados para el mismo. </w:t>
      </w:r>
    </w:p>
    <w:p w:rsidR="00757322" w:rsidRDefault="00757322" w:rsidP="00757322">
      <w:r>
        <w:t xml:space="preserve">5.5. </w:t>
      </w:r>
      <w:r>
        <w:tab/>
        <w:t xml:space="preserve">Reclamación </w:t>
      </w:r>
      <w:r>
        <w:tab/>
        <w:t>administrativa</w:t>
      </w:r>
      <w:r>
        <w:tab/>
        <w:t xml:space="preserve">presentada </w:t>
      </w:r>
      <w:r>
        <w:tab/>
        <w:t>a</w:t>
      </w:r>
      <w:r>
        <w:tab/>
        <w:t>AFP COLFONDOS S.A.  PENSIONES Y CESANTIAS, con    radicado No.  xxx el día xx de abril de 20xx.</w:t>
      </w:r>
    </w:p>
    <w:p w:rsidR="00757322" w:rsidRDefault="00757322" w:rsidP="00757322">
      <w:r>
        <w:t>5.6.</w:t>
      </w:r>
      <w:r>
        <w:tab/>
      </w:r>
      <w:r>
        <w:tab/>
        <w:t>Respuesta de la AFP COLFONDOS S.A. PENSIONES Y CESANTIAS a la reclamación administrativa citada en el numeral anterior, con fecha 13 de mayo xxxx.</w:t>
      </w:r>
    </w:p>
    <w:p w:rsidR="00757322" w:rsidRDefault="00757322" w:rsidP="00757322">
      <w:r>
        <w:t xml:space="preserve">5.7. </w:t>
      </w:r>
      <w:r>
        <w:tab/>
        <w:t>Reclamación   administrativa presentada   a COLPENSIONES   con   radicado   No. xxxxx el día xxx de xxx de 20xxx.</w:t>
      </w:r>
    </w:p>
    <w:p w:rsidR="00757322" w:rsidRDefault="00757322" w:rsidP="00757322">
      <w:r>
        <w:t xml:space="preserve">5.8. </w:t>
      </w:r>
      <w:r>
        <w:tab/>
        <w:t>Respuesta de COLPENSIONES con oficio xxxx, a la reclamación administrativa citada en el numeral anterior, con fecha 26 de abril de 2019.</w:t>
      </w:r>
    </w:p>
    <w:p w:rsidR="00757322" w:rsidRDefault="00757322" w:rsidP="00757322">
      <w:r>
        <w:t>5.9.</w:t>
      </w:r>
      <w:r>
        <w:tab/>
        <w:t xml:space="preserve">Reclamación </w:t>
      </w:r>
      <w:r>
        <w:tab/>
        <w:t>administrativa</w:t>
      </w:r>
      <w:r>
        <w:tab/>
        <w:t xml:space="preserve">presentada </w:t>
      </w:r>
      <w:r>
        <w:tab/>
        <w:t>a</w:t>
      </w:r>
      <w:r>
        <w:tab/>
        <w:t>AFP PROTECCIÓN S.A. PENSIONES Y CESANTÍAS con    radicado de fecha el día xxxx de abril de 20xxx.</w:t>
      </w:r>
    </w:p>
    <w:p w:rsidR="00757322" w:rsidRDefault="00757322" w:rsidP="00757322">
      <w:r>
        <w:t>5.10.</w:t>
      </w:r>
      <w:r>
        <w:tab/>
        <w:t>Respuesta del AFP PROTECCIÓN S.A. PENSIONES Y CESANTÍAS a la reclamación administrativa citada en el numeral anterior, con fecha 17 de mayo de xxxx.</w:t>
      </w:r>
    </w:p>
    <w:p w:rsidR="00757322" w:rsidRDefault="00757322" w:rsidP="00757322">
      <w:r>
        <w:t>5.11   Copia oficio de fecha xxxx de xxxde xxxx, por medio del cual la AFP PROTECCIÓN S.A. PENSIONES Y CESANTÍAS, proyecta la pensión del demandante en una pensión mínima.</w:t>
      </w:r>
    </w:p>
    <w:p w:rsidR="00757322" w:rsidRDefault="00757322" w:rsidP="00757322">
      <w:r>
        <w:t>5.12    Oficios: Además solicito requerir a la AFP PROTECCIÓN S.A. PENSIONES Y CESANTÍAS, para que aporte copia del expediente administrativo correspondiente a la afiliación del DEMANDANTE. El cual como se puede apreciar en la reclamación administrativa adjuntada elevada a esta AFP y anexada como prueba, fue solicitada mediante derecho de petición y dicha entidad se negó a remitir copia del mismo.</w:t>
      </w:r>
    </w:p>
    <w:p w:rsidR="00757322" w:rsidRDefault="00757322" w:rsidP="00757322"/>
    <w:p w:rsidR="00757322" w:rsidRDefault="00757322" w:rsidP="00757322"/>
    <w:p w:rsidR="00757322" w:rsidRPr="00757322" w:rsidRDefault="00757322" w:rsidP="00757322">
      <w:pPr>
        <w:rPr>
          <w:b/>
        </w:rPr>
      </w:pPr>
      <w:r w:rsidRPr="00757322">
        <w:rPr>
          <w:b/>
        </w:rPr>
        <w:lastRenderedPageBreak/>
        <w:t xml:space="preserve">INTERROGATORIO DE PARTE: </w:t>
      </w:r>
    </w:p>
    <w:p w:rsidR="00757322" w:rsidRDefault="00757322" w:rsidP="00757322">
      <w:r>
        <w:t>Ruego citar y hacer comparecer, para que en audiencia, cuya fecha y hora se servirá usted señalar, se sirva decretar y practicar interrogatorio de parte a los representantes legales de la AFP PROTECCIÓN S.A. PENSIONES Y CESANTIAS y la AFP COLFONDOS S.A. PENSIONES Y CESANTIAS para ser interrogados sobre los hechos a que se refiere la presente demanda.</w:t>
      </w:r>
    </w:p>
    <w:p w:rsidR="00757322" w:rsidRDefault="00757322" w:rsidP="00757322">
      <w:r w:rsidRPr="00757322">
        <w:rPr>
          <w:b/>
        </w:rPr>
        <w:t>TESTIMONIOS DE TERCEROS:</w:t>
      </w:r>
      <w:r>
        <w:t xml:space="preserve"> </w:t>
      </w:r>
    </w:p>
    <w:p w:rsidR="00757322" w:rsidRDefault="00757322" w:rsidP="00757322">
      <w:r>
        <w:t>Ruego citar y hacer comparecer, para que en audiencia, cuya fecha y hora se servirá usted señalar, rindan testimonio sobre los hechos de la demanda, en particular respecto a que no se le proporcionó a mi mandante una información  completa  respecto de  los beneficios, inconvenientes  y  efectos de  la  toma  de  decisiones, ni se le entregó en momento alguno proyección de la pensión, lo que hizo incurrir en error por no contar con la información especializada y suficiente para tomar la decisión de traslado de régimen pensional, entre otras circunstancias relacionadas. Los testigos son:</w:t>
      </w:r>
    </w:p>
    <w:p w:rsidR="00757322" w:rsidRDefault="00757322" w:rsidP="00757322"/>
    <w:p w:rsidR="00757322" w:rsidRDefault="00757322" w:rsidP="00757322">
      <w:r>
        <w:t>1.- xxx, mayor de edad, identificado con cédula de ciudadanía número xxxx, el cual puede ser ubicado en la xxxxx de la actual nomenclatura urbana de la ciudad de Bogotá D.C.</w:t>
      </w:r>
    </w:p>
    <w:p w:rsidR="00757322" w:rsidRDefault="00757322" w:rsidP="00757322"/>
    <w:p w:rsidR="00757322" w:rsidRPr="00757322" w:rsidRDefault="00757322" w:rsidP="00757322">
      <w:pPr>
        <w:jc w:val="center"/>
        <w:rPr>
          <w:b/>
        </w:rPr>
      </w:pPr>
      <w:r w:rsidRPr="00757322">
        <w:rPr>
          <w:b/>
        </w:rPr>
        <w:t>PROCEDIMIENTO</w:t>
      </w:r>
    </w:p>
    <w:p w:rsidR="00757322" w:rsidRDefault="00757322" w:rsidP="00757322"/>
    <w:p w:rsidR="00757322" w:rsidRDefault="00757322" w:rsidP="00757322"/>
    <w:p w:rsidR="00757322" w:rsidRDefault="00757322" w:rsidP="00757322">
      <w:r>
        <w:t>El procedimiento que debe aplicarse a la presente demanda, es el ordinario laboral señalado en los artículos 74 y siguientes del Código Procesal del Trabajo y de la Seguridad Social.</w:t>
      </w:r>
    </w:p>
    <w:p w:rsidR="00757322" w:rsidRDefault="00757322" w:rsidP="00757322"/>
    <w:p w:rsidR="00757322" w:rsidRPr="00757322" w:rsidRDefault="00757322" w:rsidP="00757322">
      <w:pPr>
        <w:jc w:val="center"/>
        <w:rPr>
          <w:b/>
        </w:rPr>
      </w:pPr>
      <w:r w:rsidRPr="00757322">
        <w:rPr>
          <w:b/>
        </w:rPr>
        <w:t>COMPETENCIA Y CUANTIA.</w:t>
      </w:r>
    </w:p>
    <w:p w:rsidR="00757322" w:rsidRDefault="00757322" w:rsidP="00757322">
      <w:r>
        <w:t>Su Despacho Señor Juez es competente para conocer de esta demanda en primera instancia, de conformidad con lo previsto en el artículo 11del Código Procesal del Trabajo y de la Seguridad Social, porque   LAS DEMANDADAS son entidades del Sistema de Seguridad Social Integral, domiciliadas en</w:t>
      </w:r>
      <w:r>
        <w:t xml:space="preserve"> Bogotá D. C.</w:t>
      </w:r>
    </w:p>
    <w:p w:rsidR="00757322" w:rsidRDefault="00757322" w:rsidP="00757322">
      <w:r>
        <w:t xml:space="preserve">Respecto de la cuantía, estimo respecto de la misma que se trata de un asunto SIN CUANTIA, ya que trata sobre una pretensión de carácter extrapatrimonial. </w:t>
      </w:r>
    </w:p>
    <w:p w:rsidR="00757322" w:rsidRDefault="00757322" w:rsidP="00757322"/>
    <w:p w:rsidR="00757322" w:rsidRDefault="00757322" w:rsidP="00757322"/>
    <w:p w:rsidR="00757322" w:rsidRDefault="00757322" w:rsidP="00757322"/>
    <w:p w:rsidR="00757322" w:rsidRDefault="00757322" w:rsidP="00757322"/>
    <w:p w:rsidR="00757322" w:rsidRPr="00757322" w:rsidRDefault="00757322" w:rsidP="00757322">
      <w:pPr>
        <w:jc w:val="center"/>
        <w:rPr>
          <w:b/>
        </w:rPr>
      </w:pPr>
      <w:r w:rsidRPr="00757322">
        <w:rPr>
          <w:b/>
        </w:rPr>
        <w:t>DOCUMENTOS ANEXOS.</w:t>
      </w:r>
    </w:p>
    <w:p w:rsidR="00757322" w:rsidRDefault="00757322" w:rsidP="00757322"/>
    <w:p w:rsidR="00757322" w:rsidRDefault="00757322" w:rsidP="00757322"/>
    <w:p w:rsidR="00757322" w:rsidRDefault="00757322" w:rsidP="00757322">
      <w:r>
        <w:t>•</w:t>
      </w:r>
      <w:r>
        <w:tab/>
        <w:t>Poder recibido del señor xxx.</w:t>
      </w:r>
    </w:p>
    <w:p w:rsidR="00757322" w:rsidRDefault="00757322" w:rsidP="00757322">
      <w:r>
        <w:t>•</w:t>
      </w:r>
      <w:r>
        <w:tab/>
        <w:t>Copia del Certificado de existencia y representación legal de AFP PROTECCIÓN S.A.  PENSIONES Y CESANTÍAS, AFP COLFONDOS S.A PENSION</w:t>
      </w:r>
      <w:r>
        <w:t xml:space="preserve">ES Y CESANTIAS y COLPENSIONES. </w:t>
      </w:r>
    </w:p>
    <w:p w:rsidR="00757322" w:rsidRDefault="00757322" w:rsidP="00757322">
      <w:r>
        <w:t>•</w:t>
      </w:r>
      <w:r>
        <w:tab/>
        <w:t>Copias de la demanda con   todos sus anexos para sus cuatro traslados y la copia de archivo con sus correspondientes CD.</w:t>
      </w:r>
    </w:p>
    <w:p w:rsidR="00757322" w:rsidRDefault="00757322" w:rsidP="00757322"/>
    <w:p w:rsidR="00757322" w:rsidRPr="00757322" w:rsidRDefault="00757322" w:rsidP="00757322">
      <w:pPr>
        <w:jc w:val="center"/>
        <w:rPr>
          <w:b/>
        </w:rPr>
      </w:pPr>
      <w:r w:rsidRPr="00757322">
        <w:rPr>
          <w:b/>
        </w:rPr>
        <w:t>NOTIF</w:t>
      </w:r>
      <w:bookmarkStart w:id="0" w:name="_GoBack"/>
      <w:bookmarkEnd w:id="0"/>
      <w:r w:rsidRPr="00757322">
        <w:rPr>
          <w:b/>
        </w:rPr>
        <w:t>ICACIONES.</w:t>
      </w:r>
    </w:p>
    <w:p w:rsidR="00757322" w:rsidRDefault="00757322" w:rsidP="00757322"/>
    <w:p w:rsidR="00757322" w:rsidRDefault="007E1F57" w:rsidP="00757322">
      <w:r>
        <w:t xml:space="preserve">DEMANDANTE, con domicilio en la ciudad de  xxxxx, recibe notificaciones: </w:t>
      </w:r>
    </w:p>
    <w:p w:rsidR="007E1F57" w:rsidRDefault="007E1F57" w:rsidP="007E1F57">
      <w:r>
        <w:t xml:space="preserve">xxxxx: Carrera 149 Bis # 134 A – 24 Barrio San Pedro de xxxx de Bogotá D.C.; Celular: xxxx; email: lxxxxxxx </w:t>
      </w:r>
    </w:p>
    <w:p w:rsidR="007E1F57" w:rsidRDefault="007E1F57" w:rsidP="00757322">
      <w:r>
        <w:t xml:space="preserve">DEMANDADAS </w:t>
      </w:r>
    </w:p>
    <w:p w:rsidR="00757322" w:rsidRDefault="00757322" w:rsidP="00757322">
      <w:r>
        <w:t>AFP PROTECCION S.A. PENSIONES Y CESANTIAS: Carrera 7 No. 32 – 39, Edificio Fénix, Bogotá D.C. Tel 7444464.</w:t>
      </w:r>
    </w:p>
    <w:p w:rsidR="00757322" w:rsidRDefault="00757322" w:rsidP="00757322">
      <w:r>
        <w:t>AFP COLFONDOS S.A. PENSIONES Y CESANTÍAS: Calle 67 No.7-94 Tel 3765066. Bogotá D.C.</w:t>
      </w:r>
    </w:p>
    <w:p w:rsidR="00757322" w:rsidRDefault="00757322" w:rsidP="00757322">
      <w:r>
        <w:t>COLPENSIONES: Carrera 10 No. 72-33 Torre B. Piso 11. Tel. 2170100. Bogotá.  Correo electrónico:                                             .</w:t>
      </w:r>
    </w:p>
    <w:p w:rsidR="00757322" w:rsidRDefault="00757322" w:rsidP="00757322">
      <w:r>
        <w:t xml:space="preserve">AGENCIA NACIONAL PARA LA DEFENSA JURÍDICA DEL ESTADO. </w:t>
      </w:r>
    </w:p>
    <w:p w:rsidR="00757322" w:rsidRDefault="00757322" w:rsidP="00757322">
      <w:r>
        <w:t>Carrera 7 No.</w:t>
      </w:r>
      <w:r>
        <w:t xml:space="preserve"> 75-66. Bogotá. Tel 2558955.</w:t>
      </w:r>
    </w:p>
    <w:p w:rsidR="00757322" w:rsidRDefault="00757322" w:rsidP="00757322"/>
    <w:p w:rsidR="007E1F57" w:rsidRDefault="007E1F57" w:rsidP="00757322">
      <w:r>
        <w:t>Apoderado parte demandante: xxxxxxx</w:t>
      </w:r>
    </w:p>
    <w:p w:rsidR="007E1F57" w:rsidRDefault="007E1F57" w:rsidP="00757322">
      <w:r>
        <w:t xml:space="preserve">Con domicilio con profesional en la ciudad de xxxx, las recibiré </w:t>
      </w:r>
    </w:p>
    <w:p w:rsidR="00757322" w:rsidRDefault="00757322" w:rsidP="00757322">
      <w:r>
        <w:t>EL SUSCRITO APODERADO: xxxxx OFI.  Celular:xxxxxxx.  email: xxxx</w:t>
      </w:r>
    </w:p>
    <w:p w:rsidR="00757322" w:rsidRDefault="00757322" w:rsidP="00757322"/>
    <w:p w:rsidR="007E1F57" w:rsidRDefault="007E1F57" w:rsidP="00757322"/>
    <w:p w:rsidR="007E1F57" w:rsidRDefault="007E1F57" w:rsidP="00757322"/>
    <w:p w:rsidR="00757322" w:rsidRDefault="00757322" w:rsidP="00757322">
      <w:r>
        <w:lastRenderedPageBreak/>
        <w:t>Del señor Juez, con consideración y respeto,</w:t>
      </w:r>
    </w:p>
    <w:p w:rsidR="00757322" w:rsidRDefault="00757322" w:rsidP="00757322"/>
    <w:p w:rsidR="00757322" w:rsidRDefault="00757322" w:rsidP="00757322"/>
    <w:p w:rsidR="00757322" w:rsidRDefault="00757322" w:rsidP="00757322"/>
    <w:p w:rsidR="00757322" w:rsidRDefault="00757322" w:rsidP="00757322"/>
    <w:p w:rsidR="00757322" w:rsidRDefault="00757322" w:rsidP="00757322">
      <w:r>
        <w:t>xxx</w:t>
      </w:r>
    </w:p>
    <w:p w:rsidR="00757322" w:rsidRDefault="00757322" w:rsidP="00757322">
      <w:r>
        <w:t>C.C. No. xxxx de Bogotá</w:t>
      </w:r>
    </w:p>
    <w:p w:rsidR="00757322" w:rsidRDefault="00757322" w:rsidP="00757322">
      <w:r>
        <w:t>T.P. No. xxxxxdel C.S. de la J.</w:t>
      </w:r>
    </w:p>
    <w:p w:rsidR="00757322" w:rsidRDefault="00757322" w:rsidP="003559F2"/>
    <w:p w:rsidR="00757322" w:rsidRDefault="00757322" w:rsidP="003559F2"/>
    <w:sectPr w:rsidR="007573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9F2"/>
    <w:rsid w:val="000C3262"/>
    <w:rsid w:val="003559F2"/>
    <w:rsid w:val="00546CEC"/>
    <w:rsid w:val="00662835"/>
    <w:rsid w:val="006C2C6A"/>
    <w:rsid w:val="00720B8D"/>
    <w:rsid w:val="00757322"/>
    <w:rsid w:val="007E0153"/>
    <w:rsid w:val="007E1F57"/>
    <w:rsid w:val="00891CE8"/>
    <w:rsid w:val="008A312F"/>
    <w:rsid w:val="008F42E3"/>
    <w:rsid w:val="00B106D7"/>
    <w:rsid w:val="00B65BF1"/>
    <w:rsid w:val="00C35D74"/>
    <w:rsid w:val="00CB28DF"/>
    <w:rsid w:val="00D00710"/>
    <w:rsid w:val="00D24043"/>
    <w:rsid w:val="00DA6E6A"/>
    <w:rsid w:val="00E81127"/>
    <w:rsid w:val="00F62A67"/>
    <w:rsid w:val="00F92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2972"/>
  <w15:chartTrackingRefBased/>
  <w15:docId w15:val="{8264A630-A3F1-4AFB-B97F-7D54B9489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76" w:lineRule="auto"/>
        <w:ind w:left="709" w:hanging="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0710"/>
    <w:pPr>
      <w:spacing w:line="240" w:lineRule="auto"/>
      <w:ind w:left="0" w:firstLine="0"/>
    </w:pPr>
    <w:rPr>
      <w:rFonts w:ascii="Arial" w:hAnsi="Arial"/>
      <w:sz w:val="24"/>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27</TotalTime>
  <Pages>18</Pages>
  <Words>6076</Words>
  <Characters>34634</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2020-06-17T23:14:00Z</dcterms:created>
  <dcterms:modified xsi:type="dcterms:W3CDTF">2020-06-17T23:47:00Z</dcterms:modified>
</cp:coreProperties>
</file>