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393AA" w14:textId="77777777" w:rsidR="00000000" w:rsidRPr="009C5BDF" w:rsidRDefault="001C5B6E">
      <w:pPr>
        <w:pStyle w:val="Ttulo2"/>
        <w:spacing w:before="400" w:beforeAutospacing="0" w:after="400" w:afterAutospacing="0"/>
        <w:rPr>
          <w:rFonts w:ascii="Arial" w:eastAsia="Times New Roman" w:hAnsi="Arial" w:cs="Arial"/>
          <w:color w:val="0D0D0D" w:themeColor="text1" w:themeTint="F2"/>
          <w:sz w:val="28"/>
          <w:szCs w:val="28"/>
          <w:lang w:val="es-ES"/>
        </w:rPr>
      </w:pPr>
      <w:r w:rsidRPr="009C5BDF">
        <w:rPr>
          <w:rFonts w:ascii="Arial" w:eastAsia="Times New Roman" w:hAnsi="Arial" w:cs="Arial"/>
          <w:color w:val="0D0D0D" w:themeColor="text1" w:themeTint="F2"/>
          <w:sz w:val="28"/>
          <w:szCs w:val="28"/>
          <w:lang w:val="es-ES"/>
        </w:rPr>
        <w:t xml:space="preserve">CONTRATO DE COMPRAVENTA DE INMUEBLE </w:t>
      </w:r>
      <w:r w:rsidRPr="009C5BDF">
        <w:rPr>
          <w:rFonts w:ascii="Arial" w:eastAsia="Times New Roman" w:hAnsi="Arial" w:cs="Arial"/>
          <w:color w:val="0D0D0D" w:themeColor="text1" w:themeTint="F2"/>
          <w:sz w:val="28"/>
          <w:szCs w:val="28"/>
          <w:lang w:val="es-ES"/>
        </w:rPr>
        <w:br/>
        <w:t xml:space="preserve">(Sometido al régimen de propiedad horizontal) </w:t>
      </w:r>
    </w:p>
    <w:p w14:paraId="63B4C070" w14:textId="5C317EB4" w:rsidR="00000000" w:rsidRPr="009C5BDF" w:rsidRDefault="001C5B6E">
      <w:pPr>
        <w:pStyle w:val="nueve"/>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En la ciudad de .......... departamento de .........., República de Colombia, a los</w:t>
      </w:r>
      <w:proofErr w:type="gramStart"/>
      <w:r w:rsidRPr="009C5BDF">
        <w:rPr>
          <w:rFonts w:ascii="Arial" w:hAnsi="Arial" w:cs="Arial"/>
          <w:color w:val="0D0D0D" w:themeColor="text1" w:themeTint="F2"/>
          <w:sz w:val="28"/>
          <w:szCs w:val="28"/>
          <w:lang w:val="es-ES"/>
        </w:rPr>
        <w:t xml:space="preserve"> ....</w:t>
      </w:r>
      <w:proofErr w:type="gramEnd"/>
      <w:r w:rsidRPr="009C5BDF">
        <w:rPr>
          <w:rFonts w:ascii="Arial" w:hAnsi="Arial" w:cs="Arial"/>
          <w:color w:val="0D0D0D" w:themeColor="text1" w:themeTint="F2"/>
          <w:sz w:val="28"/>
          <w:szCs w:val="28"/>
          <w:lang w:val="es-ES"/>
        </w:rPr>
        <w:t>. del mes de .......... del año</w:t>
      </w:r>
      <w:proofErr w:type="gramStart"/>
      <w:r w:rsidRPr="009C5BDF">
        <w:rPr>
          <w:rFonts w:ascii="Arial" w:hAnsi="Arial" w:cs="Arial"/>
          <w:color w:val="0D0D0D" w:themeColor="text1" w:themeTint="F2"/>
          <w:sz w:val="28"/>
          <w:szCs w:val="28"/>
          <w:lang w:val="es-ES"/>
        </w:rPr>
        <w:t xml:space="preserve"> ....</w:t>
      </w:r>
      <w:proofErr w:type="gramEnd"/>
      <w:r w:rsidRPr="009C5BDF">
        <w:rPr>
          <w:rFonts w:ascii="Arial" w:hAnsi="Arial" w:cs="Arial"/>
          <w:color w:val="0D0D0D" w:themeColor="text1" w:themeTint="F2"/>
          <w:sz w:val="28"/>
          <w:szCs w:val="28"/>
          <w:lang w:val="es-ES"/>
        </w:rPr>
        <w:t xml:space="preserve">., ante mí Notario ....., </w:t>
      </w:r>
      <w:r w:rsidRPr="009C5BDF">
        <w:rPr>
          <w:rFonts w:ascii="Arial" w:hAnsi="Arial" w:cs="Arial"/>
          <w:color w:val="0D0D0D" w:themeColor="text1" w:themeTint="F2"/>
          <w:sz w:val="28"/>
          <w:szCs w:val="28"/>
          <w:lang w:val="es-ES"/>
        </w:rPr>
        <w:t xml:space="preserve">del Círculo de .........., compareció .........., mayor de edad, identificado con la cédula de ciudadanía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 de .........</w:t>
      </w:r>
      <w:r w:rsidRPr="009C5BDF">
        <w:rPr>
          <w:rFonts w:ascii="Arial" w:hAnsi="Arial" w:cs="Arial"/>
          <w:color w:val="0D0D0D" w:themeColor="text1" w:themeTint="F2"/>
          <w:sz w:val="28"/>
          <w:szCs w:val="28"/>
          <w:lang w:val="es-ES"/>
        </w:rPr>
        <w:t>.</w:t>
      </w:r>
      <w:r w:rsidRPr="009C5BDF">
        <w:rPr>
          <w:rStyle w:val="anchor"/>
          <w:rFonts w:ascii="Arial" w:hAnsi="Arial" w:cs="Arial"/>
          <w:color w:val="0D0D0D" w:themeColor="text1" w:themeTint="F2"/>
          <w:sz w:val="28"/>
          <w:szCs w:val="28"/>
          <w:lang w:val="es-ES"/>
        </w:rPr>
        <w:t>(1</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de estado civil .......... con sociedad conyugal vigente (o soltero, o divorciado), domiciliado y residente en ......</w:t>
      </w:r>
      <w:r w:rsidRPr="009C5BDF">
        <w:rPr>
          <w:rFonts w:ascii="Arial" w:hAnsi="Arial" w:cs="Arial"/>
          <w:color w:val="0D0D0D" w:themeColor="text1" w:themeTint="F2"/>
          <w:sz w:val="28"/>
          <w:szCs w:val="28"/>
          <w:lang w:val="es-ES"/>
        </w:rPr>
        <w:t xml:space="preserve">...., quien en adelante se denominará el VENDEDOR, por una parte, y por la otra .........., también mayor de edad, identificado con la cédula de ciudadanía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 de .........., de estado civil .......... con sociedad conyugal vigente (o soltero, o</w:t>
      </w:r>
      <w:r w:rsidRPr="009C5BDF">
        <w:rPr>
          <w:rFonts w:ascii="Arial" w:hAnsi="Arial" w:cs="Arial"/>
          <w:color w:val="0D0D0D" w:themeColor="text1" w:themeTint="F2"/>
          <w:sz w:val="28"/>
          <w:szCs w:val="28"/>
          <w:lang w:val="es-ES"/>
        </w:rPr>
        <w:t xml:space="preserve"> divorciado)</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(2</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xml:space="preserve">, domiciliado y residente en .........., quien en adelante se denominará el COMPRADOR y manifestaron: Que han celebrado el contrato de compraventa contenido en las siguientes cláusulas: </w:t>
      </w:r>
      <w:r w:rsidRPr="009C5BDF">
        <w:rPr>
          <w:rStyle w:val="Textoennegrita"/>
          <w:rFonts w:ascii="Arial" w:hAnsi="Arial" w:cs="Arial"/>
          <w:color w:val="0D0D0D" w:themeColor="text1" w:themeTint="F2"/>
          <w:sz w:val="28"/>
          <w:szCs w:val="28"/>
          <w:lang w:val="es-ES"/>
        </w:rPr>
        <w:t xml:space="preserve">PRIMERA. </w:t>
      </w:r>
      <w:proofErr w:type="gramStart"/>
      <w:r w:rsidRPr="009C5BDF">
        <w:rPr>
          <w:rStyle w:val="Textoennegrita"/>
          <w:rFonts w:ascii="Arial" w:hAnsi="Arial" w:cs="Arial"/>
          <w:color w:val="0D0D0D" w:themeColor="text1" w:themeTint="F2"/>
          <w:sz w:val="28"/>
          <w:szCs w:val="28"/>
          <w:lang w:val="es-ES"/>
        </w:rPr>
        <w:t>Objeto.—</w:t>
      </w:r>
      <w:proofErr w:type="gramEnd"/>
      <w:r w:rsidRPr="009C5BDF">
        <w:rPr>
          <w:rFonts w:ascii="Arial" w:hAnsi="Arial" w:cs="Arial"/>
          <w:color w:val="0D0D0D" w:themeColor="text1" w:themeTint="F2"/>
          <w:sz w:val="28"/>
          <w:szCs w:val="28"/>
          <w:lang w:val="es-ES"/>
        </w:rPr>
        <w:t>El VENDEDOR, por medio del presente p</w:t>
      </w:r>
      <w:r w:rsidRPr="009C5BDF">
        <w:rPr>
          <w:rFonts w:ascii="Arial" w:hAnsi="Arial" w:cs="Arial"/>
          <w:color w:val="0D0D0D" w:themeColor="text1" w:themeTint="F2"/>
          <w:sz w:val="28"/>
          <w:szCs w:val="28"/>
          <w:lang w:val="es-ES"/>
        </w:rPr>
        <w:t>úblico instrumento transfiere a título de compraventa real y efectiva al COMPRADOR el derecho de dominio y la posesión que tiene y ejerce sobre el siguiente inmueble</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(3</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xml:space="preserve">: El apartamento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w:t>
      </w:r>
      <w:proofErr w:type="gramStart"/>
      <w:r w:rsidRPr="009C5BDF">
        <w:rPr>
          <w:rFonts w:ascii="Arial" w:hAnsi="Arial" w:cs="Arial"/>
          <w:color w:val="0D0D0D" w:themeColor="text1" w:themeTint="F2"/>
          <w:sz w:val="28"/>
          <w:szCs w:val="28"/>
          <w:lang w:val="es-ES"/>
        </w:rPr>
        <w:t>(....</w:t>
      </w:r>
      <w:proofErr w:type="gramEnd"/>
      <w:r w:rsidRPr="009C5BDF">
        <w:rPr>
          <w:rFonts w:ascii="Arial" w:hAnsi="Arial" w:cs="Arial"/>
          <w:color w:val="0D0D0D" w:themeColor="text1" w:themeTint="F2"/>
          <w:sz w:val="28"/>
          <w:szCs w:val="28"/>
          <w:lang w:val="es-ES"/>
        </w:rPr>
        <w:t>.) del edificio (o conjunto de edificios) denominad</w:t>
      </w:r>
      <w:r w:rsidRPr="009C5BDF">
        <w:rPr>
          <w:rFonts w:ascii="Arial" w:hAnsi="Arial" w:cs="Arial"/>
          <w:color w:val="0D0D0D" w:themeColor="text1" w:themeTint="F2"/>
          <w:sz w:val="28"/>
          <w:szCs w:val="28"/>
          <w:lang w:val="es-ES"/>
        </w:rPr>
        <w:t xml:space="preserve">o .......... el cual se halla situado en la ciudad de .........., con la nomenclatura urbana actual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cédula catastral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edificación que se encuentra sometida al régimen de propiedad horizontal de la Ley 675 de 2001. La construcci</w:t>
      </w:r>
      <w:r w:rsidRPr="009C5BDF">
        <w:rPr>
          <w:rFonts w:ascii="Arial" w:hAnsi="Arial" w:cs="Arial"/>
          <w:color w:val="0D0D0D" w:themeColor="text1" w:themeTint="F2"/>
          <w:sz w:val="28"/>
          <w:szCs w:val="28"/>
          <w:lang w:val="es-ES"/>
        </w:rPr>
        <w:t>ón de este edificio se realizó sobre el lote de terreno distinguido con el número .......... de la urbanización .........., cuya extensión superficiaria es de .......... (..........mts</w:t>
      </w:r>
      <w:r w:rsidRPr="009C5BDF">
        <w:rPr>
          <w:rStyle w:val="superscript1"/>
          <w:rFonts w:ascii="Arial" w:hAnsi="Arial" w:cs="Arial"/>
          <w:color w:val="0D0D0D" w:themeColor="text1" w:themeTint="F2"/>
          <w:sz w:val="28"/>
          <w:szCs w:val="28"/>
          <w:lang w:val="es-ES"/>
        </w:rPr>
        <w:t>2</w:t>
      </w:r>
      <w:r w:rsidRPr="009C5BDF">
        <w:rPr>
          <w:rFonts w:ascii="Arial" w:hAnsi="Arial" w:cs="Arial"/>
          <w:color w:val="0D0D0D" w:themeColor="text1" w:themeTint="F2"/>
          <w:sz w:val="28"/>
          <w:szCs w:val="28"/>
          <w:lang w:val="es-ES"/>
        </w:rPr>
        <w:t xml:space="preserve">) y comprendido por los siguientes linderos generales: (Aquí describir </w:t>
      </w:r>
      <w:r w:rsidRPr="009C5BDF">
        <w:rPr>
          <w:rFonts w:ascii="Arial" w:hAnsi="Arial" w:cs="Arial"/>
          <w:color w:val="0D0D0D" w:themeColor="text1" w:themeTint="F2"/>
          <w:sz w:val="28"/>
          <w:szCs w:val="28"/>
          <w:lang w:val="es-ES"/>
        </w:rPr>
        <w:t>detalladamente los linderos generales del edificio o del conjunto de edificios en donde se encuentra el bien inmueble objeto de la compraventa). El inmueble objeto de esta compraventa está ubicado en .......... Tiene su acceso principal por .......... Tien</w:t>
      </w:r>
      <w:r w:rsidRPr="009C5BDF">
        <w:rPr>
          <w:rFonts w:ascii="Arial" w:hAnsi="Arial" w:cs="Arial"/>
          <w:color w:val="0D0D0D" w:themeColor="text1" w:themeTint="F2"/>
          <w:sz w:val="28"/>
          <w:szCs w:val="28"/>
          <w:lang w:val="es-ES"/>
        </w:rPr>
        <w:t>e un área privada de .......... metros. Sus linderos especiales son: .......... (describir linderos especiales tal como figura en el reglamento de propiedad horizontal respectivo). Sus dependencias son: ..........</w:t>
      </w:r>
      <w:r w:rsidRPr="009C5BDF">
        <w:rPr>
          <w:rStyle w:val="Textoennegrita"/>
          <w:rFonts w:ascii="Arial" w:hAnsi="Arial" w:cs="Arial"/>
          <w:color w:val="0D0D0D" w:themeColor="text1" w:themeTint="F2"/>
          <w:sz w:val="28"/>
          <w:szCs w:val="28"/>
          <w:lang w:val="es-ES"/>
        </w:rPr>
        <w:t xml:space="preserve"> Parágrafo </w:t>
      </w:r>
      <w:proofErr w:type="gramStart"/>
      <w:r w:rsidRPr="009C5BDF">
        <w:rPr>
          <w:rStyle w:val="Textoennegrita"/>
          <w:rFonts w:ascii="Arial" w:hAnsi="Arial" w:cs="Arial"/>
          <w:color w:val="0D0D0D" w:themeColor="text1" w:themeTint="F2"/>
          <w:sz w:val="28"/>
          <w:szCs w:val="28"/>
          <w:lang w:val="es-ES"/>
        </w:rPr>
        <w:t>primero.—</w:t>
      </w:r>
      <w:proofErr w:type="gramEnd"/>
      <w:r w:rsidRPr="009C5BDF">
        <w:rPr>
          <w:rFonts w:ascii="Arial" w:hAnsi="Arial" w:cs="Arial"/>
          <w:color w:val="0D0D0D" w:themeColor="text1" w:themeTint="F2"/>
          <w:sz w:val="28"/>
          <w:szCs w:val="28"/>
          <w:lang w:val="es-ES"/>
        </w:rPr>
        <w:t>El edificio (o conjunto</w:t>
      </w:r>
      <w:r w:rsidRPr="009C5BDF">
        <w:rPr>
          <w:rFonts w:ascii="Arial" w:hAnsi="Arial" w:cs="Arial"/>
          <w:color w:val="0D0D0D" w:themeColor="text1" w:themeTint="F2"/>
          <w:sz w:val="28"/>
          <w:szCs w:val="28"/>
          <w:lang w:val="es-ES"/>
        </w:rPr>
        <w:t xml:space="preserve"> de edificios) denominado .........., fue constituido en propiedad horizontal de conformidad con la Ley 675 de 2001</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(4</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xml:space="preserve">, con licencia de construcción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expedida por .........., protocolizada junto con el reglamento de propiedad horizontal media</w:t>
      </w:r>
      <w:r w:rsidRPr="009C5BDF">
        <w:rPr>
          <w:rFonts w:ascii="Arial" w:hAnsi="Arial" w:cs="Arial"/>
          <w:color w:val="0D0D0D" w:themeColor="text1" w:themeTint="F2"/>
          <w:sz w:val="28"/>
          <w:szCs w:val="28"/>
          <w:lang w:val="es-ES"/>
        </w:rPr>
        <w:t xml:space="preserve">nte escritura pública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del .......... de la Notaría .........., registrada en la oficina </w:t>
      </w:r>
      <w:r w:rsidRPr="009C5BDF">
        <w:rPr>
          <w:rFonts w:ascii="Arial" w:hAnsi="Arial" w:cs="Arial"/>
          <w:color w:val="0D0D0D" w:themeColor="text1" w:themeTint="F2"/>
          <w:sz w:val="28"/>
          <w:szCs w:val="28"/>
          <w:lang w:val="es-ES"/>
        </w:rPr>
        <w:lastRenderedPageBreak/>
        <w:t xml:space="preserve">de instrumentos públicos de .........., bajo el folio de matrícula inmobiliaria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El inmueble objeto de la presente venta se encuentra identif</w:t>
      </w:r>
      <w:r w:rsidRPr="009C5BDF">
        <w:rPr>
          <w:rFonts w:ascii="Arial" w:hAnsi="Arial" w:cs="Arial"/>
          <w:color w:val="0D0D0D" w:themeColor="text1" w:themeTint="F2"/>
          <w:sz w:val="28"/>
          <w:szCs w:val="28"/>
          <w:lang w:val="es-ES"/>
        </w:rPr>
        <w:t xml:space="preserve">icado con el folio de matrícula inmobiliaria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de la oficina de instrumentos públicos de .......... </w:t>
      </w:r>
      <w:r w:rsidRPr="009C5BDF">
        <w:rPr>
          <w:rStyle w:val="Textoennegrita"/>
          <w:rFonts w:ascii="Arial" w:hAnsi="Arial" w:cs="Arial"/>
          <w:color w:val="0D0D0D" w:themeColor="text1" w:themeTint="F2"/>
          <w:sz w:val="28"/>
          <w:szCs w:val="28"/>
          <w:lang w:val="es-ES"/>
        </w:rPr>
        <w:t xml:space="preserve">Parágrafo </w:t>
      </w:r>
      <w:proofErr w:type="gramStart"/>
      <w:r w:rsidRPr="009C5BDF">
        <w:rPr>
          <w:rStyle w:val="Textoennegrita"/>
          <w:rFonts w:ascii="Arial" w:hAnsi="Arial" w:cs="Arial"/>
          <w:color w:val="0D0D0D" w:themeColor="text1" w:themeTint="F2"/>
          <w:sz w:val="28"/>
          <w:szCs w:val="28"/>
          <w:lang w:val="es-ES"/>
        </w:rPr>
        <w:t>segundo.—</w:t>
      </w:r>
      <w:proofErr w:type="gramEnd"/>
      <w:r w:rsidRPr="009C5BDF">
        <w:rPr>
          <w:rFonts w:ascii="Arial" w:hAnsi="Arial" w:cs="Arial"/>
          <w:color w:val="0D0D0D" w:themeColor="text1" w:themeTint="F2"/>
          <w:sz w:val="28"/>
          <w:szCs w:val="28"/>
          <w:lang w:val="es-ES"/>
        </w:rPr>
        <w:t>No obstante la estipulación sobre su cabida, nomenclatura y linderos, la venta del apartamento .......... anteriormente descr</w:t>
      </w:r>
      <w:r w:rsidRPr="009C5BDF">
        <w:rPr>
          <w:rFonts w:ascii="Arial" w:hAnsi="Arial" w:cs="Arial"/>
          <w:color w:val="0D0D0D" w:themeColor="text1" w:themeTint="F2"/>
          <w:sz w:val="28"/>
          <w:szCs w:val="28"/>
          <w:lang w:val="es-ES"/>
        </w:rPr>
        <w:t xml:space="preserve">ito se efectúa como cuerpo cierto. </w:t>
      </w:r>
      <w:r w:rsidRPr="009C5BDF">
        <w:rPr>
          <w:rStyle w:val="Textoennegrita"/>
          <w:rFonts w:ascii="Arial" w:hAnsi="Arial" w:cs="Arial"/>
          <w:color w:val="0D0D0D" w:themeColor="text1" w:themeTint="F2"/>
          <w:sz w:val="28"/>
          <w:szCs w:val="28"/>
          <w:lang w:val="es-ES"/>
        </w:rPr>
        <w:t xml:space="preserve">SEGUNDA. Anexidades, usos y </w:t>
      </w:r>
      <w:proofErr w:type="gramStart"/>
      <w:r w:rsidRPr="009C5BDF">
        <w:rPr>
          <w:rStyle w:val="Textoennegrita"/>
          <w:rFonts w:ascii="Arial" w:hAnsi="Arial" w:cs="Arial"/>
          <w:color w:val="0D0D0D" w:themeColor="text1" w:themeTint="F2"/>
          <w:sz w:val="28"/>
          <w:szCs w:val="28"/>
          <w:lang w:val="es-ES"/>
        </w:rPr>
        <w:t>costumbres.—</w:t>
      </w:r>
      <w:proofErr w:type="gramEnd"/>
      <w:r w:rsidRPr="009C5BDF">
        <w:rPr>
          <w:rFonts w:ascii="Arial" w:hAnsi="Arial" w:cs="Arial"/>
          <w:color w:val="0D0D0D" w:themeColor="text1" w:themeTint="F2"/>
          <w:sz w:val="28"/>
          <w:szCs w:val="28"/>
          <w:lang w:val="es-ES"/>
        </w:rPr>
        <w:t>El apartamento objeto del presente instrumento cuyos linderos fueron transcritos en la anterior cláusula se transfiere con todas sus anexidades, usos y costumbres en especial, se en</w:t>
      </w:r>
      <w:r w:rsidRPr="009C5BDF">
        <w:rPr>
          <w:rFonts w:ascii="Arial" w:hAnsi="Arial" w:cs="Arial"/>
          <w:color w:val="0D0D0D" w:themeColor="text1" w:themeTint="F2"/>
          <w:sz w:val="28"/>
          <w:szCs w:val="28"/>
          <w:lang w:val="es-ES"/>
        </w:rPr>
        <w:t>ajena con la línea telefónica número .......... junto con la propiedad de su correspondiente aparato.</w:t>
      </w:r>
      <w:r w:rsidRPr="009C5BDF">
        <w:rPr>
          <w:rStyle w:val="Textoennegrita"/>
          <w:rFonts w:ascii="Arial" w:hAnsi="Arial" w:cs="Arial"/>
          <w:color w:val="0D0D0D" w:themeColor="text1" w:themeTint="F2"/>
          <w:sz w:val="28"/>
          <w:szCs w:val="28"/>
          <w:lang w:val="es-ES"/>
        </w:rPr>
        <w:t xml:space="preserve"> </w:t>
      </w:r>
      <w:proofErr w:type="gramStart"/>
      <w:r w:rsidRPr="009C5BDF">
        <w:rPr>
          <w:rStyle w:val="Textoennegrita"/>
          <w:rFonts w:ascii="Arial" w:hAnsi="Arial" w:cs="Arial"/>
          <w:color w:val="0D0D0D" w:themeColor="text1" w:themeTint="F2"/>
          <w:sz w:val="28"/>
          <w:szCs w:val="28"/>
          <w:lang w:val="es-ES"/>
        </w:rPr>
        <w:t>Parágrafo.—</w:t>
      </w:r>
      <w:proofErr w:type="gramEnd"/>
      <w:r w:rsidRPr="009C5BDF">
        <w:rPr>
          <w:rFonts w:ascii="Arial" w:hAnsi="Arial" w:cs="Arial"/>
          <w:color w:val="0D0D0D" w:themeColor="text1" w:themeTint="F2"/>
          <w:sz w:val="28"/>
          <w:szCs w:val="28"/>
          <w:lang w:val="es-ES"/>
        </w:rPr>
        <w:t>En la enajenación del inmueble objeto del presente contrato, queda comprendido el derecho de copropiedad que conforme a la ley corresponde al p</w:t>
      </w:r>
      <w:r w:rsidRPr="009C5BDF">
        <w:rPr>
          <w:rFonts w:ascii="Arial" w:hAnsi="Arial" w:cs="Arial"/>
          <w:color w:val="0D0D0D" w:themeColor="text1" w:themeTint="F2"/>
          <w:sz w:val="28"/>
          <w:szCs w:val="28"/>
          <w:lang w:val="es-ES"/>
        </w:rPr>
        <w:t>ropietario del inmueble en los bienes comunes del edificio, así como también al uso y servidumbre gratuita sobre los bienes que determine el reglamento de propiedad horizontal al que hace referencia el parágrafo primero de la cláusula primera de este instr</w:t>
      </w:r>
      <w:r w:rsidRPr="009C5BDF">
        <w:rPr>
          <w:rFonts w:ascii="Arial" w:hAnsi="Arial" w:cs="Arial"/>
          <w:color w:val="0D0D0D" w:themeColor="text1" w:themeTint="F2"/>
          <w:sz w:val="28"/>
          <w:szCs w:val="28"/>
          <w:lang w:val="es-ES"/>
        </w:rPr>
        <w:t>umento</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(5</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xml:space="preserve">. </w:t>
      </w:r>
      <w:r w:rsidRPr="009C5BDF">
        <w:rPr>
          <w:rStyle w:val="Textoennegrita"/>
          <w:rFonts w:ascii="Arial" w:hAnsi="Arial" w:cs="Arial"/>
          <w:color w:val="0D0D0D" w:themeColor="text1" w:themeTint="F2"/>
          <w:sz w:val="28"/>
          <w:szCs w:val="28"/>
          <w:lang w:val="es-ES"/>
        </w:rPr>
        <w:t xml:space="preserve">TERCERA. Título y tradición del inmueble: </w:t>
      </w:r>
      <w:r w:rsidRPr="009C5BDF">
        <w:rPr>
          <w:rFonts w:ascii="Arial" w:hAnsi="Arial" w:cs="Arial"/>
          <w:color w:val="0D0D0D" w:themeColor="text1" w:themeTint="F2"/>
          <w:sz w:val="28"/>
          <w:szCs w:val="28"/>
          <w:lang w:val="es-ES"/>
        </w:rPr>
        <w:t xml:space="preserve">EL VENDEDOR adquirió el inmueble descrito en la cláusula primera del presente documento por compra hecha a .........., según consta en la escritura pública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de .......... de la Notaría ....</w:t>
      </w:r>
      <w:r w:rsidRPr="009C5BDF">
        <w:rPr>
          <w:rFonts w:ascii="Arial" w:hAnsi="Arial" w:cs="Arial"/>
          <w:color w:val="0D0D0D" w:themeColor="text1" w:themeTint="F2"/>
          <w:sz w:val="28"/>
          <w:szCs w:val="28"/>
          <w:lang w:val="es-ES"/>
        </w:rPr>
        <w:t xml:space="preserve">......, registrada ante la oficina de registro de instrumentos públicos de .......... con matrícula inmobiliaria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y cédula catastral </w:t>
      </w:r>
      <w:proofErr w:type="spellStart"/>
      <w:r w:rsidRPr="009C5BDF">
        <w:rPr>
          <w:rFonts w:ascii="Arial" w:hAnsi="Arial" w:cs="Arial"/>
          <w:color w:val="0D0D0D" w:themeColor="text1" w:themeTint="F2"/>
          <w:sz w:val="28"/>
          <w:szCs w:val="28"/>
          <w:lang w:val="es-ES"/>
        </w:rPr>
        <w:t>Nº</w:t>
      </w:r>
      <w:proofErr w:type="spellEnd"/>
      <w:r w:rsidRPr="009C5BDF">
        <w:rPr>
          <w:rFonts w:ascii="Arial" w:hAnsi="Arial" w:cs="Arial"/>
          <w:color w:val="0D0D0D" w:themeColor="text1" w:themeTint="F2"/>
          <w:sz w:val="28"/>
          <w:szCs w:val="28"/>
          <w:lang w:val="es-ES"/>
        </w:rPr>
        <w:t xml:space="preserve"> .......... </w:t>
      </w:r>
      <w:r w:rsidRPr="009C5BDF">
        <w:rPr>
          <w:rStyle w:val="Textoennegrita"/>
          <w:rFonts w:ascii="Arial" w:hAnsi="Arial" w:cs="Arial"/>
          <w:color w:val="0D0D0D" w:themeColor="text1" w:themeTint="F2"/>
          <w:sz w:val="28"/>
          <w:szCs w:val="28"/>
          <w:lang w:val="es-ES"/>
        </w:rPr>
        <w:t xml:space="preserve">CUARTA. </w:t>
      </w:r>
      <w:proofErr w:type="gramStart"/>
      <w:r w:rsidRPr="009C5BDF">
        <w:rPr>
          <w:rStyle w:val="Textoennegrita"/>
          <w:rFonts w:ascii="Arial" w:hAnsi="Arial" w:cs="Arial"/>
          <w:color w:val="0D0D0D" w:themeColor="text1" w:themeTint="F2"/>
          <w:sz w:val="28"/>
          <w:szCs w:val="28"/>
          <w:lang w:val="es-ES"/>
        </w:rPr>
        <w:t>Precio.—</w:t>
      </w:r>
      <w:proofErr w:type="gramEnd"/>
      <w:r w:rsidRPr="009C5BDF">
        <w:rPr>
          <w:rFonts w:ascii="Arial" w:hAnsi="Arial" w:cs="Arial"/>
          <w:color w:val="0D0D0D" w:themeColor="text1" w:themeTint="F2"/>
          <w:sz w:val="28"/>
          <w:szCs w:val="28"/>
          <w:lang w:val="es-ES"/>
        </w:rPr>
        <w:t>El precio de la presente compraventa es la suma de .......... ($</w:t>
      </w:r>
      <w:proofErr w:type="gramStart"/>
      <w:r w:rsidRPr="009C5BDF">
        <w:rPr>
          <w:rFonts w:ascii="Arial" w:hAnsi="Arial" w:cs="Arial"/>
          <w:color w:val="0D0D0D" w:themeColor="text1" w:themeTint="F2"/>
          <w:sz w:val="28"/>
          <w:szCs w:val="28"/>
          <w:lang w:val="es-ES"/>
        </w:rPr>
        <w:t xml:space="preserve"> ....</w:t>
      </w:r>
      <w:proofErr w:type="gramEnd"/>
      <w:r w:rsidRPr="009C5BDF">
        <w:rPr>
          <w:rFonts w:ascii="Arial" w:hAnsi="Arial" w:cs="Arial"/>
          <w:color w:val="0D0D0D" w:themeColor="text1" w:themeTint="F2"/>
          <w:sz w:val="28"/>
          <w:szCs w:val="28"/>
          <w:lang w:val="es-ES"/>
        </w:rPr>
        <w:t xml:space="preserve">.), moneda </w:t>
      </w:r>
      <w:r w:rsidRPr="009C5BDF">
        <w:rPr>
          <w:rFonts w:ascii="Arial" w:hAnsi="Arial" w:cs="Arial"/>
          <w:color w:val="0D0D0D" w:themeColor="text1" w:themeTint="F2"/>
          <w:sz w:val="28"/>
          <w:szCs w:val="28"/>
          <w:lang w:val="es-ES"/>
        </w:rPr>
        <w:t xml:space="preserve">corriente, suma que será cancelada de la siguiente manera: .......... </w:t>
      </w:r>
      <w:r w:rsidRPr="009C5BDF">
        <w:rPr>
          <w:rStyle w:val="Textoennegrita"/>
          <w:rFonts w:ascii="Arial" w:hAnsi="Arial" w:cs="Arial"/>
          <w:color w:val="0D0D0D" w:themeColor="text1" w:themeTint="F2"/>
          <w:sz w:val="28"/>
          <w:szCs w:val="28"/>
          <w:lang w:val="es-ES"/>
        </w:rPr>
        <w:t>QUINTA. Limitaciones y gravámenes.—</w:t>
      </w:r>
      <w:r w:rsidRPr="009C5BDF">
        <w:rPr>
          <w:rFonts w:ascii="Arial" w:hAnsi="Arial" w:cs="Arial"/>
          <w:color w:val="0D0D0D" w:themeColor="text1" w:themeTint="F2"/>
          <w:sz w:val="28"/>
          <w:szCs w:val="28"/>
          <w:lang w:val="es-ES"/>
        </w:rPr>
        <w:t xml:space="preserve">El inmueble objeto de la presente compraventa es de plena y exclusiva propiedad del VENDEDOR, quien no lo ha enajenado por acto anterior al presente y </w:t>
      </w:r>
      <w:r w:rsidRPr="009C5BDF">
        <w:rPr>
          <w:rFonts w:ascii="Arial" w:hAnsi="Arial" w:cs="Arial"/>
          <w:color w:val="0D0D0D" w:themeColor="text1" w:themeTint="F2"/>
          <w:sz w:val="28"/>
          <w:szCs w:val="28"/>
          <w:lang w:val="es-ES"/>
        </w:rPr>
        <w:t>que en la actualidad lo posee de manera regular, pacífica y públicamente; que dicho inmueble no es objeto de demandas civiles, ni está embargado, se halla libre de censos, anticresis y arrendamientos consignados por escritura pública, servidumbres, desmemb</w:t>
      </w:r>
      <w:r w:rsidRPr="009C5BDF">
        <w:rPr>
          <w:rFonts w:ascii="Arial" w:hAnsi="Arial" w:cs="Arial"/>
          <w:color w:val="0D0D0D" w:themeColor="text1" w:themeTint="F2"/>
          <w:sz w:val="28"/>
          <w:szCs w:val="28"/>
          <w:lang w:val="es-ES"/>
        </w:rPr>
        <w:t>raciones, condiciones resolutorias, patrimonio de familia inembargable y de limitaciones de dominio tales como hipotecas, soportando sólo la limitación proveniente del régimen de propiedad horizontal a que se refiere el parágrafo primero de la cláusula pri</w:t>
      </w:r>
      <w:r w:rsidRPr="009C5BDF">
        <w:rPr>
          <w:rFonts w:ascii="Arial" w:hAnsi="Arial" w:cs="Arial"/>
          <w:color w:val="0D0D0D" w:themeColor="text1" w:themeTint="F2"/>
          <w:sz w:val="28"/>
          <w:szCs w:val="28"/>
          <w:lang w:val="es-ES"/>
        </w:rPr>
        <w:t xml:space="preserve">mera del presente instrumento. En todo caso el VENDEDOR se obliga a salir al saneamiento en los casos de ley. </w:t>
      </w:r>
      <w:r w:rsidRPr="009C5BDF">
        <w:rPr>
          <w:rStyle w:val="Textoennegrita"/>
          <w:rFonts w:ascii="Arial" w:hAnsi="Arial" w:cs="Arial"/>
          <w:color w:val="0D0D0D" w:themeColor="text1" w:themeTint="F2"/>
          <w:sz w:val="28"/>
          <w:szCs w:val="28"/>
          <w:lang w:val="es-ES"/>
        </w:rPr>
        <w:t>SEXTA. Entrega material.—</w:t>
      </w:r>
      <w:r w:rsidRPr="009C5BDF">
        <w:rPr>
          <w:rFonts w:ascii="Arial" w:hAnsi="Arial" w:cs="Arial"/>
          <w:color w:val="0D0D0D" w:themeColor="text1" w:themeTint="F2"/>
          <w:sz w:val="28"/>
          <w:szCs w:val="28"/>
          <w:lang w:val="es-ES"/>
        </w:rPr>
        <w:t>EL VENDEDOR hace, desde hoy (o la fecha convenida al respecto), entrega real y material del inmueble objeto de esta venta</w:t>
      </w:r>
      <w:r w:rsidRPr="009C5BDF">
        <w:rPr>
          <w:rFonts w:ascii="Arial" w:hAnsi="Arial" w:cs="Arial"/>
          <w:color w:val="0D0D0D" w:themeColor="text1" w:themeTint="F2"/>
          <w:sz w:val="28"/>
          <w:szCs w:val="28"/>
          <w:lang w:val="es-ES"/>
        </w:rPr>
        <w:t xml:space="preserve">, con todas sus </w:t>
      </w:r>
      <w:r w:rsidRPr="009C5BDF">
        <w:rPr>
          <w:rFonts w:ascii="Arial" w:hAnsi="Arial" w:cs="Arial"/>
          <w:color w:val="0D0D0D" w:themeColor="text1" w:themeTint="F2"/>
          <w:sz w:val="28"/>
          <w:szCs w:val="28"/>
          <w:lang w:val="es-ES"/>
        </w:rPr>
        <w:lastRenderedPageBreak/>
        <w:t>anexidades, usos, dependencias y costumbres a entera satisfacción del COMPRADOR y a paz y salvo por todo concepto de impuestos, tasas y contribuciones, incluso en lo relacionado con el impuesto predial y complementarios, el cual ha sido pag</w:t>
      </w:r>
      <w:r w:rsidRPr="009C5BDF">
        <w:rPr>
          <w:rFonts w:ascii="Arial" w:hAnsi="Arial" w:cs="Arial"/>
          <w:color w:val="0D0D0D" w:themeColor="text1" w:themeTint="F2"/>
          <w:sz w:val="28"/>
          <w:szCs w:val="28"/>
          <w:lang w:val="es-ES"/>
        </w:rPr>
        <w:t>ado por el VENDEDOR para efectos de la obtención del correspondiente paz y salvo notarial necesario para otorgar el presente instrumento. Es entendido que será a cargo del COMPRADOR cualquier suma que se cause o liquide a partir de la fecha con relación al</w:t>
      </w:r>
      <w:r w:rsidRPr="009C5BDF">
        <w:rPr>
          <w:rFonts w:ascii="Arial" w:hAnsi="Arial" w:cs="Arial"/>
          <w:color w:val="0D0D0D" w:themeColor="text1" w:themeTint="F2"/>
          <w:sz w:val="28"/>
          <w:szCs w:val="28"/>
          <w:lang w:val="es-ES"/>
        </w:rPr>
        <w:t xml:space="preserve"> citado inmueble proveniente de cualquier entidad nacional, departamental y municipal por conceptos de impuestos, tasas, contribuciones, valorizaciones o gravámenes de cualquier clase. </w:t>
      </w:r>
      <w:proofErr w:type="gramStart"/>
      <w:r w:rsidRPr="009C5BDF">
        <w:rPr>
          <w:rStyle w:val="Textoennegrita"/>
          <w:rFonts w:ascii="Arial" w:hAnsi="Arial" w:cs="Arial"/>
          <w:color w:val="0D0D0D" w:themeColor="text1" w:themeTint="F2"/>
          <w:sz w:val="28"/>
          <w:szCs w:val="28"/>
          <w:lang w:val="es-ES"/>
        </w:rPr>
        <w:t>Parágrafo.—</w:t>
      </w:r>
      <w:proofErr w:type="gramEnd"/>
      <w:r w:rsidRPr="009C5BDF">
        <w:rPr>
          <w:rFonts w:ascii="Arial" w:hAnsi="Arial" w:cs="Arial"/>
          <w:color w:val="0D0D0D" w:themeColor="text1" w:themeTint="F2"/>
          <w:sz w:val="28"/>
          <w:szCs w:val="28"/>
          <w:lang w:val="es-ES"/>
        </w:rPr>
        <w:t>El VENDEDOR igualmente, entrega a paz y salvo el inmueble ob</w:t>
      </w:r>
      <w:r w:rsidRPr="009C5BDF">
        <w:rPr>
          <w:rFonts w:ascii="Arial" w:hAnsi="Arial" w:cs="Arial"/>
          <w:color w:val="0D0D0D" w:themeColor="text1" w:themeTint="F2"/>
          <w:sz w:val="28"/>
          <w:szCs w:val="28"/>
          <w:lang w:val="es-ES"/>
        </w:rPr>
        <w:t>jeto de la venta por conceptos de servicios públicos de agua y alcantarillado, energía eléctrica, gas y teléfono así como también en lo relacionado con el pago de la cuota de administración de la copropiedad correspondiente al mes de ..........</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(6</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xml:space="preserve">. </w:t>
      </w:r>
      <w:r w:rsidRPr="009C5BDF">
        <w:rPr>
          <w:rStyle w:val="Textoennegrita"/>
          <w:rFonts w:ascii="Arial" w:hAnsi="Arial" w:cs="Arial"/>
          <w:color w:val="0D0D0D" w:themeColor="text1" w:themeTint="F2"/>
          <w:sz w:val="28"/>
          <w:szCs w:val="28"/>
          <w:lang w:val="es-ES"/>
        </w:rPr>
        <w:t>SÉPTIM</w:t>
      </w:r>
      <w:r w:rsidRPr="009C5BDF">
        <w:rPr>
          <w:rStyle w:val="Textoennegrita"/>
          <w:rFonts w:ascii="Arial" w:hAnsi="Arial" w:cs="Arial"/>
          <w:color w:val="0D0D0D" w:themeColor="text1" w:themeTint="F2"/>
          <w:sz w:val="28"/>
          <w:szCs w:val="28"/>
          <w:lang w:val="es-ES"/>
        </w:rPr>
        <w:t xml:space="preserve">A. Gastos notariales, de registro y retención en la </w:t>
      </w:r>
      <w:proofErr w:type="gramStart"/>
      <w:r w:rsidRPr="009C5BDF">
        <w:rPr>
          <w:rStyle w:val="Textoennegrita"/>
          <w:rFonts w:ascii="Arial" w:hAnsi="Arial" w:cs="Arial"/>
          <w:color w:val="0D0D0D" w:themeColor="text1" w:themeTint="F2"/>
          <w:sz w:val="28"/>
          <w:szCs w:val="28"/>
          <w:lang w:val="es-ES"/>
        </w:rPr>
        <w:t>fuente.—</w:t>
      </w:r>
      <w:proofErr w:type="gramEnd"/>
      <w:r w:rsidRPr="009C5BDF">
        <w:rPr>
          <w:rFonts w:ascii="Arial" w:hAnsi="Arial" w:cs="Arial"/>
          <w:color w:val="0D0D0D" w:themeColor="text1" w:themeTint="F2"/>
          <w:sz w:val="28"/>
          <w:szCs w:val="28"/>
          <w:lang w:val="es-ES"/>
        </w:rPr>
        <w:t>Los gastos notariales que ocasione el otorgamiento del presente instrumento serán sufragados por ambas partes contratantes en igual proporción. Los gastos de beneficencia, tesorería y registro que</w:t>
      </w:r>
      <w:r w:rsidRPr="009C5BDF">
        <w:rPr>
          <w:rFonts w:ascii="Arial" w:hAnsi="Arial" w:cs="Arial"/>
          <w:color w:val="0D0D0D" w:themeColor="text1" w:themeTint="F2"/>
          <w:sz w:val="28"/>
          <w:szCs w:val="28"/>
          <w:lang w:val="es-ES"/>
        </w:rPr>
        <w:t xml:space="preserve"> demande el otorgamiento de esta escritura serán a cargo del COMPRADOR. Lo correspondiente a la retención en la fuente causada por la enajenación del presente inmueble será a cargo del VENDEDOR</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(7</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Presente, el señor .........., de las condiciones civiles</w:t>
      </w:r>
      <w:r w:rsidRPr="009C5BDF">
        <w:rPr>
          <w:rFonts w:ascii="Arial" w:hAnsi="Arial" w:cs="Arial"/>
          <w:color w:val="0D0D0D" w:themeColor="text1" w:themeTint="F2"/>
          <w:sz w:val="28"/>
          <w:szCs w:val="28"/>
          <w:lang w:val="es-ES"/>
        </w:rPr>
        <w:t xml:space="preserve"> y de identificación ya anotadas, mayor de edad, sin generales de ley para con el VENDEDOR y quien obra en su propio nombre, manifiesta: a) Que acepta la venta del inmueble descrito anteriormente que por medio de esta escritura le efectúa el señor ........</w:t>
      </w:r>
      <w:r w:rsidRPr="009C5BDF">
        <w:rPr>
          <w:rFonts w:ascii="Arial" w:hAnsi="Arial" w:cs="Arial"/>
          <w:color w:val="0D0D0D" w:themeColor="text1" w:themeTint="F2"/>
          <w:sz w:val="28"/>
          <w:szCs w:val="28"/>
          <w:lang w:val="es-ES"/>
        </w:rPr>
        <w:t>.., con todas y cada una de las cláusulas y estipulaciones que contiene; b) Que tiene por recibido el inmueble objeto del presente contrato a su entera satisfacción con sus anexidades, usos y dependencias, y c) Que conoce, acepta en forma expresa y se obli</w:t>
      </w:r>
      <w:r w:rsidRPr="009C5BDF">
        <w:rPr>
          <w:rFonts w:ascii="Arial" w:hAnsi="Arial" w:cs="Arial"/>
          <w:color w:val="0D0D0D" w:themeColor="text1" w:themeTint="F2"/>
          <w:sz w:val="28"/>
          <w:szCs w:val="28"/>
          <w:lang w:val="es-ES"/>
        </w:rPr>
        <w:t>ga a cumplir y a hacer cumplir a sus causahabientes el reglamento de propiedad horizontal del edificio (o conjunto de edificios) denominado .........., el cual se considera incorporado en todas sus partes a esta escritura, reglamento a que se refiere el pa</w:t>
      </w:r>
      <w:r w:rsidRPr="009C5BDF">
        <w:rPr>
          <w:rFonts w:ascii="Arial" w:hAnsi="Arial" w:cs="Arial"/>
          <w:color w:val="0D0D0D" w:themeColor="text1" w:themeTint="F2"/>
          <w:sz w:val="28"/>
          <w:szCs w:val="28"/>
          <w:lang w:val="es-ES"/>
        </w:rPr>
        <w:t>rágrafo primero de la cláusula primera del presente instrumento, cuyas estipulaciones serán transcritas, en su parte pertinente, en las copias de esta escritura. Leída esta escritura por los comparecientes y habiéndoseles hecho las advertencias sobre las f</w:t>
      </w:r>
      <w:r w:rsidRPr="009C5BDF">
        <w:rPr>
          <w:rFonts w:ascii="Arial" w:hAnsi="Arial" w:cs="Arial"/>
          <w:color w:val="0D0D0D" w:themeColor="text1" w:themeTint="F2"/>
          <w:sz w:val="28"/>
          <w:szCs w:val="28"/>
          <w:lang w:val="es-ES"/>
        </w:rPr>
        <w:t>ormalidades legales y trámites de rigor, le imparten su aprobación y en constancia la firman ante mí, el Notario que la autorizó.</w:t>
      </w:r>
    </w:p>
    <w:p w14:paraId="2847872B" w14:textId="77777777" w:rsidR="00000000" w:rsidRPr="009C5BDF" w:rsidRDefault="001C5B6E">
      <w:pPr>
        <w:pStyle w:val="nueve"/>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lastRenderedPageBreak/>
        <w:t>El vendedor: _____________</w:t>
      </w:r>
    </w:p>
    <w:p w14:paraId="5B194779" w14:textId="77777777" w:rsidR="00000000" w:rsidRPr="009C5BDF" w:rsidRDefault="001C5B6E">
      <w:pPr>
        <w:pStyle w:val="nueve"/>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El comprador: ____________</w:t>
      </w:r>
    </w:p>
    <w:p w14:paraId="73D7D867" w14:textId="77777777" w:rsidR="00000000" w:rsidRPr="009C5BDF" w:rsidRDefault="001C5B6E">
      <w:pPr>
        <w:pStyle w:val="nueve"/>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El notario: _______________</w:t>
      </w:r>
    </w:p>
    <w:p w14:paraId="3A95D364" w14:textId="77777777" w:rsidR="00000000" w:rsidRPr="009C5BDF" w:rsidRDefault="001C5B6E">
      <w:pPr>
        <w:pStyle w:val="Ttulo2"/>
        <w:spacing w:before="180" w:beforeAutospacing="0" w:after="180" w:afterAutospacing="0"/>
        <w:jc w:val="both"/>
        <w:divId w:val="53093504"/>
        <w:rPr>
          <w:rFonts w:ascii="Arial" w:eastAsia="Times New Roman" w:hAnsi="Arial" w:cs="Arial"/>
          <w:color w:val="0D0D0D" w:themeColor="text1" w:themeTint="F2"/>
          <w:sz w:val="28"/>
          <w:szCs w:val="28"/>
          <w:lang w:val="es-ES"/>
        </w:rPr>
      </w:pPr>
      <w:r w:rsidRPr="009C5BDF">
        <w:rPr>
          <w:rFonts w:ascii="Arial" w:eastAsia="Times New Roman" w:hAnsi="Arial" w:cs="Arial"/>
          <w:color w:val="0D0D0D" w:themeColor="text1" w:themeTint="F2"/>
          <w:sz w:val="28"/>
          <w:szCs w:val="28"/>
          <w:lang w:val="es-ES"/>
        </w:rPr>
        <w:t>NOTAS GENERALES</w:t>
      </w:r>
    </w:p>
    <w:p w14:paraId="20DB736E" w14:textId="19C9AA16" w:rsidR="00000000" w:rsidRPr="009C5BDF" w:rsidRDefault="001C5B6E">
      <w:pPr>
        <w:pStyle w:val="nueve"/>
        <w:divId w:val="53093504"/>
        <w:rPr>
          <w:rFonts w:ascii="Arial" w:hAnsi="Arial" w:cs="Arial"/>
          <w:color w:val="0D0D0D" w:themeColor="text1" w:themeTint="F2"/>
          <w:sz w:val="28"/>
          <w:szCs w:val="28"/>
          <w:lang w:val="es-ES"/>
        </w:rPr>
      </w:pPr>
      <w:proofErr w:type="gramStart"/>
      <w:r w:rsidRPr="009C5BDF">
        <w:rPr>
          <w:rStyle w:val="Textoennegrita"/>
          <w:rFonts w:ascii="Arial" w:hAnsi="Arial" w:cs="Arial"/>
          <w:color w:val="0D0D0D" w:themeColor="text1" w:themeTint="F2"/>
          <w:sz w:val="28"/>
          <w:szCs w:val="28"/>
          <w:lang w:val="es-ES"/>
        </w:rPr>
        <w:t>Descripción.—</w:t>
      </w:r>
      <w:proofErr w:type="gramEnd"/>
      <w:r w:rsidRPr="009C5BDF">
        <w:rPr>
          <w:rFonts w:ascii="Arial" w:hAnsi="Arial" w:cs="Arial"/>
          <w:color w:val="0D0D0D" w:themeColor="text1" w:themeTint="F2"/>
          <w:sz w:val="28"/>
          <w:szCs w:val="28"/>
          <w:lang w:val="es-ES"/>
        </w:rPr>
        <w:t>El con</w:t>
      </w:r>
      <w:r w:rsidRPr="009C5BDF">
        <w:rPr>
          <w:rFonts w:ascii="Arial" w:hAnsi="Arial" w:cs="Arial"/>
          <w:color w:val="0D0D0D" w:themeColor="text1" w:themeTint="F2"/>
          <w:sz w:val="28"/>
          <w:szCs w:val="28"/>
          <w:lang w:val="es-ES"/>
        </w:rPr>
        <w:t>trato de compraventa aquí descrito tiene la particularidad de recaer sobre un bien inmueble sometido al régimen de la propiedad horizontal. Por tanto, en cuanto a la descripción de esta especie de contrato.</w:t>
      </w:r>
    </w:p>
    <w:p w14:paraId="1DE7FD1C"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 xml:space="preserve">En lo relacionado con las modalidades existentes </w:t>
      </w:r>
      <w:r w:rsidRPr="009C5BDF">
        <w:rPr>
          <w:rFonts w:ascii="Arial" w:hAnsi="Arial" w:cs="Arial"/>
          <w:color w:val="0D0D0D" w:themeColor="text1" w:themeTint="F2"/>
          <w:sz w:val="28"/>
          <w:szCs w:val="28"/>
          <w:lang w:val="es-ES"/>
        </w:rPr>
        <w:t>de propiedad horizontal, sus particularidades y características puede consultarse la Ley 675 de 2001.</w:t>
      </w:r>
    </w:p>
    <w:p w14:paraId="67E5CCD9" w14:textId="4568D0C6" w:rsidR="00000000" w:rsidRPr="009C5BDF" w:rsidRDefault="001C5B6E">
      <w:pPr>
        <w:pStyle w:val="nueve"/>
        <w:divId w:val="53093504"/>
        <w:rPr>
          <w:rFonts w:ascii="Arial" w:hAnsi="Arial" w:cs="Arial"/>
          <w:color w:val="0D0D0D" w:themeColor="text1" w:themeTint="F2"/>
          <w:sz w:val="28"/>
          <w:szCs w:val="28"/>
          <w:lang w:val="es-ES"/>
        </w:rPr>
      </w:pPr>
      <w:r w:rsidRPr="009C5BDF">
        <w:rPr>
          <w:rStyle w:val="Textoennegrita"/>
          <w:rFonts w:ascii="Arial" w:hAnsi="Arial" w:cs="Arial"/>
          <w:color w:val="0D0D0D" w:themeColor="text1" w:themeTint="F2"/>
          <w:sz w:val="28"/>
          <w:szCs w:val="28"/>
          <w:lang w:val="es-ES"/>
        </w:rPr>
        <w:t>Requisitos de forma.—</w:t>
      </w:r>
      <w:r w:rsidRPr="009C5BDF">
        <w:rPr>
          <w:rFonts w:ascii="Arial" w:hAnsi="Arial" w:cs="Arial"/>
          <w:color w:val="0D0D0D" w:themeColor="text1" w:themeTint="F2"/>
          <w:sz w:val="28"/>
          <w:szCs w:val="28"/>
          <w:lang w:val="es-ES"/>
        </w:rPr>
        <w:t>Con relación al régimen de propiedad horizontal, todo acto de enajenación o traspaso de dominio de inmuebles sometidos a est</w:t>
      </w:r>
      <w:r w:rsidRPr="009C5BDF">
        <w:rPr>
          <w:rFonts w:ascii="Arial" w:hAnsi="Arial" w:cs="Arial"/>
          <w:color w:val="0D0D0D" w:themeColor="text1" w:themeTint="F2"/>
          <w:sz w:val="28"/>
          <w:szCs w:val="28"/>
          <w:lang w:val="es-ES"/>
        </w:rPr>
        <w:t>e régimen que hagan parte de un edificio o conjunto de edificios de acuerdo con lo señalado en la Ley 675 de 2001 deberá citarse en el acto de enajenación la escritura constitutiva de tal régimen así como las correspondientes modificaciones, si las hubiere</w:t>
      </w:r>
      <w:r w:rsidRPr="009C5BDF">
        <w:rPr>
          <w:rFonts w:ascii="Arial" w:hAnsi="Arial" w:cs="Arial"/>
          <w:color w:val="0D0D0D" w:themeColor="text1" w:themeTint="F2"/>
          <w:sz w:val="28"/>
          <w:szCs w:val="28"/>
          <w:lang w:val="es-ES"/>
        </w:rPr>
        <w:t>, por su número, fecha y notaría y no será necesario insertar copia auténtica del reglamento de copropiedad y de la licencia de construcción, siempre que la escritura de constitución se haya otorgado en la misma notaría.</w:t>
      </w:r>
    </w:p>
    <w:p w14:paraId="75F08B14"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 xml:space="preserve">En las copias de las escrituras de </w:t>
      </w:r>
      <w:r w:rsidRPr="009C5BDF">
        <w:rPr>
          <w:rFonts w:ascii="Arial" w:hAnsi="Arial" w:cs="Arial"/>
          <w:color w:val="0D0D0D" w:themeColor="text1" w:themeTint="F2"/>
          <w:sz w:val="28"/>
          <w:szCs w:val="28"/>
          <w:lang w:val="es-ES"/>
        </w:rPr>
        <w:t>enajenación o traspaso, para las situaciones antes descritas, se insertará copia del reglamento tomándola de la escritura de constitución o de la protocolización, conforme a la cita que de ellas se haga en la enajenación o traspaso.</w:t>
      </w:r>
    </w:p>
    <w:p w14:paraId="28146DD6" w14:textId="34B14037" w:rsidR="00000000" w:rsidRPr="009C5BDF" w:rsidRDefault="001C5B6E">
      <w:pPr>
        <w:pStyle w:val="nueve"/>
        <w:divId w:val="53093504"/>
        <w:rPr>
          <w:rFonts w:ascii="Arial" w:hAnsi="Arial" w:cs="Arial"/>
          <w:color w:val="0D0D0D" w:themeColor="text1" w:themeTint="F2"/>
          <w:sz w:val="28"/>
          <w:szCs w:val="28"/>
          <w:lang w:val="es-ES"/>
        </w:rPr>
      </w:pPr>
      <w:proofErr w:type="gramStart"/>
      <w:r w:rsidRPr="009C5BDF">
        <w:rPr>
          <w:rStyle w:val="Textoennegrita"/>
          <w:rFonts w:ascii="Arial" w:hAnsi="Arial" w:cs="Arial"/>
          <w:color w:val="0D0D0D" w:themeColor="text1" w:themeTint="F2"/>
          <w:sz w:val="28"/>
          <w:szCs w:val="28"/>
          <w:lang w:val="es-ES"/>
        </w:rPr>
        <w:t>Recomendacione</w:t>
      </w:r>
      <w:r w:rsidRPr="009C5BDF">
        <w:rPr>
          <w:rStyle w:val="Textoennegrita"/>
          <w:rFonts w:ascii="Arial" w:hAnsi="Arial" w:cs="Arial"/>
          <w:color w:val="0D0D0D" w:themeColor="text1" w:themeTint="F2"/>
          <w:sz w:val="28"/>
          <w:szCs w:val="28"/>
          <w:lang w:val="es-ES"/>
        </w:rPr>
        <w:t>s.—</w:t>
      </w:r>
      <w:proofErr w:type="gramEnd"/>
      <w:r w:rsidRPr="009C5BDF">
        <w:rPr>
          <w:rFonts w:ascii="Arial" w:hAnsi="Arial" w:cs="Arial"/>
          <w:color w:val="0D0D0D" w:themeColor="text1" w:themeTint="F2"/>
          <w:sz w:val="28"/>
          <w:szCs w:val="28"/>
          <w:lang w:val="es-ES"/>
        </w:rPr>
        <w:t>Se aconseja verificar que los linderos del inmueble, tanto los generales o globales (referidos al edificio o conjunto de edificios o condominio) como los relacionados con la correspondiente unidad privada (ejemplo, si a más del apartamento se incluye ta</w:t>
      </w:r>
      <w:r w:rsidRPr="009C5BDF">
        <w:rPr>
          <w:rFonts w:ascii="Arial" w:hAnsi="Arial" w:cs="Arial"/>
          <w:color w:val="0D0D0D" w:themeColor="text1" w:themeTint="F2"/>
          <w:sz w:val="28"/>
          <w:szCs w:val="28"/>
          <w:lang w:val="es-ES"/>
        </w:rPr>
        <w:t>mbién la enajenación del cuarto de depósito, el o los garajes, la terraza de uso privativo, etc.) sean los previstos en el respectivo reglamento de propiedad horizontal.</w:t>
      </w:r>
    </w:p>
    <w:p w14:paraId="32C6700D"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lastRenderedPageBreak/>
        <w:t>De esta misma forma, debe verificarse el coeficiente de copropiedad o porcentaje de pa</w:t>
      </w:r>
      <w:r w:rsidRPr="009C5BDF">
        <w:rPr>
          <w:rFonts w:ascii="Arial" w:hAnsi="Arial" w:cs="Arial"/>
          <w:color w:val="0D0D0D" w:themeColor="text1" w:themeTint="F2"/>
          <w:sz w:val="28"/>
          <w:szCs w:val="28"/>
          <w:lang w:val="es-ES"/>
        </w:rPr>
        <w:t xml:space="preserve">rticipación asignado al inmueble, ya que de éste dependerá el valor de las expensas o cuotas de contribución que le corresponda al </w:t>
      </w:r>
      <w:proofErr w:type="gramStart"/>
      <w:r w:rsidRPr="009C5BDF">
        <w:rPr>
          <w:rFonts w:ascii="Arial" w:hAnsi="Arial" w:cs="Arial"/>
          <w:color w:val="0D0D0D" w:themeColor="text1" w:themeTint="F2"/>
          <w:sz w:val="28"/>
          <w:szCs w:val="28"/>
          <w:lang w:val="es-ES"/>
        </w:rPr>
        <w:t>inmueble</w:t>
      </w:r>
      <w:proofErr w:type="gramEnd"/>
      <w:r w:rsidRPr="009C5BDF">
        <w:rPr>
          <w:rFonts w:ascii="Arial" w:hAnsi="Arial" w:cs="Arial"/>
          <w:color w:val="0D0D0D" w:themeColor="text1" w:themeTint="F2"/>
          <w:sz w:val="28"/>
          <w:szCs w:val="28"/>
          <w:lang w:val="es-ES"/>
        </w:rPr>
        <w:t xml:space="preserve"> así como también el porcentaje de participación en el uso de los servicios y bienes comunes de la copropiedad. En ge</w:t>
      </w:r>
      <w:r w:rsidRPr="009C5BDF">
        <w:rPr>
          <w:rFonts w:ascii="Arial" w:hAnsi="Arial" w:cs="Arial"/>
          <w:color w:val="0D0D0D" w:themeColor="text1" w:themeTint="F2"/>
          <w:sz w:val="28"/>
          <w:szCs w:val="28"/>
          <w:lang w:val="es-ES"/>
        </w:rPr>
        <w:t>neral se recomienda que el nuevo adquirente se entere de las obligaciones y derechos contenidos en el reglamento de propiedad horizontal al que está sujeto el inmueble objeto de la compraventa.</w:t>
      </w:r>
    </w:p>
    <w:p w14:paraId="01C57D3D"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Respecto de los pagos de expensas comunes, el artículo 29 de l</w:t>
      </w:r>
      <w:r w:rsidRPr="009C5BDF">
        <w:rPr>
          <w:rFonts w:ascii="Arial" w:hAnsi="Arial" w:cs="Arial"/>
          <w:color w:val="0D0D0D" w:themeColor="text1" w:themeTint="F2"/>
          <w:sz w:val="28"/>
          <w:szCs w:val="28"/>
          <w:lang w:val="es-ES"/>
        </w:rPr>
        <w:t>a Ley 675 de 2001, establece: “En la escritura de transferencia de dominio de un bien inmueble sometido a propiedad horizontal, el notario exigirá paz y salvo de las contribuciones a las expensas comunes expedido por el representante legal de la copropieda</w:t>
      </w:r>
      <w:r w:rsidRPr="009C5BDF">
        <w:rPr>
          <w:rFonts w:ascii="Arial" w:hAnsi="Arial" w:cs="Arial"/>
          <w:color w:val="0D0D0D" w:themeColor="text1" w:themeTint="F2"/>
          <w:sz w:val="28"/>
          <w:szCs w:val="28"/>
          <w:lang w:val="es-ES"/>
        </w:rPr>
        <w:t>d.</w:t>
      </w:r>
    </w:p>
    <w:p w14:paraId="106250D3"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 xml:space="preserve">En caso de no contarse con </w:t>
      </w:r>
      <w:proofErr w:type="gramStart"/>
      <w:r w:rsidRPr="009C5BDF">
        <w:rPr>
          <w:rFonts w:ascii="Arial" w:hAnsi="Arial" w:cs="Arial"/>
          <w:color w:val="0D0D0D" w:themeColor="text1" w:themeTint="F2"/>
          <w:sz w:val="28"/>
          <w:szCs w:val="28"/>
          <w:lang w:val="es-ES"/>
        </w:rPr>
        <w:t>el paz</w:t>
      </w:r>
      <w:proofErr w:type="gramEnd"/>
      <w:r w:rsidRPr="009C5BDF">
        <w:rPr>
          <w:rFonts w:ascii="Arial" w:hAnsi="Arial" w:cs="Arial"/>
          <w:color w:val="0D0D0D" w:themeColor="text1" w:themeTint="F2"/>
          <w:sz w:val="28"/>
          <w:szCs w:val="28"/>
          <w:lang w:val="es-ES"/>
        </w:rPr>
        <w:t xml:space="preserve"> y salvo, se dejará constancia en la escritura de tal circunstancia, de la respectiva solicitud presentada al administrador de la copropiedad y de la solidaridad del nuevo propietario por las deudas que existan con la co</w:t>
      </w:r>
      <w:r w:rsidRPr="009C5BDF">
        <w:rPr>
          <w:rFonts w:ascii="Arial" w:hAnsi="Arial" w:cs="Arial"/>
          <w:color w:val="0D0D0D" w:themeColor="text1" w:themeTint="F2"/>
          <w:sz w:val="28"/>
          <w:szCs w:val="28"/>
          <w:lang w:val="es-ES"/>
        </w:rPr>
        <w:t>propiedad”.</w:t>
      </w:r>
    </w:p>
    <w:p w14:paraId="26C362F5" w14:textId="2CAC6BB7" w:rsidR="00000000" w:rsidRPr="009C5BDF" w:rsidRDefault="001C5B6E">
      <w:pPr>
        <w:pStyle w:val="nueve"/>
        <w:divId w:val="53093504"/>
        <w:rPr>
          <w:rFonts w:ascii="Arial" w:hAnsi="Arial" w:cs="Arial"/>
          <w:color w:val="0D0D0D" w:themeColor="text1" w:themeTint="F2"/>
          <w:sz w:val="28"/>
          <w:szCs w:val="28"/>
          <w:lang w:val="es-ES"/>
        </w:rPr>
      </w:pPr>
      <w:r w:rsidRPr="009C5BDF">
        <w:rPr>
          <w:rStyle w:val="Textoennegrita"/>
          <w:rFonts w:ascii="Arial" w:hAnsi="Arial" w:cs="Arial"/>
          <w:color w:val="0D0D0D" w:themeColor="text1" w:themeTint="F2"/>
          <w:sz w:val="28"/>
          <w:szCs w:val="28"/>
          <w:lang w:val="es-ES"/>
        </w:rPr>
        <w:t xml:space="preserve">Tarifa cobrada por autorización de escritura </w:t>
      </w:r>
      <w:proofErr w:type="gramStart"/>
      <w:r w:rsidRPr="009C5BDF">
        <w:rPr>
          <w:rStyle w:val="Textoennegrita"/>
          <w:rFonts w:ascii="Arial" w:hAnsi="Arial" w:cs="Arial"/>
          <w:color w:val="0D0D0D" w:themeColor="text1" w:themeTint="F2"/>
          <w:sz w:val="28"/>
          <w:szCs w:val="28"/>
          <w:lang w:val="es-ES"/>
        </w:rPr>
        <w:t>pública.—</w:t>
      </w:r>
      <w:proofErr w:type="gramEnd"/>
      <w:r w:rsidRPr="009C5BDF">
        <w:rP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Tarifa cobrada por autorización de escritura pública..</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w:t>
      </w:r>
    </w:p>
    <w:p w14:paraId="30B8133E" w14:textId="759809D6" w:rsidR="00000000" w:rsidRPr="009C5BDF" w:rsidRDefault="001C5B6E">
      <w:pPr>
        <w:pStyle w:val="Ttulo2"/>
        <w:spacing w:before="180" w:beforeAutospacing="0" w:after="180" w:afterAutospacing="0"/>
        <w:jc w:val="both"/>
        <w:divId w:val="53093504"/>
        <w:rPr>
          <w:rFonts w:ascii="Arial" w:eastAsia="Times New Roman" w:hAnsi="Arial" w:cs="Arial"/>
          <w:color w:val="0D0D0D" w:themeColor="text1" w:themeTint="F2"/>
          <w:sz w:val="28"/>
          <w:szCs w:val="28"/>
          <w:lang w:val="es-ES"/>
        </w:rPr>
      </w:pPr>
      <w:r w:rsidRPr="009C5BDF">
        <w:rPr>
          <w:rFonts w:ascii="Arial" w:eastAsia="Times New Roman" w:hAnsi="Arial" w:cs="Arial"/>
          <w:color w:val="0D0D0D" w:themeColor="text1" w:themeTint="F2"/>
          <w:sz w:val="28"/>
          <w:szCs w:val="28"/>
          <w:lang w:val="es-ES"/>
        </w:rPr>
        <w:t>LLAMADAS</w:t>
      </w:r>
    </w:p>
    <w:p w14:paraId="20C6FAE1"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t xml:space="preserve">(1) </w:t>
      </w:r>
      <w:proofErr w:type="gramStart"/>
      <w:r w:rsidRPr="009C5BDF">
        <w:rPr>
          <w:rStyle w:val="Textoennegrita"/>
          <w:rFonts w:ascii="Arial" w:eastAsia="Times New Roman" w:hAnsi="Arial" w:cs="Arial"/>
          <w:b/>
          <w:bCs/>
          <w:color w:val="0D0D0D" w:themeColor="text1" w:themeTint="F2"/>
          <w:sz w:val="28"/>
          <w:szCs w:val="28"/>
          <w:lang w:val="es-ES"/>
        </w:rPr>
        <w:t>Identificación.—</w:t>
      </w:r>
      <w:proofErr w:type="gramEnd"/>
      <w:r w:rsidRPr="009C5BDF">
        <w:rPr>
          <w:rFonts w:ascii="Arial" w:eastAsia="Times New Roman" w:hAnsi="Arial" w:cs="Arial"/>
          <w:b w:val="0"/>
          <w:bCs w:val="0"/>
          <w:color w:val="0D0D0D" w:themeColor="text1" w:themeTint="F2"/>
          <w:sz w:val="28"/>
          <w:szCs w:val="28"/>
          <w:lang w:val="es-ES"/>
        </w:rPr>
        <w:t>La identificación de los comparecientes se hará con los documentos legales pertinentes, dejando testimonio de cuáles son estos. Sin embargo, en caso de urgencia calificada por el notario, a falta de la cédula de ciudadanía, el notario puede realizar la ide</w:t>
      </w:r>
      <w:r w:rsidRPr="009C5BDF">
        <w:rPr>
          <w:rFonts w:ascii="Arial" w:eastAsia="Times New Roman" w:hAnsi="Arial" w:cs="Arial"/>
          <w:b w:val="0"/>
          <w:bCs w:val="0"/>
          <w:color w:val="0D0D0D" w:themeColor="text1" w:themeTint="F2"/>
          <w:sz w:val="28"/>
          <w:szCs w:val="28"/>
          <w:lang w:val="es-ES"/>
        </w:rPr>
        <w:t xml:space="preserve">ntificación con otro documento auténtico, o mediante la fe de conocimiento personal del notario (D.L. 960/70, art. 24, DUR. 1069/2015, art. 2.2.6.1.2.1.4). </w:t>
      </w:r>
    </w:p>
    <w:p w14:paraId="0C935CEA"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t xml:space="preserve">(2) </w:t>
      </w:r>
      <w:r w:rsidRPr="009C5BDF">
        <w:rPr>
          <w:rStyle w:val="Textoennegrita"/>
          <w:rFonts w:ascii="Arial" w:eastAsia="Times New Roman" w:hAnsi="Arial" w:cs="Arial"/>
          <w:b/>
          <w:bCs/>
          <w:color w:val="0D0D0D" w:themeColor="text1" w:themeTint="F2"/>
          <w:sz w:val="28"/>
          <w:szCs w:val="28"/>
          <w:lang w:val="es-ES"/>
        </w:rPr>
        <w:t xml:space="preserve">Sociedad </w:t>
      </w:r>
      <w:proofErr w:type="gramStart"/>
      <w:r w:rsidRPr="009C5BDF">
        <w:rPr>
          <w:rStyle w:val="Textoennegrita"/>
          <w:rFonts w:ascii="Arial" w:eastAsia="Times New Roman" w:hAnsi="Arial" w:cs="Arial"/>
          <w:b/>
          <w:bCs/>
          <w:color w:val="0D0D0D" w:themeColor="text1" w:themeTint="F2"/>
          <w:sz w:val="28"/>
          <w:szCs w:val="28"/>
          <w:lang w:val="es-ES"/>
        </w:rPr>
        <w:t>conyugal.—</w:t>
      </w:r>
      <w:proofErr w:type="gramEnd"/>
      <w:r w:rsidRPr="009C5BDF">
        <w:rPr>
          <w:rFonts w:ascii="Arial" w:eastAsia="Times New Roman" w:hAnsi="Arial" w:cs="Arial"/>
          <w:b w:val="0"/>
          <w:bCs w:val="0"/>
          <w:color w:val="0D0D0D" w:themeColor="text1" w:themeTint="F2"/>
          <w:sz w:val="28"/>
          <w:szCs w:val="28"/>
          <w:lang w:val="es-ES"/>
        </w:rPr>
        <w:t xml:space="preserve"> Quien disponga de un inmueble o constituya gravamen sobre él, deberá indica</w:t>
      </w:r>
      <w:r w:rsidRPr="009C5BDF">
        <w:rPr>
          <w:rFonts w:ascii="Arial" w:eastAsia="Times New Roman" w:hAnsi="Arial" w:cs="Arial"/>
          <w:b w:val="0"/>
          <w:bCs w:val="0"/>
          <w:color w:val="0D0D0D" w:themeColor="text1" w:themeTint="F2"/>
          <w:sz w:val="28"/>
          <w:szCs w:val="28"/>
          <w:lang w:val="es-ES"/>
        </w:rPr>
        <w:t>r la situación jurídica del bien respecto de la sociedad conyugal, en caso de ser o haber sido casado (D.L. 960/70, art. 27).</w:t>
      </w:r>
    </w:p>
    <w:p w14:paraId="0C6021F3"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 xml:space="preserve">De igual manera debe tenerse en cuenta, que la Ley 258 de 1996 estableció que cuando el inmueble se encuentre afectado a vivienda </w:t>
      </w:r>
      <w:r w:rsidRPr="009C5BDF">
        <w:rPr>
          <w:rFonts w:ascii="Arial" w:hAnsi="Arial" w:cs="Arial"/>
          <w:color w:val="0D0D0D" w:themeColor="text1" w:themeTint="F2"/>
          <w:sz w:val="28"/>
          <w:szCs w:val="28"/>
          <w:lang w:val="es-ES"/>
        </w:rPr>
        <w:lastRenderedPageBreak/>
        <w:t>familiar, su enajenación o la constitución de cualquier gravamen o derecho real sobre él, solo podrá efectuarse con el consentimiento libre de ambos cónyuges, el cual se entenderá expresado con su firma (L. 258/96, art. 3º). Lo dispuesto en dicha ley se ap</w:t>
      </w:r>
      <w:r w:rsidRPr="009C5BDF">
        <w:rPr>
          <w:rFonts w:ascii="Arial" w:hAnsi="Arial" w:cs="Arial"/>
          <w:color w:val="0D0D0D" w:themeColor="text1" w:themeTint="F2"/>
          <w:sz w:val="28"/>
          <w:szCs w:val="28"/>
          <w:lang w:val="es-ES"/>
        </w:rPr>
        <w:t>lica igualmente a las uniones maritales de hecho, siempre y cuando lleven por lo menos dos años.</w:t>
      </w:r>
    </w:p>
    <w:p w14:paraId="5F032FCE"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 xml:space="preserve">(3) </w:t>
      </w:r>
      <w:r w:rsidRPr="009C5BDF">
        <w:rPr>
          <w:rStyle w:val="Textoennegrita"/>
          <w:rFonts w:ascii="Arial" w:hAnsi="Arial" w:cs="Arial"/>
          <w:color w:val="0D0D0D" w:themeColor="text1" w:themeTint="F2"/>
          <w:sz w:val="28"/>
          <w:szCs w:val="28"/>
          <w:lang w:val="es-ES"/>
        </w:rPr>
        <w:t xml:space="preserve">Identificación del </w:t>
      </w:r>
      <w:proofErr w:type="gramStart"/>
      <w:r w:rsidRPr="009C5BDF">
        <w:rPr>
          <w:rStyle w:val="Textoennegrita"/>
          <w:rFonts w:ascii="Arial" w:hAnsi="Arial" w:cs="Arial"/>
          <w:color w:val="0D0D0D" w:themeColor="text1" w:themeTint="F2"/>
          <w:sz w:val="28"/>
          <w:szCs w:val="28"/>
          <w:lang w:val="es-ES"/>
        </w:rPr>
        <w:t>inmueble.—</w:t>
      </w:r>
      <w:proofErr w:type="gramEnd"/>
      <w:r w:rsidRPr="009C5BDF">
        <w:rPr>
          <w:rFonts w:ascii="Arial" w:hAnsi="Arial" w:cs="Arial"/>
          <w:color w:val="0D0D0D" w:themeColor="text1" w:themeTint="F2"/>
          <w:sz w:val="28"/>
          <w:szCs w:val="28"/>
          <w:lang w:val="es-ES"/>
        </w:rPr>
        <w:t>Debe identificarse claramente el inmueble no sólo en su denominación y domicilio</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 0210) (1</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xml:space="preserve"> y (§</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Escritura pública. Recomend</w:t>
      </w:r>
      <w:r w:rsidRPr="009C5BDF">
        <w:rPr>
          <w:rStyle w:val="anchor"/>
          <w:rFonts w:ascii="Arial" w:hAnsi="Arial" w:cs="Arial"/>
          <w:color w:val="0D0D0D" w:themeColor="text1" w:themeTint="F2"/>
          <w:sz w:val="28"/>
          <w:szCs w:val="28"/>
          <w:lang w:val="es-ES"/>
        </w:rPr>
        <w:t>aciones..</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 sino también en relación con sus linderos —generales y especiales— concordantes con el plano aprobado por autoridad competente y protocolizado con el correspondiente reglamento de propiedad horizontal.</w:t>
      </w:r>
    </w:p>
    <w:p w14:paraId="184DEB73"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 xml:space="preserve">(4) </w:t>
      </w:r>
      <w:r w:rsidRPr="009C5BDF">
        <w:rPr>
          <w:rStyle w:val="Textoennegrita"/>
          <w:rFonts w:ascii="Arial" w:hAnsi="Arial" w:cs="Arial"/>
          <w:color w:val="0D0D0D" w:themeColor="text1" w:themeTint="F2"/>
          <w:sz w:val="28"/>
          <w:szCs w:val="28"/>
          <w:lang w:val="es-ES"/>
        </w:rPr>
        <w:t xml:space="preserve">Regímenes de propiedad </w:t>
      </w:r>
      <w:proofErr w:type="gramStart"/>
      <w:r w:rsidRPr="009C5BDF">
        <w:rPr>
          <w:rStyle w:val="Textoennegrita"/>
          <w:rFonts w:ascii="Arial" w:hAnsi="Arial" w:cs="Arial"/>
          <w:color w:val="0D0D0D" w:themeColor="text1" w:themeTint="F2"/>
          <w:sz w:val="28"/>
          <w:szCs w:val="28"/>
          <w:lang w:val="es-ES"/>
        </w:rPr>
        <w:t>horizontal.—</w:t>
      </w:r>
      <w:proofErr w:type="gramEnd"/>
      <w:r w:rsidRPr="009C5BDF">
        <w:rPr>
          <w:rFonts w:ascii="Arial" w:hAnsi="Arial" w:cs="Arial"/>
          <w:color w:val="0D0D0D" w:themeColor="text1" w:themeTint="F2"/>
          <w:sz w:val="28"/>
          <w:szCs w:val="28"/>
          <w:lang w:val="es-ES"/>
        </w:rPr>
        <w:t>Sob</w:t>
      </w:r>
      <w:r w:rsidRPr="009C5BDF">
        <w:rPr>
          <w:rFonts w:ascii="Arial" w:hAnsi="Arial" w:cs="Arial"/>
          <w:color w:val="0D0D0D" w:themeColor="text1" w:themeTint="F2"/>
          <w:sz w:val="28"/>
          <w:szCs w:val="28"/>
          <w:lang w:val="es-ES"/>
        </w:rPr>
        <w:t>re este tema, consúltese la Ley 675 de 2001 (§</w:t>
      </w:r>
      <w:r w:rsidRPr="009C5BDF">
        <w:rPr>
          <w:rFonts w:ascii="Arial" w:hAnsi="Arial" w:cs="Arial"/>
          <w:color w:val="0D0D0D" w:themeColor="text1" w:themeTint="F2"/>
          <w:sz w:val="28"/>
          <w:szCs w:val="28"/>
          <w:lang w:val="es-ES"/>
        </w:rPr>
        <w:t xml:space="preserve"> </w:t>
      </w:r>
      <w:r w:rsidRPr="009C5BDF">
        <w:rPr>
          <w:rStyle w:val="anchor"/>
          <w:rFonts w:ascii="Arial" w:hAnsi="Arial" w:cs="Arial"/>
          <w:color w:val="0D0D0D" w:themeColor="text1" w:themeTint="F2"/>
          <w:sz w:val="28"/>
          <w:szCs w:val="28"/>
          <w:lang w:val="es-ES"/>
        </w:rPr>
        <w:t>1509 (4</w:t>
      </w:r>
      <w:r w:rsidRPr="009C5BDF">
        <w:rPr>
          <w:rStyle w:val="anchor"/>
          <w:rFonts w:ascii="Arial" w:hAnsi="Arial" w:cs="Arial"/>
          <w:color w:val="0D0D0D" w:themeColor="text1" w:themeTint="F2"/>
          <w:sz w:val="28"/>
          <w:szCs w:val="28"/>
          <w:lang w:val="es-ES"/>
        </w:rPr>
        <w:t>)</w:t>
      </w:r>
      <w:r w:rsidRPr="009C5BDF">
        <w:rPr>
          <w:rFonts w:ascii="Arial" w:hAnsi="Arial" w:cs="Arial"/>
          <w:color w:val="0D0D0D" w:themeColor="text1" w:themeTint="F2"/>
          <w:sz w:val="28"/>
          <w:szCs w:val="28"/>
          <w:lang w:val="es-ES"/>
        </w:rPr>
        <w:t>).</w:t>
      </w:r>
    </w:p>
    <w:p w14:paraId="004E46B1"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t xml:space="preserve">(5) </w:t>
      </w:r>
      <w:r w:rsidRPr="009C5BDF">
        <w:rPr>
          <w:rStyle w:val="Textoennegrita"/>
          <w:rFonts w:ascii="Arial" w:eastAsia="Times New Roman" w:hAnsi="Arial" w:cs="Arial"/>
          <w:b/>
          <w:bCs/>
          <w:color w:val="0D0D0D" w:themeColor="text1" w:themeTint="F2"/>
          <w:sz w:val="28"/>
          <w:szCs w:val="28"/>
          <w:lang w:val="es-ES"/>
        </w:rPr>
        <w:t xml:space="preserve">Bienes y servicios </w:t>
      </w:r>
      <w:proofErr w:type="gramStart"/>
      <w:r w:rsidRPr="009C5BDF">
        <w:rPr>
          <w:rStyle w:val="Textoennegrita"/>
          <w:rFonts w:ascii="Arial" w:eastAsia="Times New Roman" w:hAnsi="Arial" w:cs="Arial"/>
          <w:b/>
          <w:bCs/>
          <w:color w:val="0D0D0D" w:themeColor="text1" w:themeTint="F2"/>
          <w:sz w:val="28"/>
          <w:szCs w:val="28"/>
          <w:lang w:val="es-ES"/>
        </w:rPr>
        <w:t>comunes.—</w:t>
      </w:r>
      <w:proofErr w:type="gramEnd"/>
      <w:r w:rsidRPr="009C5BDF">
        <w:rPr>
          <w:rFonts w:ascii="Arial" w:eastAsia="Times New Roman" w:hAnsi="Arial" w:cs="Arial"/>
          <w:b w:val="0"/>
          <w:bCs w:val="0"/>
          <w:color w:val="0D0D0D" w:themeColor="text1" w:themeTint="F2"/>
          <w:sz w:val="28"/>
          <w:szCs w:val="28"/>
          <w:lang w:val="es-ES"/>
        </w:rPr>
        <w:t>La Ley 675 de 2001 hace una clasificación entre bienes comunes y bienes comunes esenciales. Los bienes comunes las define “como las partes del edificio o conjunto som</w:t>
      </w:r>
      <w:r w:rsidRPr="009C5BDF">
        <w:rPr>
          <w:rFonts w:ascii="Arial" w:eastAsia="Times New Roman" w:hAnsi="Arial" w:cs="Arial"/>
          <w:b w:val="0"/>
          <w:bCs w:val="0"/>
          <w:color w:val="0D0D0D" w:themeColor="text1" w:themeTint="F2"/>
          <w:sz w:val="28"/>
          <w:szCs w:val="28"/>
          <w:lang w:val="es-ES"/>
        </w:rPr>
        <w:t>etido al régimen de propiedad horizontal pertenecientes en pro indiviso a todos los propietarios de bienes privados, que por su naturaleza o destinación permiten o facilitan la existencia, estabilidad, funcionamiento, conservación, seguridad, uso, goce o e</w:t>
      </w:r>
      <w:r w:rsidRPr="009C5BDF">
        <w:rPr>
          <w:rFonts w:ascii="Arial" w:eastAsia="Times New Roman" w:hAnsi="Arial" w:cs="Arial"/>
          <w:b w:val="0"/>
          <w:bCs w:val="0"/>
          <w:color w:val="0D0D0D" w:themeColor="text1" w:themeTint="F2"/>
          <w:sz w:val="28"/>
          <w:szCs w:val="28"/>
          <w:lang w:val="es-ES"/>
        </w:rPr>
        <w:t xml:space="preserve">xplotación de los bienes de dominio particular". Y los bienes comunes esenciales que "son aquellos bienes indispensables para la existencia, estabilidad, conservación y seguridad del edificio o conjunto, así como los imprescindibles para el uso y disfrute </w:t>
      </w:r>
      <w:r w:rsidRPr="009C5BDF">
        <w:rPr>
          <w:rFonts w:ascii="Arial" w:eastAsia="Times New Roman" w:hAnsi="Arial" w:cs="Arial"/>
          <w:b w:val="0"/>
          <w:bCs w:val="0"/>
          <w:color w:val="0D0D0D" w:themeColor="text1" w:themeTint="F2"/>
          <w:sz w:val="28"/>
          <w:szCs w:val="28"/>
          <w:lang w:val="es-ES"/>
        </w:rPr>
        <w:t xml:space="preserve">de los bienes de dominio particular". Los demás tendrán el carácter de bienes comunes no esenciales. Se reputan bienes comunes esenciales, el terreno sobre o bajo el cual existan construcciones o instalaciones de servicios públicos básicos, los cimientos, </w:t>
      </w:r>
      <w:r w:rsidRPr="009C5BDF">
        <w:rPr>
          <w:rFonts w:ascii="Arial" w:eastAsia="Times New Roman" w:hAnsi="Arial" w:cs="Arial"/>
          <w:b w:val="0"/>
          <w:bCs w:val="0"/>
          <w:color w:val="0D0D0D" w:themeColor="text1" w:themeTint="F2"/>
          <w:sz w:val="28"/>
          <w:szCs w:val="28"/>
          <w:lang w:val="es-ES"/>
        </w:rPr>
        <w:t>la estructura, las circulaciones indispensables para aprovechamiento de bienes privados, las instalaciones generales de servicios públicos, las fachadas y los techos o losas que sirven de cubiertas a cualquier nivel.</w:t>
      </w:r>
    </w:p>
    <w:p w14:paraId="55FA9259"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t xml:space="preserve">(6) </w:t>
      </w:r>
      <w:r w:rsidRPr="009C5BDF">
        <w:rPr>
          <w:rStyle w:val="Textoennegrita"/>
          <w:rFonts w:ascii="Arial" w:eastAsia="Times New Roman" w:hAnsi="Arial" w:cs="Arial"/>
          <w:b/>
          <w:bCs/>
          <w:color w:val="0D0D0D" w:themeColor="text1" w:themeTint="F2"/>
          <w:sz w:val="28"/>
          <w:szCs w:val="28"/>
          <w:lang w:val="es-ES"/>
        </w:rPr>
        <w:t xml:space="preserve">Servicios </w:t>
      </w:r>
      <w:proofErr w:type="gramStart"/>
      <w:r w:rsidRPr="009C5BDF">
        <w:rPr>
          <w:rStyle w:val="Textoennegrita"/>
          <w:rFonts w:ascii="Arial" w:eastAsia="Times New Roman" w:hAnsi="Arial" w:cs="Arial"/>
          <w:b/>
          <w:bCs/>
          <w:color w:val="0D0D0D" w:themeColor="text1" w:themeTint="F2"/>
          <w:sz w:val="28"/>
          <w:szCs w:val="28"/>
          <w:lang w:val="es-ES"/>
        </w:rPr>
        <w:t>públicos.—</w:t>
      </w:r>
      <w:proofErr w:type="gramEnd"/>
      <w:r w:rsidRPr="009C5BDF">
        <w:rPr>
          <w:rFonts w:ascii="Arial" w:eastAsia="Times New Roman" w:hAnsi="Arial" w:cs="Arial"/>
          <w:b w:val="0"/>
          <w:bCs w:val="0"/>
          <w:color w:val="0D0D0D" w:themeColor="text1" w:themeTint="F2"/>
          <w:sz w:val="28"/>
          <w:szCs w:val="28"/>
          <w:lang w:val="es-ES"/>
        </w:rPr>
        <w:t>Para este event</w:t>
      </w:r>
      <w:r w:rsidRPr="009C5BDF">
        <w:rPr>
          <w:rFonts w:ascii="Arial" w:eastAsia="Times New Roman" w:hAnsi="Arial" w:cs="Arial"/>
          <w:b w:val="0"/>
          <w:bCs w:val="0"/>
          <w:color w:val="0D0D0D" w:themeColor="text1" w:themeTint="F2"/>
          <w:sz w:val="28"/>
          <w:szCs w:val="28"/>
          <w:lang w:val="es-ES"/>
        </w:rPr>
        <w:t>o se recomienda verificar que el inmueble enajenado esté al día en los pagos de las cuotas o expensas de sostenimiento que surgen con ocasión del régimen de propiedad horizontal.</w:t>
      </w:r>
    </w:p>
    <w:p w14:paraId="08CD33F5"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lastRenderedPageBreak/>
        <w:t xml:space="preserve">(7) </w:t>
      </w:r>
      <w:r w:rsidRPr="009C5BDF">
        <w:rPr>
          <w:rStyle w:val="Textoennegrita"/>
          <w:rFonts w:ascii="Arial" w:eastAsia="Times New Roman" w:hAnsi="Arial" w:cs="Arial"/>
          <w:b/>
          <w:bCs/>
          <w:color w:val="0D0D0D" w:themeColor="text1" w:themeTint="F2"/>
          <w:sz w:val="28"/>
          <w:szCs w:val="28"/>
          <w:lang w:val="es-ES"/>
        </w:rPr>
        <w:t xml:space="preserve">Gastos en el otorgamiento de la </w:t>
      </w:r>
      <w:proofErr w:type="gramStart"/>
      <w:r w:rsidRPr="009C5BDF">
        <w:rPr>
          <w:rStyle w:val="Textoennegrita"/>
          <w:rFonts w:ascii="Arial" w:eastAsia="Times New Roman" w:hAnsi="Arial" w:cs="Arial"/>
          <w:b/>
          <w:bCs/>
          <w:color w:val="0D0D0D" w:themeColor="text1" w:themeTint="F2"/>
          <w:sz w:val="28"/>
          <w:szCs w:val="28"/>
          <w:lang w:val="es-ES"/>
        </w:rPr>
        <w:t>escritura.—</w:t>
      </w:r>
      <w:proofErr w:type="gramEnd"/>
      <w:r w:rsidRPr="009C5BDF">
        <w:rPr>
          <w:rFonts w:ascii="Arial" w:eastAsia="Times New Roman" w:hAnsi="Arial" w:cs="Arial"/>
          <w:b w:val="0"/>
          <w:bCs w:val="0"/>
          <w:color w:val="0D0D0D" w:themeColor="text1" w:themeTint="F2"/>
          <w:sz w:val="28"/>
          <w:szCs w:val="28"/>
          <w:lang w:val="es-ES"/>
        </w:rPr>
        <w:t xml:space="preserve">(7) </w:t>
      </w:r>
      <w:r w:rsidRPr="009C5BDF">
        <w:rPr>
          <w:rStyle w:val="Textoennegrita"/>
          <w:rFonts w:ascii="Arial" w:eastAsia="Times New Roman" w:hAnsi="Arial" w:cs="Arial"/>
          <w:b/>
          <w:bCs/>
          <w:color w:val="0D0D0D" w:themeColor="text1" w:themeTint="F2"/>
          <w:sz w:val="28"/>
          <w:szCs w:val="28"/>
          <w:lang w:val="es-ES"/>
        </w:rPr>
        <w:t>Gastos.—</w:t>
      </w:r>
      <w:r w:rsidRPr="009C5BDF">
        <w:rPr>
          <w:rFonts w:ascii="Arial" w:eastAsia="Times New Roman" w:hAnsi="Arial" w:cs="Arial"/>
          <w:b w:val="0"/>
          <w:bCs w:val="0"/>
          <w:color w:val="0D0D0D" w:themeColor="text1" w:themeTint="F2"/>
          <w:sz w:val="28"/>
          <w:szCs w:val="28"/>
          <w:lang w:val="es-ES"/>
        </w:rPr>
        <w:t>Sobre el particula</w:t>
      </w:r>
      <w:r w:rsidRPr="009C5BDF">
        <w:rPr>
          <w:rFonts w:ascii="Arial" w:eastAsia="Times New Roman" w:hAnsi="Arial" w:cs="Arial"/>
          <w:b w:val="0"/>
          <w:bCs w:val="0"/>
          <w:color w:val="0D0D0D" w:themeColor="text1" w:themeTint="F2"/>
          <w:sz w:val="28"/>
          <w:szCs w:val="28"/>
          <w:lang w:val="es-ES"/>
        </w:rPr>
        <w:t>r debe observarse los siguientes aspectos:</w:t>
      </w:r>
    </w:p>
    <w:p w14:paraId="434EF4C7"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t>a)</w:t>
      </w:r>
      <w:r w:rsidRPr="009C5BDF">
        <w:rPr>
          <w:rStyle w:val="Textoennegrita"/>
          <w:rFonts w:ascii="Arial" w:eastAsia="Times New Roman" w:hAnsi="Arial" w:cs="Arial"/>
          <w:b/>
          <w:bCs/>
          <w:color w:val="0D0D0D" w:themeColor="text1" w:themeTint="F2"/>
          <w:sz w:val="28"/>
          <w:szCs w:val="28"/>
          <w:lang w:val="es-ES"/>
        </w:rPr>
        <w:t xml:space="preserve"> Gastos </w:t>
      </w:r>
      <w:proofErr w:type="gramStart"/>
      <w:r w:rsidRPr="009C5BDF">
        <w:rPr>
          <w:rStyle w:val="Textoennegrita"/>
          <w:rFonts w:ascii="Arial" w:eastAsia="Times New Roman" w:hAnsi="Arial" w:cs="Arial"/>
          <w:b/>
          <w:bCs/>
          <w:color w:val="0D0D0D" w:themeColor="text1" w:themeTint="F2"/>
          <w:sz w:val="28"/>
          <w:szCs w:val="28"/>
          <w:lang w:val="es-ES"/>
        </w:rPr>
        <w:t>notariales.—</w:t>
      </w:r>
      <w:proofErr w:type="gramEnd"/>
      <w:r w:rsidRPr="009C5BDF">
        <w:rPr>
          <w:rFonts w:ascii="Arial" w:eastAsia="Times New Roman" w:hAnsi="Arial" w:cs="Arial"/>
          <w:b w:val="0"/>
          <w:bCs w:val="0"/>
          <w:color w:val="0D0D0D" w:themeColor="text1" w:themeTint="F2"/>
          <w:sz w:val="28"/>
          <w:szCs w:val="28"/>
          <w:lang w:val="es-ES"/>
        </w:rPr>
        <w:t>Es de anotar, que conforme a lo dispuesto en el artículo 223 del Decreto 960 de 1970, en los contratos o actos bilaterales los derechos notariales serán a cargo de las dos partes, por mitades</w:t>
      </w:r>
      <w:r w:rsidRPr="009C5BDF">
        <w:rPr>
          <w:rFonts w:ascii="Arial" w:eastAsia="Times New Roman" w:hAnsi="Arial" w:cs="Arial"/>
          <w:b w:val="0"/>
          <w:bCs w:val="0"/>
          <w:color w:val="0D0D0D" w:themeColor="text1" w:themeTint="F2"/>
          <w:sz w:val="28"/>
          <w:szCs w:val="28"/>
          <w:lang w:val="es-ES"/>
        </w:rPr>
        <w:t xml:space="preserve">; precisando que los varios integrantes de una parte responderán solidariamente por la cuota de ella. </w:t>
      </w:r>
    </w:p>
    <w:p w14:paraId="471147AA"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t xml:space="preserve">b) </w:t>
      </w:r>
      <w:r w:rsidRPr="009C5BDF">
        <w:rPr>
          <w:rStyle w:val="Textoennegrita"/>
          <w:rFonts w:ascii="Arial" w:eastAsia="Times New Roman" w:hAnsi="Arial" w:cs="Arial"/>
          <w:b/>
          <w:bCs/>
          <w:color w:val="0D0D0D" w:themeColor="text1" w:themeTint="F2"/>
          <w:sz w:val="28"/>
          <w:szCs w:val="28"/>
          <w:lang w:val="es-ES"/>
        </w:rPr>
        <w:t xml:space="preserve">Gastos de registro y </w:t>
      </w:r>
      <w:proofErr w:type="gramStart"/>
      <w:r w:rsidRPr="009C5BDF">
        <w:rPr>
          <w:rStyle w:val="Textoennegrita"/>
          <w:rFonts w:ascii="Arial" w:eastAsia="Times New Roman" w:hAnsi="Arial" w:cs="Arial"/>
          <w:b/>
          <w:bCs/>
          <w:color w:val="0D0D0D" w:themeColor="text1" w:themeTint="F2"/>
          <w:sz w:val="28"/>
          <w:szCs w:val="28"/>
          <w:lang w:val="es-ES"/>
        </w:rPr>
        <w:t>anotación.—</w:t>
      </w:r>
      <w:proofErr w:type="gramEnd"/>
      <w:r w:rsidRPr="009C5BDF">
        <w:rPr>
          <w:rFonts w:ascii="Arial" w:eastAsia="Times New Roman" w:hAnsi="Arial" w:cs="Arial"/>
          <w:b w:val="0"/>
          <w:bCs w:val="0"/>
          <w:color w:val="0D0D0D" w:themeColor="text1" w:themeTint="F2"/>
          <w:sz w:val="28"/>
          <w:szCs w:val="28"/>
          <w:lang w:val="es-ES"/>
        </w:rPr>
        <w:t xml:space="preserve">En cuanto a los demás gastos que se causen con el otorgamiento de la escritura tales como el impuesto de registro y anotación (derechos de beneficencia y tesorería) se estará a lo pactado por las partes. Se recomienda en este evento que el costo del mismo </w:t>
      </w:r>
      <w:r w:rsidRPr="009C5BDF">
        <w:rPr>
          <w:rFonts w:ascii="Arial" w:eastAsia="Times New Roman" w:hAnsi="Arial" w:cs="Arial"/>
          <w:b w:val="0"/>
          <w:bCs w:val="0"/>
          <w:color w:val="0D0D0D" w:themeColor="text1" w:themeTint="F2"/>
          <w:sz w:val="28"/>
          <w:szCs w:val="28"/>
          <w:lang w:val="es-ES"/>
        </w:rPr>
        <w:t>sea asumido por el comprador quien es el interesado en efectuar el registro para efectos de finiquitar la tradición del inmueble objeto del contrato, y</w:t>
      </w:r>
    </w:p>
    <w:p w14:paraId="7CF728A2" w14:textId="77777777" w:rsidR="00000000" w:rsidRPr="009C5BDF" w:rsidRDefault="001C5B6E">
      <w:pPr>
        <w:pStyle w:val="Ttulo2"/>
        <w:spacing w:before="180" w:beforeAutospacing="0"/>
        <w:jc w:val="both"/>
        <w:divId w:val="53093504"/>
        <w:rPr>
          <w:rFonts w:ascii="Arial" w:eastAsia="Times New Roman" w:hAnsi="Arial" w:cs="Arial"/>
          <w:b w:val="0"/>
          <w:bCs w:val="0"/>
          <w:color w:val="0D0D0D" w:themeColor="text1" w:themeTint="F2"/>
          <w:sz w:val="28"/>
          <w:szCs w:val="28"/>
          <w:lang w:val="es-ES"/>
        </w:rPr>
      </w:pPr>
      <w:r w:rsidRPr="009C5BDF">
        <w:rPr>
          <w:rFonts w:ascii="Arial" w:eastAsia="Times New Roman" w:hAnsi="Arial" w:cs="Arial"/>
          <w:b w:val="0"/>
          <w:bCs w:val="0"/>
          <w:color w:val="0D0D0D" w:themeColor="text1" w:themeTint="F2"/>
          <w:sz w:val="28"/>
          <w:szCs w:val="28"/>
          <w:lang w:val="es-ES"/>
        </w:rPr>
        <w:t xml:space="preserve">c) </w:t>
      </w:r>
      <w:r w:rsidRPr="009C5BDF">
        <w:rPr>
          <w:rStyle w:val="Textoennegrita"/>
          <w:rFonts w:ascii="Arial" w:eastAsia="Times New Roman" w:hAnsi="Arial" w:cs="Arial"/>
          <w:b/>
          <w:bCs/>
          <w:color w:val="0D0D0D" w:themeColor="text1" w:themeTint="F2"/>
          <w:sz w:val="28"/>
          <w:szCs w:val="28"/>
          <w:lang w:val="es-ES"/>
        </w:rPr>
        <w:t xml:space="preserve">Gastos por retención en la </w:t>
      </w:r>
      <w:proofErr w:type="gramStart"/>
      <w:r w:rsidRPr="009C5BDF">
        <w:rPr>
          <w:rStyle w:val="Textoennegrita"/>
          <w:rFonts w:ascii="Arial" w:eastAsia="Times New Roman" w:hAnsi="Arial" w:cs="Arial"/>
          <w:b/>
          <w:bCs/>
          <w:color w:val="0D0D0D" w:themeColor="text1" w:themeTint="F2"/>
          <w:sz w:val="28"/>
          <w:szCs w:val="28"/>
          <w:lang w:val="es-ES"/>
        </w:rPr>
        <w:t>fuente.—</w:t>
      </w:r>
      <w:proofErr w:type="gramEnd"/>
      <w:r w:rsidRPr="009C5BDF">
        <w:rPr>
          <w:rFonts w:ascii="Arial" w:eastAsia="Times New Roman" w:hAnsi="Arial" w:cs="Arial"/>
          <w:b w:val="0"/>
          <w:bCs w:val="0"/>
          <w:color w:val="0D0D0D" w:themeColor="text1" w:themeTint="F2"/>
          <w:sz w:val="28"/>
          <w:szCs w:val="28"/>
          <w:lang w:val="es-ES"/>
        </w:rPr>
        <w:t>En relación con la retención en la fuente por la enajenación de un</w:t>
      </w:r>
      <w:r w:rsidRPr="009C5BDF">
        <w:rPr>
          <w:rFonts w:ascii="Arial" w:eastAsia="Times New Roman" w:hAnsi="Arial" w:cs="Arial"/>
          <w:b w:val="0"/>
          <w:bCs w:val="0"/>
          <w:color w:val="0D0D0D" w:themeColor="text1" w:themeTint="F2"/>
          <w:sz w:val="28"/>
          <w:szCs w:val="28"/>
          <w:lang w:val="es-ES"/>
        </w:rPr>
        <w:t xml:space="preserve"> inmueble o de cualquiera otro bien considerado como activo fijo debe estarse a las normas tributarias vigentes.</w:t>
      </w:r>
    </w:p>
    <w:p w14:paraId="30DED3ED"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Para los efectos tributarios, los activos se dividen en fijos o inmovilizados y movibles. Los primeros son aquellos bienes corporales o incorpo</w:t>
      </w:r>
      <w:r w:rsidRPr="009C5BDF">
        <w:rPr>
          <w:rFonts w:ascii="Arial" w:hAnsi="Arial" w:cs="Arial"/>
          <w:color w:val="0D0D0D" w:themeColor="text1" w:themeTint="F2"/>
          <w:sz w:val="28"/>
          <w:szCs w:val="28"/>
          <w:lang w:val="es-ES"/>
        </w:rPr>
        <w:t>rales que permanecen normalmente en el patrimonio del contribuyente; es decir, que no se enajenan dentro del giro ordinario de sus negocios y, los segundos (movibles), son aquellos bienes corporales muebles o inmuebles y los incorporales que se enajenan de</w:t>
      </w:r>
      <w:r w:rsidRPr="009C5BDF">
        <w:rPr>
          <w:rFonts w:ascii="Arial" w:hAnsi="Arial" w:cs="Arial"/>
          <w:color w:val="0D0D0D" w:themeColor="text1" w:themeTint="F2"/>
          <w:sz w:val="28"/>
          <w:szCs w:val="28"/>
          <w:lang w:val="es-ES"/>
        </w:rPr>
        <w:t>ntro del giro ordinario de los negocios del contribuyente, como por ejemplo los inventarios de mercancías que, por lo general existen al principio y al fin de cada año o período fiscal.</w:t>
      </w:r>
    </w:p>
    <w:p w14:paraId="6F74F559" w14:textId="77777777" w:rsidR="00000000" w:rsidRPr="009C5BDF" w:rsidRDefault="001C5B6E">
      <w:pPr>
        <w:pStyle w:val="nueve"/>
        <w:divId w:val="53093504"/>
        <w:rPr>
          <w:rFonts w:ascii="Arial" w:hAnsi="Arial" w:cs="Arial"/>
          <w:color w:val="0D0D0D" w:themeColor="text1" w:themeTint="F2"/>
          <w:sz w:val="28"/>
          <w:szCs w:val="28"/>
          <w:lang w:val="es-ES"/>
        </w:rPr>
      </w:pPr>
      <w:r w:rsidRPr="009C5BDF">
        <w:rPr>
          <w:rFonts w:ascii="Arial" w:hAnsi="Arial" w:cs="Arial"/>
          <w:color w:val="0D0D0D" w:themeColor="text1" w:themeTint="F2"/>
          <w:sz w:val="28"/>
          <w:szCs w:val="28"/>
          <w:lang w:val="es-ES"/>
        </w:rPr>
        <w:t>El valor equivalente a la retención se deberá cancelar previamente a l</w:t>
      </w:r>
      <w:r w:rsidRPr="009C5BDF">
        <w:rPr>
          <w:rFonts w:ascii="Arial" w:hAnsi="Arial" w:cs="Arial"/>
          <w:color w:val="0D0D0D" w:themeColor="text1" w:themeTint="F2"/>
          <w:sz w:val="28"/>
          <w:szCs w:val="28"/>
          <w:lang w:val="es-ES"/>
        </w:rPr>
        <w:t>a enajenación del bien, ante el notario cuando se trate de bienes inmuebles, ante las autoridades de tránsito respecto de vehículos, o ante las entidades autorizadas para recaudar impuestos.</w:t>
      </w:r>
    </w:p>
    <w:p w14:paraId="74F557C2" w14:textId="77777777" w:rsidR="001C5B6E" w:rsidRPr="009C5BDF" w:rsidRDefault="001C5B6E">
      <w:pPr>
        <w:rPr>
          <w:rFonts w:ascii="Arial" w:eastAsia="Times New Roman" w:hAnsi="Arial" w:cs="Arial"/>
          <w:color w:val="0D0D0D" w:themeColor="text1" w:themeTint="F2"/>
          <w:sz w:val="28"/>
          <w:szCs w:val="28"/>
        </w:rPr>
      </w:pPr>
      <w:r w:rsidRPr="009C5BDF">
        <w:rPr>
          <w:rFonts w:ascii="Arial" w:hAnsi="Arial" w:cs="Arial"/>
          <w:color w:val="0D0D0D" w:themeColor="text1" w:themeTint="F2"/>
          <w:sz w:val="28"/>
          <w:szCs w:val="28"/>
          <w:lang w:val="es-ES"/>
        </w:rPr>
        <w:pict w14:anchorId="03349435"/>
      </w:r>
    </w:p>
    <w:sectPr w:rsidR="001C5B6E" w:rsidRPr="009C5B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5BDF"/>
    <w:rsid w:val="001C5B6E"/>
    <w:rsid w:val="009C5B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A9D8A"/>
  <w15:chartTrackingRefBased/>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vanish/>
    </w:rPr>
  </w:style>
  <w:style w:type="paragraph" w:customStyle="1" w:styleId="celda">
    <w:name w:val="celda"/>
    <w:basedOn w:val="Normal"/>
    <w:pPr>
      <w:spacing w:before="100" w:beforeAutospacing="1" w:after="100" w:afterAutospacing="1"/>
    </w:pPr>
    <w:rPr>
      <w:rFonts w:ascii="Arial" w:hAnsi="Arial" w:cs="Arial"/>
      <w:sz w:val="26"/>
      <w:szCs w:val="26"/>
    </w:rPr>
  </w:style>
  <w:style w:type="paragraph" w:customStyle="1" w:styleId="codigo-7">
    <w:name w:val="codigo-7"/>
    <w:basedOn w:val="Normal"/>
    <w:pPr>
      <w:spacing w:before="180" w:after="100" w:afterAutospacing="1"/>
    </w:pPr>
    <w:rPr>
      <w:rFonts w:ascii="Open Sans" w:hAnsi="Open Sans" w:cs="Open Sans"/>
      <w:sz w:val="26"/>
      <w:szCs w:val="26"/>
    </w:rPr>
  </w:style>
  <w:style w:type="paragraph" w:customStyle="1" w:styleId="codigo-9">
    <w:name w:val="codigo-9"/>
    <w:basedOn w:val="Normal"/>
    <w:pPr>
      <w:spacing w:before="180" w:after="100" w:afterAutospacing="1"/>
    </w:pPr>
    <w:rPr>
      <w:rFonts w:ascii="Open Sans" w:hAnsi="Open Sans" w:cs="Open Sans"/>
      <w:sz w:val="32"/>
      <w:szCs w:val="32"/>
    </w:rPr>
  </w:style>
  <w:style w:type="paragraph" w:customStyle="1" w:styleId="concordancia">
    <w:name w:val="concordancia"/>
    <w:basedOn w:val="Normal"/>
    <w:pPr>
      <w:spacing w:before="100" w:beforeAutospacing="1" w:after="100" w:afterAutospacing="1"/>
      <w:ind w:firstLine="280"/>
      <w:jc w:val="both"/>
    </w:pPr>
    <w:rPr>
      <w:rFonts w:ascii="Open Sans" w:hAnsi="Open Sans" w:cs="Open Sans"/>
      <w:i/>
      <w:iCs/>
      <w:sz w:val="26"/>
      <w:szCs w:val="26"/>
    </w:rPr>
  </w:style>
  <w:style w:type="paragraph" w:customStyle="1" w:styleId="cuadro">
    <w:name w:val="cuadro"/>
    <w:basedOn w:val="Normal"/>
    <w:pPr>
      <w:spacing w:before="140" w:after="100" w:afterAutospacing="1"/>
      <w:jc w:val="both"/>
    </w:pPr>
    <w:rPr>
      <w:rFonts w:ascii="Open Sans" w:hAnsi="Open Sans" w:cs="Open Sans"/>
      <w:sz w:val="26"/>
      <w:szCs w:val="26"/>
    </w:rPr>
  </w:style>
  <w:style w:type="paragraph" w:customStyle="1" w:styleId="cuerpo">
    <w:name w:val="cuerpo"/>
    <w:basedOn w:val="Normal"/>
    <w:pPr>
      <w:spacing w:before="180" w:after="100" w:afterAutospacing="1"/>
      <w:ind w:firstLine="280"/>
      <w:jc w:val="both"/>
    </w:pPr>
    <w:rPr>
      <w:rFonts w:ascii="Open Sans" w:hAnsi="Open Sans" w:cs="Open Sans"/>
      <w:sz w:val="26"/>
      <w:szCs w:val="26"/>
    </w:rPr>
  </w:style>
  <w:style w:type="paragraph" w:customStyle="1" w:styleId="bordev">
    <w:name w:val="bordev"/>
    <w:basedOn w:val="Normal"/>
    <w:pPr>
      <w:pBdr>
        <w:left w:val="single" w:sz="6" w:space="2" w:color="000000"/>
      </w:pBdr>
      <w:spacing w:before="180" w:after="100" w:afterAutospacing="1"/>
      <w:ind w:firstLine="280"/>
      <w:jc w:val="both"/>
    </w:pPr>
    <w:rPr>
      <w:rFonts w:ascii="Arial" w:hAnsi="Arial" w:cs="Arial"/>
      <w:sz w:val="26"/>
      <w:szCs w:val="26"/>
    </w:rPr>
  </w:style>
  <w:style w:type="paragraph" w:customStyle="1" w:styleId="cuerpo-negra">
    <w:name w:val="cuerpo-negra"/>
    <w:basedOn w:val="Normal"/>
    <w:pPr>
      <w:spacing w:before="180" w:after="100" w:afterAutospacing="1"/>
      <w:ind w:firstLine="280"/>
      <w:jc w:val="both"/>
    </w:pPr>
    <w:rPr>
      <w:rFonts w:ascii="Open Sans" w:hAnsi="Open Sans" w:cs="Open Sans"/>
      <w:b/>
      <w:bCs/>
      <w:sz w:val="26"/>
      <w:szCs w:val="26"/>
    </w:rPr>
  </w:style>
  <w:style w:type="paragraph" w:customStyle="1" w:styleId="cuerpo-titulo">
    <w:name w:val="cuerpo-titulo"/>
    <w:basedOn w:val="Normal"/>
    <w:pPr>
      <w:spacing w:before="180" w:after="100" w:afterAutospacing="1"/>
      <w:jc w:val="center"/>
    </w:pPr>
    <w:rPr>
      <w:rFonts w:ascii="Open Sans" w:hAnsi="Open Sans" w:cs="Open Sans"/>
      <w:sz w:val="26"/>
      <w:szCs w:val="26"/>
    </w:rPr>
  </w:style>
  <w:style w:type="paragraph" w:customStyle="1" w:styleId="cuerpo-titulo-negra">
    <w:name w:val="cuerpo-titulo-negra"/>
    <w:basedOn w:val="Normal"/>
    <w:pPr>
      <w:spacing w:before="180" w:after="100" w:afterAutospacing="1"/>
      <w:jc w:val="center"/>
    </w:pPr>
    <w:rPr>
      <w:rFonts w:ascii="Open Sans" w:hAnsi="Open Sans" w:cs="Open Sans"/>
      <w:b/>
      <w:bCs/>
      <w:sz w:val="26"/>
      <w:szCs w:val="26"/>
    </w:rPr>
  </w:style>
  <w:style w:type="paragraph" w:customStyle="1" w:styleId="jurisprudencia">
    <w:name w:val="jurisprudencia"/>
    <w:basedOn w:val="Normal"/>
    <w:pPr>
      <w:spacing w:before="180" w:after="100" w:afterAutospacing="1"/>
      <w:ind w:firstLine="280"/>
      <w:jc w:val="both"/>
    </w:pPr>
    <w:rPr>
      <w:rFonts w:ascii="Open Sans" w:hAnsi="Open Sans" w:cs="Open Sans"/>
      <w:i/>
      <w:iCs/>
      <w:sz w:val="28"/>
      <w:szCs w:val="28"/>
    </w:rPr>
  </w:style>
  <w:style w:type="paragraph" w:customStyle="1" w:styleId="nivel-1">
    <w:name w:val="nivel-1"/>
    <w:basedOn w:val="Normal"/>
    <w:pPr>
      <w:spacing w:before="560" w:after="560"/>
    </w:pPr>
    <w:rPr>
      <w:rFonts w:ascii="Open Sans" w:hAnsi="Open Sans" w:cs="Open Sans"/>
      <w:b/>
      <w:bCs/>
      <w:sz w:val="48"/>
      <w:szCs w:val="48"/>
    </w:rPr>
  </w:style>
  <w:style w:type="paragraph" w:customStyle="1" w:styleId="nivel-1-2">
    <w:name w:val="nivel-1-2"/>
    <w:basedOn w:val="Normal"/>
    <w:pPr>
      <w:spacing w:before="240" w:after="240"/>
      <w:jc w:val="center"/>
    </w:pPr>
    <w:rPr>
      <w:rFonts w:ascii="Open Sans" w:hAnsi="Open Sans" w:cs="Open Sans"/>
      <w:b/>
      <w:bCs/>
      <w:sz w:val="64"/>
      <w:szCs w:val="64"/>
    </w:rPr>
  </w:style>
  <w:style w:type="paragraph" w:customStyle="1" w:styleId="nivel-2">
    <w:name w:val="nivel-2"/>
    <w:basedOn w:val="Normal"/>
    <w:pPr>
      <w:spacing w:before="120" w:after="120"/>
    </w:pPr>
    <w:rPr>
      <w:rFonts w:ascii="Open Sans" w:hAnsi="Open Sans" w:cs="Open Sans"/>
      <w:b/>
      <w:bCs/>
      <w:sz w:val="56"/>
      <w:szCs w:val="56"/>
    </w:rPr>
  </w:style>
  <w:style w:type="paragraph" w:customStyle="1" w:styleId="nivel-3">
    <w:name w:val="nivel-3"/>
    <w:basedOn w:val="Normal"/>
    <w:pPr>
      <w:spacing w:before="400" w:after="400"/>
    </w:pPr>
    <w:rPr>
      <w:rFonts w:ascii="Open Sans" w:hAnsi="Open Sans" w:cs="Open Sans"/>
      <w:b/>
      <w:bCs/>
      <w:sz w:val="44"/>
      <w:szCs w:val="44"/>
    </w:rPr>
  </w:style>
  <w:style w:type="paragraph" w:customStyle="1" w:styleId="nivel-3-4">
    <w:name w:val="nivel-3-4"/>
    <w:basedOn w:val="Normal"/>
    <w:pPr>
      <w:spacing w:before="180" w:after="100" w:afterAutospacing="1"/>
    </w:pPr>
    <w:rPr>
      <w:rFonts w:ascii="Open Sans" w:hAnsi="Open Sans" w:cs="Open Sans"/>
      <w:b/>
      <w:bCs/>
      <w:sz w:val="42"/>
      <w:szCs w:val="42"/>
    </w:rPr>
  </w:style>
  <w:style w:type="paragraph" w:customStyle="1" w:styleId="nivel-4">
    <w:name w:val="nivel-4"/>
    <w:basedOn w:val="Normal"/>
    <w:pPr>
      <w:spacing w:before="180" w:after="180"/>
    </w:pPr>
    <w:rPr>
      <w:rFonts w:ascii="Open Sans" w:hAnsi="Open Sans" w:cs="Open Sans"/>
      <w:b/>
      <w:bCs/>
      <w:sz w:val="40"/>
      <w:szCs w:val="40"/>
    </w:rPr>
  </w:style>
  <w:style w:type="paragraph" w:customStyle="1" w:styleId="nivel-5">
    <w:name w:val="nivel-5"/>
    <w:basedOn w:val="Normal"/>
    <w:pPr>
      <w:spacing w:before="120" w:after="120"/>
    </w:pPr>
    <w:rPr>
      <w:rFonts w:ascii="Open Sans" w:hAnsi="Open Sans" w:cs="Open Sans"/>
      <w:b/>
      <w:bCs/>
      <w:sz w:val="36"/>
      <w:szCs w:val="36"/>
    </w:rPr>
  </w:style>
  <w:style w:type="paragraph" w:customStyle="1" w:styleId="nivel-5-6">
    <w:name w:val="nivel-5-6"/>
    <w:basedOn w:val="Normal"/>
    <w:pPr>
      <w:spacing w:before="120" w:after="120"/>
    </w:pPr>
    <w:rPr>
      <w:rFonts w:ascii="Open Sans" w:hAnsi="Open Sans" w:cs="Open Sans"/>
      <w:sz w:val="28"/>
      <w:szCs w:val="28"/>
    </w:rPr>
  </w:style>
  <w:style w:type="paragraph" w:customStyle="1" w:styleId="nivel-6">
    <w:name w:val="nivel-6"/>
    <w:basedOn w:val="Normal"/>
    <w:pPr>
      <w:spacing w:before="180" w:after="100" w:afterAutospacing="1"/>
    </w:pPr>
    <w:rPr>
      <w:rFonts w:ascii="Open Sans" w:hAnsi="Open Sans" w:cs="Open Sans"/>
      <w:b/>
      <w:bCs/>
      <w:sz w:val="34"/>
      <w:szCs w:val="34"/>
    </w:rPr>
  </w:style>
  <w:style w:type="paragraph" w:customStyle="1" w:styleId="nivel-7">
    <w:name w:val="nivel-7"/>
    <w:basedOn w:val="Normal"/>
    <w:pPr>
      <w:spacing w:before="120" w:after="120"/>
    </w:pPr>
    <w:rPr>
      <w:rFonts w:ascii="Open Sans" w:hAnsi="Open Sans" w:cs="Open Sans"/>
      <w:b/>
      <w:bCs/>
      <w:sz w:val="32"/>
      <w:szCs w:val="32"/>
    </w:rPr>
  </w:style>
  <w:style w:type="paragraph" w:customStyle="1" w:styleId="nueve">
    <w:name w:val="nueve"/>
    <w:basedOn w:val="Normal"/>
    <w:pPr>
      <w:spacing w:before="180" w:after="100" w:afterAutospacing="1"/>
      <w:jc w:val="both"/>
    </w:pPr>
    <w:rPr>
      <w:rFonts w:ascii="Open Sans" w:hAnsi="Open Sans" w:cs="Open Sans"/>
      <w:sz w:val="32"/>
      <w:szCs w:val="32"/>
    </w:rPr>
  </w:style>
  <w:style w:type="paragraph" w:customStyle="1" w:styleId="nueve-negra">
    <w:name w:val="nueve-negra"/>
    <w:basedOn w:val="Normal"/>
    <w:pPr>
      <w:spacing w:before="180" w:after="100" w:afterAutospacing="1"/>
      <w:jc w:val="both"/>
    </w:pPr>
    <w:rPr>
      <w:rFonts w:ascii="Open Sans" w:hAnsi="Open Sans" w:cs="Open Sans"/>
      <w:b/>
      <w:bCs/>
      <w:sz w:val="32"/>
      <w:szCs w:val="32"/>
    </w:rPr>
  </w:style>
  <w:style w:type="paragraph" w:customStyle="1" w:styleId="nueve-titulo">
    <w:name w:val="nueve-titulo"/>
    <w:basedOn w:val="Normal"/>
    <w:pPr>
      <w:spacing w:before="300" w:after="100" w:afterAutospacing="1"/>
    </w:pPr>
    <w:rPr>
      <w:rFonts w:ascii="Open Sans" w:hAnsi="Open Sans" w:cs="Open Sans"/>
      <w:sz w:val="32"/>
      <w:szCs w:val="32"/>
    </w:rPr>
  </w:style>
  <w:style w:type="paragraph" w:customStyle="1" w:styleId="sangria">
    <w:name w:val="sangria"/>
    <w:basedOn w:val="Normal"/>
    <w:pPr>
      <w:spacing w:before="100" w:beforeAutospacing="1" w:after="100" w:afterAutospacing="1"/>
      <w:ind w:left="560"/>
      <w:jc w:val="both"/>
    </w:pPr>
    <w:rPr>
      <w:rFonts w:ascii="Open Sans" w:hAnsi="Open Sans" w:cs="Open Sans"/>
      <w:sz w:val="32"/>
      <w:szCs w:val="32"/>
    </w:rPr>
  </w:style>
  <w:style w:type="paragraph" w:customStyle="1" w:styleId="sintesis">
    <w:name w:val="sintesis"/>
    <w:basedOn w:val="Normal"/>
    <w:pPr>
      <w:spacing w:before="180" w:after="180"/>
      <w:jc w:val="both"/>
    </w:pPr>
    <w:rPr>
      <w:rFonts w:ascii="Open Sans" w:hAnsi="Open Sans" w:cs="Open Sans"/>
      <w:sz w:val="36"/>
      <w:szCs w:val="36"/>
    </w:rPr>
  </w:style>
  <w:style w:type="paragraph" w:customStyle="1" w:styleId="sintesis-negra">
    <w:name w:val="sintesis-negra"/>
    <w:basedOn w:val="Normal"/>
    <w:pPr>
      <w:spacing w:before="180" w:after="180"/>
      <w:jc w:val="both"/>
    </w:pPr>
    <w:rPr>
      <w:rFonts w:ascii="Open Sans" w:hAnsi="Open Sans" w:cs="Open Sans"/>
      <w:b/>
      <w:bCs/>
      <w:sz w:val="36"/>
      <w:szCs w:val="36"/>
    </w:rPr>
  </w:style>
  <w:style w:type="paragraph" w:customStyle="1" w:styleId="sin-uso">
    <w:name w:val="sin-uso"/>
    <w:basedOn w:val="Normal"/>
    <w:pPr>
      <w:spacing w:before="60" w:after="100" w:afterAutospacing="1"/>
      <w:ind w:firstLine="100"/>
      <w:jc w:val="right"/>
    </w:pPr>
    <w:rPr>
      <w:rFonts w:ascii="Open Sans" w:hAnsi="Open Sans" w:cs="Open Sans"/>
      <w:b/>
      <w:bCs/>
      <w:sz w:val="36"/>
      <w:szCs w:val="36"/>
    </w:rPr>
  </w:style>
  <w:style w:type="paragraph" w:customStyle="1" w:styleId="unico">
    <w:name w:val="unico"/>
    <w:basedOn w:val="Normal"/>
    <w:pPr>
      <w:spacing w:before="180" w:after="100" w:afterAutospacing="1"/>
      <w:jc w:val="both"/>
    </w:pPr>
    <w:rPr>
      <w:rFonts w:ascii="Open Sans" w:hAnsi="Open Sans" w:cs="Open Sans"/>
      <w:sz w:val="32"/>
      <w:szCs w:val="32"/>
    </w:rPr>
  </w:style>
  <w:style w:type="paragraph" w:customStyle="1" w:styleId="novigente">
    <w:name w:val="novigente"/>
    <w:basedOn w:val="Normal"/>
    <w:pPr>
      <w:spacing w:before="40" w:after="40"/>
      <w:jc w:val="both"/>
    </w:pPr>
    <w:rPr>
      <w:rFonts w:ascii="Open Sans" w:hAnsi="Open Sans" w:cs="Open Sans"/>
      <w:color w:val="800000"/>
      <w:sz w:val="32"/>
      <w:szCs w:val="32"/>
    </w:rPr>
  </w:style>
  <w:style w:type="paragraph" w:customStyle="1" w:styleId="novigenteconraya">
    <w:name w:val="novigente_con_raya"/>
    <w:basedOn w:val="Normal"/>
    <w:pPr>
      <w:pBdr>
        <w:left w:val="single" w:sz="6" w:space="0" w:color="000000"/>
      </w:pBdr>
      <w:spacing w:before="40" w:after="40"/>
      <w:jc w:val="both"/>
    </w:pPr>
    <w:rPr>
      <w:rFonts w:ascii="Open Sans" w:hAnsi="Open Sans" w:cs="Open Sans"/>
      <w:color w:val="800000"/>
      <w:sz w:val="32"/>
      <w:szCs w:val="32"/>
    </w:rPr>
  </w:style>
  <w:style w:type="paragraph" w:customStyle="1" w:styleId="sinestilo">
    <w:name w:val="sinestilo"/>
    <w:basedOn w:val="Normal"/>
    <w:pPr>
      <w:spacing w:before="40" w:after="40"/>
      <w:jc w:val="both"/>
    </w:pPr>
    <w:rPr>
      <w:rFonts w:ascii="Open Sans" w:hAnsi="Open Sans" w:cs="Open Sans"/>
      <w:sz w:val="32"/>
      <w:szCs w:val="32"/>
    </w:rPr>
  </w:style>
  <w:style w:type="paragraph" w:customStyle="1" w:styleId="codint">
    <w:name w:val="codint"/>
    <w:basedOn w:val="Normal"/>
    <w:pPr>
      <w:spacing w:before="100" w:beforeAutospacing="1" w:after="150"/>
      <w:jc w:val="right"/>
    </w:pPr>
    <w:rPr>
      <w:rFonts w:ascii="Arial" w:hAnsi="Arial" w:cs="Arial"/>
      <w:b/>
      <w:bCs/>
    </w:rPr>
  </w:style>
  <w:style w:type="paragraph" w:customStyle="1" w:styleId="genpresentacion">
    <w:name w:val="gen_presentacion"/>
    <w:basedOn w:val="Normal"/>
    <w:pPr>
      <w:spacing w:before="100" w:beforeAutospacing="1" w:after="100" w:afterAutospacing="1"/>
      <w:jc w:val="center"/>
    </w:pPr>
    <w:rPr>
      <w:rFonts w:ascii="Open Sans" w:hAnsi="Open Sans" w:cs="Open Sans"/>
      <w:b/>
      <w:bCs/>
      <w:sz w:val="72"/>
      <w:szCs w:val="72"/>
    </w:rPr>
  </w:style>
  <w:style w:type="paragraph" w:customStyle="1" w:styleId="gentitulo">
    <w:name w:val="gen_titulo"/>
    <w:basedOn w:val="Normal"/>
    <w:pPr>
      <w:spacing w:before="100" w:beforeAutospacing="1" w:after="100" w:afterAutospacing="1"/>
      <w:jc w:val="center"/>
    </w:pPr>
    <w:rPr>
      <w:rFonts w:ascii="Open Sans" w:hAnsi="Open Sans" w:cs="Open Sans"/>
      <w:sz w:val="26"/>
      <w:szCs w:val="26"/>
    </w:rPr>
  </w:style>
  <w:style w:type="paragraph" w:customStyle="1" w:styleId="gentextitulo">
    <w:name w:val="gen_textitulo"/>
    <w:basedOn w:val="Normal"/>
    <w:pPr>
      <w:spacing w:before="100" w:beforeAutospacing="1" w:after="100" w:afterAutospacing="1"/>
      <w:jc w:val="center"/>
    </w:pPr>
    <w:rPr>
      <w:rFonts w:ascii="Open Sans" w:hAnsi="Open Sans" w:cs="Open Sans"/>
      <w:sz w:val="26"/>
      <w:szCs w:val="26"/>
    </w:rPr>
  </w:style>
  <w:style w:type="paragraph" w:customStyle="1" w:styleId="gentexcapitulo">
    <w:name w:val="gen_texcapitulo"/>
    <w:basedOn w:val="Normal"/>
    <w:pPr>
      <w:spacing w:before="100" w:beforeAutospacing="1" w:after="100" w:afterAutospacing="1"/>
      <w:jc w:val="center"/>
    </w:pPr>
    <w:rPr>
      <w:rFonts w:ascii="Open Sans" w:hAnsi="Open Sans" w:cs="Open Sans"/>
      <w:sz w:val="26"/>
      <w:szCs w:val="26"/>
    </w:rPr>
  </w:style>
  <w:style w:type="paragraph" w:customStyle="1" w:styleId="codigointerno">
    <w:name w:val="codigointerno"/>
    <w:basedOn w:val="Normal"/>
    <w:pPr>
      <w:spacing w:before="100" w:beforeAutospacing="1" w:after="100" w:afterAutospacing="1"/>
      <w:jc w:val="right"/>
    </w:pPr>
    <w:rPr>
      <w:b/>
      <w:bCs/>
    </w:rPr>
  </w:style>
  <w:style w:type="paragraph" w:customStyle="1" w:styleId="norma-principal">
    <w:name w:val="norma-principal"/>
    <w:basedOn w:val="Normal"/>
    <w:pPr>
      <w:spacing w:before="75" w:after="100" w:afterAutospacing="1"/>
    </w:pPr>
  </w:style>
  <w:style w:type="paragraph" w:customStyle="1" w:styleId="historico-normas">
    <w:name w:val="historico-normas"/>
    <w:basedOn w:val="Normal"/>
    <w:pPr>
      <w:spacing w:before="100" w:beforeAutospacing="1" w:after="100" w:afterAutospacing="1"/>
    </w:pPr>
  </w:style>
  <w:style w:type="paragraph" w:customStyle="1" w:styleId="plantilla">
    <w:name w:val="plantilla"/>
    <w:basedOn w:val="Normal"/>
    <w:pPr>
      <w:spacing w:before="100" w:beforeAutospacing="1" w:after="100" w:afterAutospacing="1"/>
    </w:pPr>
    <w:rPr>
      <w:rFonts w:ascii="Arial" w:hAnsi="Arial" w:cs="Arial"/>
      <w:b/>
      <w:bCs/>
      <w:sz w:val="26"/>
      <w:szCs w:val="26"/>
    </w:rPr>
  </w:style>
  <w:style w:type="paragraph" w:customStyle="1" w:styleId="captiontable">
    <w:name w:val="captiontable"/>
    <w:basedOn w:val="Normal"/>
    <w:pPr>
      <w:spacing w:before="100" w:beforeAutospacing="1" w:after="100" w:afterAutospacing="1"/>
    </w:pPr>
    <w:rPr>
      <w:rFonts w:ascii="Arial" w:hAnsi="Arial" w:cs="Arial"/>
      <w:b/>
      <w:bCs/>
      <w:color w:val="000000"/>
      <w:sz w:val="20"/>
      <w:szCs w:val="20"/>
    </w:rPr>
  </w:style>
  <w:style w:type="paragraph" w:customStyle="1" w:styleId="inclinada">
    <w:name w:val="inclinada"/>
    <w:basedOn w:val="Normal"/>
    <w:pPr>
      <w:spacing w:before="100" w:beforeAutospacing="1" w:after="100" w:afterAutospacing="1"/>
    </w:pPr>
    <w:rPr>
      <w:i/>
      <w:iCs/>
    </w:rPr>
  </w:style>
  <w:style w:type="paragraph" w:customStyle="1" w:styleId="tabulador">
    <w:name w:val="tabulador"/>
    <w:basedOn w:val="Normal"/>
    <w:pPr>
      <w:spacing w:before="100" w:beforeAutospacing="1" w:after="100" w:afterAutospacing="1"/>
    </w:pPr>
    <w:rPr>
      <w:rFonts w:ascii="Courier New" w:hAnsi="Courier New" w:cs="Courier New"/>
      <w:sz w:val="18"/>
      <w:szCs w:val="18"/>
    </w:rPr>
  </w:style>
  <w:style w:type="paragraph" w:customStyle="1" w:styleId="tachado">
    <w:name w:val="tachado"/>
    <w:basedOn w:val="Normal"/>
    <w:pPr>
      <w:spacing w:before="100" w:beforeAutospacing="1" w:after="100" w:afterAutospacing="1"/>
    </w:pPr>
    <w:rPr>
      <w:strike/>
    </w:rPr>
  </w:style>
  <w:style w:type="paragraph" w:customStyle="1" w:styleId="medio">
    <w:name w:val="medio"/>
    <w:basedOn w:val="Normal"/>
    <w:pPr>
      <w:spacing w:before="100" w:beforeAutospacing="1" w:after="100" w:afterAutospacing="1"/>
    </w:pPr>
    <w:rPr>
      <w:color w:val="800080"/>
      <w:u w:val="single"/>
    </w:rPr>
  </w:style>
  <w:style w:type="paragraph" w:customStyle="1" w:styleId="linkpopup">
    <w:name w:val="linkpopup"/>
    <w:basedOn w:val="Normal"/>
    <w:pPr>
      <w:spacing w:before="100" w:beforeAutospacing="1" w:after="100" w:afterAutospacing="1"/>
    </w:pPr>
    <w:rPr>
      <w:color w:val="FF0000"/>
    </w:rPr>
  </w:style>
  <w:style w:type="paragraph" w:customStyle="1" w:styleId="subscript">
    <w:name w:val="subscript"/>
    <w:basedOn w:val="Normal"/>
    <w:pPr>
      <w:spacing w:before="100" w:beforeAutospacing="1" w:after="100" w:afterAutospacing="1"/>
    </w:pPr>
    <w:rPr>
      <w:sz w:val="20"/>
      <w:szCs w:val="20"/>
      <w:vertAlign w:val="subscript"/>
    </w:rPr>
  </w:style>
  <w:style w:type="paragraph" w:customStyle="1" w:styleId="superscript">
    <w:name w:val="superscript"/>
    <w:basedOn w:val="Normal"/>
    <w:pPr>
      <w:spacing w:before="100" w:beforeAutospacing="1" w:after="100" w:afterAutospacing="1"/>
    </w:pPr>
    <w:rPr>
      <w:sz w:val="20"/>
      <w:szCs w:val="20"/>
      <w:vertAlign w:val="superscript"/>
    </w:rPr>
  </w:style>
  <w:style w:type="paragraph" w:customStyle="1" w:styleId="tableall">
    <w:name w:val="tableall"/>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dall">
    <w:name w:val="tdall"/>
    <w:basedOn w:val="Normal"/>
    <w:pPr>
      <w:spacing w:before="100" w:beforeAutospacing="1" w:after="100" w:afterAutospacing="1"/>
    </w:pPr>
    <w:rPr>
      <w:rFonts w:ascii="Arial" w:hAnsi="Arial" w:cs="Arial"/>
      <w:color w:val="000000"/>
      <w:sz w:val="19"/>
      <w:szCs w:val="19"/>
    </w:rPr>
  </w:style>
  <w:style w:type="paragraph" w:customStyle="1" w:styleId="thall">
    <w:name w:val="thall"/>
    <w:basedOn w:val="Normal"/>
    <w:pPr>
      <w:pBdr>
        <w:top w:val="single" w:sz="6" w:space="0" w:color="000000"/>
        <w:left w:val="single" w:sz="6" w:space="0" w:color="000000"/>
        <w:bottom w:val="single" w:sz="6" w:space="0" w:color="000000"/>
        <w:right w:val="single" w:sz="6" w:space="0" w:color="000000"/>
      </w:pBdr>
      <w:shd w:val="clear" w:color="auto" w:fill="C0C0C0"/>
      <w:spacing w:before="100" w:beforeAutospacing="1" w:after="100" w:afterAutospacing="1"/>
    </w:pPr>
    <w:rPr>
      <w:b/>
      <w:bCs/>
      <w:sz w:val="19"/>
      <w:szCs w:val="19"/>
    </w:rPr>
  </w:style>
  <w:style w:type="paragraph" w:customStyle="1" w:styleId="concordancias">
    <w:name w:val="concordancias"/>
    <w:basedOn w:val="Normal"/>
    <w:pPr>
      <w:spacing w:before="100" w:beforeAutospacing="1" w:after="100" w:afterAutospacing="1"/>
    </w:pPr>
  </w:style>
  <w:style w:type="paragraph" w:customStyle="1" w:styleId="temas">
    <w:name w:val="temas"/>
    <w:basedOn w:val="Normal"/>
    <w:pPr>
      <w:shd w:val="clear" w:color="auto" w:fill="C0C0C0"/>
      <w:spacing w:before="100" w:beforeAutospacing="1" w:after="100" w:afterAutospacing="1"/>
    </w:pPr>
  </w:style>
  <w:style w:type="paragraph" w:customStyle="1" w:styleId="tab">
    <w:name w:val="tab"/>
    <w:basedOn w:val="Normal"/>
    <w:pPr>
      <w:spacing w:before="100" w:beforeAutospacing="1" w:after="100" w:afterAutospacing="1"/>
    </w:pPr>
  </w:style>
  <w:style w:type="paragraph" w:customStyle="1" w:styleId="doctrina">
    <w:name w:val="doctrina"/>
    <w:basedOn w:val="Normal"/>
    <w:pPr>
      <w:spacing w:before="100" w:beforeAutospacing="1" w:after="150"/>
      <w:jc w:val="both"/>
    </w:pPr>
    <w:rPr>
      <w:rFonts w:ascii="Arial" w:hAnsi="Arial" w:cs="Arial"/>
      <w:i/>
      <w:iCs/>
      <w:color w:val="000000"/>
    </w:rPr>
  </w:style>
  <w:style w:type="paragraph" w:customStyle="1" w:styleId="linkgroup">
    <w:name w:val="link_group"/>
    <w:basedOn w:val="Normal"/>
    <w:pPr>
      <w:shd w:val="clear" w:color="auto" w:fill="176CFF"/>
      <w:spacing w:before="100" w:beforeAutospacing="1" w:after="100" w:afterAutospacing="1"/>
    </w:pPr>
    <w:rPr>
      <w:rFonts w:ascii="Open Sans" w:hAnsi="Open Sans" w:cs="Open Sans"/>
      <w:b/>
      <w:bCs/>
      <w:color w:val="FFFFFF"/>
      <w:sz w:val="18"/>
      <w:szCs w:val="18"/>
    </w:rPr>
  </w:style>
  <w:style w:type="paragraph" w:customStyle="1" w:styleId="header">
    <w:name w:val="header"/>
    <w:basedOn w:val="Normal"/>
    <w:pPr>
      <w:spacing w:before="100" w:beforeAutospacing="1" w:after="100" w:afterAutospacing="1"/>
    </w:pPr>
    <w:rPr>
      <w:b/>
      <w:bCs/>
    </w:rPr>
  </w:style>
  <w:style w:type="paragraph" w:customStyle="1" w:styleId="panel">
    <w:name w:val="panel"/>
    <w:basedOn w:val="Normal"/>
    <w:pPr>
      <w:spacing w:before="30" w:after="30"/>
      <w:ind w:left="30" w:right="30"/>
    </w:pPr>
  </w:style>
  <w:style w:type="paragraph" w:customStyle="1" w:styleId="container">
    <w:name w:val="container"/>
    <w:basedOn w:val="Normal"/>
    <w:pPr>
      <w:shd w:val="clear" w:color="auto" w:fill="FFFFFF"/>
      <w:spacing w:before="100" w:beforeAutospacing="1" w:after="100" w:afterAutospacing="1"/>
    </w:pPr>
    <w:rPr>
      <w:vanish/>
    </w:rPr>
  </w:style>
  <w:style w:type="paragraph" w:customStyle="1" w:styleId="popup">
    <w:name w:val="popup"/>
    <w:basedOn w:val="Normal"/>
    <w:pPr>
      <w:pBdr>
        <w:left w:val="single" w:sz="24" w:space="0" w:color="CCCCCC"/>
      </w:pBdr>
      <w:spacing w:before="75"/>
      <w:ind w:left="75" w:right="75"/>
    </w:pPr>
  </w:style>
  <w:style w:type="paragraph" w:customStyle="1" w:styleId="tabcont">
    <w:name w:val="tabcont"/>
    <w:basedOn w:val="Normal"/>
    <w:pPr>
      <w:spacing w:before="100" w:beforeAutospacing="1" w:after="100" w:afterAutospacing="1"/>
    </w:pPr>
  </w:style>
  <w:style w:type="paragraph" w:customStyle="1" w:styleId="closebutton">
    <w:name w:val="close_button"/>
    <w:basedOn w:val="Normal"/>
    <w:pPr>
      <w:spacing w:before="100" w:beforeAutospacing="1" w:after="100" w:afterAutospacing="1"/>
    </w:pPr>
    <w:rPr>
      <w:vanish/>
    </w:rPr>
  </w:style>
  <w:style w:type="paragraph" w:customStyle="1" w:styleId="tabs">
    <w:name w:val="tabs"/>
    <w:basedOn w:val="Normal"/>
    <w:pPr>
      <w:spacing w:before="100" w:beforeAutospacing="1" w:after="100" w:afterAutospacing="1"/>
    </w:pPr>
  </w:style>
  <w:style w:type="paragraph" w:customStyle="1" w:styleId="keepbounds">
    <w:name w:val="keepbounds"/>
    <w:basedOn w:val="Normal"/>
    <w:pPr>
      <w:spacing w:before="100" w:beforeAutospacing="1" w:after="100" w:afterAutospacing="1"/>
    </w:pPr>
  </w:style>
  <w:style w:type="paragraph" w:customStyle="1" w:styleId="tablein">
    <w:name w:val="tablein"/>
    <w:basedOn w:val="Normal"/>
    <w:pPr>
      <w:spacing w:before="100" w:beforeAutospacing="1" w:after="100" w:afterAutospacing="1"/>
    </w:pPr>
  </w:style>
  <w:style w:type="paragraph" w:customStyle="1" w:styleId="tablenormal">
    <w:name w:val="tablenormal"/>
    <w:basedOn w:val="Normal"/>
    <w:pPr>
      <w:spacing w:before="100" w:beforeAutospacing="1" w:after="100" w:afterAutospacing="1"/>
    </w:pPr>
  </w:style>
  <w:style w:type="paragraph" w:customStyle="1" w:styleId="cuerpotable">
    <w:name w:val="cuerpo&gt;table"/>
    <w:basedOn w:val="Normal"/>
    <w:pPr>
      <w:spacing w:before="100" w:beforeAutospacing="1" w:after="100" w:afterAutospacing="1"/>
    </w:pPr>
  </w:style>
  <w:style w:type="paragraph" w:customStyle="1" w:styleId="cuadropopup">
    <w:name w:val="cuadro_popup"/>
    <w:basedOn w:val="Normal"/>
    <w:pPr>
      <w:pBdr>
        <w:top w:val="single" w:sz="6" w:space="0" w:color="D6D6D6"/>
        <w:left w:val="single" w:sz="6" w:space="0" w:color="D6D6D6"/>
        <w:bottom w:val="single" w:sz="6" w:space="0" w:color="D6D6D6"/>
        <w:right w:val="single" w:sz="6" w:space="0" w:color="D6D6D6"/>
      </w:pBdr>
      <w:spacing w:before="100" w:beforeAutospacing="1" w:after="100" w:afterAutospacing="1"/>
    </w:pPr>
  </w:style>
  <w:style w:type="paragraph" w:customStyle="1" w:styleId="cuadropopupspanclassclosebtn">
    <w:name w:val="cuadro_popup&gt;span[class=closebtn]"/>
    <w:basedOn w:val="Normal"/>
    <w:pPr>
      <w:spacing w:before="100" w:beforeAutospacing="1" w:after="100" w:afterAutospacing="1"/>
    </w:pPr>
  </w:style>
  <w:style w:type="paragraph" w:customStyle="1" w:styleId="cropimage">
    <w:name w:val="cropimage"/>
    <w:basedOn w:val="Normal"/>
    <w:pPr>
      <w:spacing w:before="100" w:beforeAutospacing="1" w:after="100" w:afterAutospacing="1"/>
    </w:pPr>
  </w:style>
  <w:style w:type="paragraph" w:customStyle="1" w:styleId="cropimagespan">
    <w:name w:val="cropimage&gt;span"/>
    <w:basedOn w:val="Normal"/>
    <w:pPr>
      <w:spacing w:before="100" w:beforeAutospacing="1" w:after="100" w:afterAutospacing="1"/>
    </w:pPr>
    <w:rPr>
      <w:vanish/>
    </w:rPr>
  </w:style>
  <w:style w:type="paragraph" w:customStyle="1" w:styleId="imagen">
    <w:name w:val="imagen"/>
    <w:basedOn w:val="Normal"/>
    <w:pPr>
      <w:spacing w:before="100" w:beforeAutospacing="1" w:after="100" w:afterAutospacing="1"/>
    </w:pPr>
  </w:style>
  <w:style w:type="paragraph" w:customStyle="1" w:styleId="tableinspan">
    <w:name w:val="tablein&gt;span"/>
    <w:basedOn w:val="Normal"/>
    <w:pPr>
      <w:spacing w:before="100" w:beforeAutospacing="1" w:after="100" w:afterAutospacing="1"/>
    </w:pPr>
    <w:rPr>
      <w:vanish/>
    </w:rPr>
  </w:style>
  <w:style w:type="paragraph" w:customStyle="1" w:styleId="closebtn">
    <w:name w:val="closebtn"/>
    <w:basedOn w:val="Normal"/>
    <w:pPr>
      <w:shd w:val="clear" w:color="auto" w:fill="0000FF"/>
      <w:spacing w:before="100" w:beforeAutospacing="1" w:after="100" w:afterAutospacing="1" w:line="375" w:lineRule="atLeast"/>
      <w:jc w:val="center"/>
    </w:pPr>
    <w:rPr>
      <w:rFonts w:ascii="Arial" w:hAnsi="Arial" w:cs="Arial"/>
      <w:color w:val="F5F5F5"/>
      <w:sz w:val="35"/>
      <w:szCs w:val="35"/>
    </w:rPr>
  </w:style>
  <w:style w:type="paragraph" w:customStyle="1" w:styleId="tooltiplink">
    <w:name w:val="tooltip_link"/>
    <w:basedOn w:val="Normal"/>
    <w:pPr>
      <w:shd w:val="clear" w:color="auto" w:fill="D9EDF7"/>
      <w:spacing w:before="100" w:beforeAutospacing="1" w:after="100" w:afterAutospacing="1"/>
      <w:ind w:left="75"/>
    </w:pPr>
    <w:rPr>
      <w:sz w:val="18"/>
      <w:szCs w:val="18"/>
    </w:rPr>
  </w:style>
  <w:style w:type="paragraph" w:customStyle="1" w:styleId="focus">
    <w:name w:val="focus"/>
    <w:basedOn w:val="Normal"/>
    <w:pPr>
      <w:pBdr>
        <w:top w:val="single" w:sz="6" w:space="7" w:color="337AB7"/>
        <w:left w:val="single" w:sz="6" w:space="7" w:color="337AB7"/>
        <w:bottom w:val="single" w:sz="6" w:space="7" w:color="337AB7"/>
        <w:right w:val="single" w:sz="6" w:space="7" w:color="337AB7"/>
      </w:pBdr>
      <w:shd w:val="clear" w:color="auto" w:fill="337AB7"/>
      <w:spacing w:before="100" w:beforeAutospacing="1" w:after="100" w:afterAutospacing="1"/>
    </w:pPr>
  </w:style>
  <w:style w:type="paragraph" w:customStyle="1" w:styleId="body">
    <w:name w:val="body"/>
    <w:basedOn w:val="Normal"/>
    <w:pPr>
      <w:spacing w:before="100" w:beforeAutospacing="1" w:after="100" w:afterAutospacing="1"/>
      <w:ind w:left="150"/>
    </w:pPr>
  </w:style>
  <w:style w:type="paragraph" w:customStyle="1" w:styleId="video-wrapper">
    <w:name w:val="video-wrapper"/>
    <w:basedOn w:val="Normal"/>
    <w:pPr>
      <w:spacing w:before="100" w:beforeAutospacing="1" w:after="100" w:afterAutospacing="1"/>
    </w:pPr>
  </w:style>
  <w:style w:type="paragraph" w:customStyle="1" w:styleId="mark">
    <w:name w:val="mark"/>
    <w:basedOn w:val="Normal"/>
    <w:pPr>
      <w:spacing w:before="100" w:beforeAutospacing="1" w:after="100" w:afterAutospacing="1"/>
    </w:pPr>
  </w:style>
  <w:style w:type="paragraph" w:customStyle="1" w:styleId="note">
    <w:name w:val="note"/>
    <w:basedOn w:val="Normal"/>
    <w:pPr>
      <w:spacing w:before="100" w:beforeAutospacing="1" w:after="100" w:afterAutospacing="1"/>
    </w:pPr>
  </w:style>
  <w:style w:type="paragraph" w:customStyle="1" w:styleId="noteimg">
    <w:name w:val="note&gt;img"/>
    <w:basedOn w:val="Normal"/>
    <w:pPr>
      <w:spacing w:before="100" w:beforeAutospacing="1" w:after="100" w:afterAutospacing="1"/>
    </w:pPr>
  </w:style>
  <w:style w:type="paragraph" w:customStyle="1" w:styleId="is--open">
    <w:name w:val="is--open"/>
    <w:basedOn w:val="Normal"/>
    <w:pPr>
      <w:spacing w:before="100" w:beforeAutospacing="1" w:after="100" w:afterAutospacing="1"/>
    </w:pPr>
  </w:style>
  <w:style w:type="paragraph" w:customStyle="1" w:styleId="containerpag">
    <w:name w:val="containerpag"/>
    <w:basedOn w:val="Normal"/>
    <w:pPr>
      <w:spacing w:before="100" w:beforeAutospacing="1" w:after="100" w:afterAutospacing="1"/>
      <w:jc w:val="center"/>
    </w:pPr>
  </w:style>
  <w:style w:type="paragraph" w:customStyle="1" w:styleId="containerpaga">
    <w:name w:val="containerpag&gt;a"/>
    <w:basedOn w:val="Normal"/>
    <w:pPr>
      <w:spacing w:before="100" w:beforeAutospacing="1" w:after="100" w:afterAutospacing="1" w:line="540" w:lineRule="atLeast"/>
    </w:pPr>
    <w:rPr>
      <w:color w:val="FFFFFF"/>
      <w:sz w:val="21"/>
      <w:szCs w:val="21"/>
    </w:rPr>
  </w:style>
  <w:style w:type="paragraph" w:customStyle="1" w:styleId="video-embeded">
    <w:name w:val="video-embeded"/>
    <w:basedOn w:val="Normal"/>
    <w:pPr>
      <w:spacing w:before="100" w:beforeAutospacing="1" w:after="100" w:afterAutospacing="1"/>
    </w:pPr>
  </w:style>
  <w:style w:type="paragraph" w:customStyle="1" w:styleId="video-title">
    <w:name w:val="video-title"/>
    <w:basedOn w:val="Normal"/>
    <w:pPr>
      <w:spacing w:before="100" w:beforeAutospacing="1" w:after="100" w:afterAutospacing="1"/>
    </w:pPr>
  </w:style>
  <w:style w:type="paragraph" w:customStyle="1" w:styleId="divscroll">
    <w:name w:val="divscroll"/>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player">
    <w:name w:val="player"/>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mark-rose">
    <w:name w:val="mark-rose"/>
    <w:basedOn w:val="Normal"/>
    <w:pPr>
      <w:shd w:val="clear" w:color="auto" w:fill="E89393"/>
      <w:spacing w:before="100" w:beforeAutospacing="1" w:after="100" w:afterAutospacing="1"/>
    </w:pPr>
  </w:style>
  <w:style w:type="paragraph" w:customStyle="1" w:styleId="mark-orange">
    <w:name w:val="mark-orange"/>
    <w:basedOn w:val="Normal"/>
    <w:pPr>
      <w:shd w:val="clear" w:color="auto" w:fill="FFFF00"/>
      <w:spacing w:before="100" w:beforeAutospacing="1" w:after="100" w:afterAutospacing="1"/>
    </w:pPr>
  </w:style>
  <w:style w:type="paragraph" w:customStyle="1" w:styleId="mark-green">
    <w:name w:val="mark-green"/>
    <w:basedOn w:val="Normal"/>
    <w:pPr>
      <w:shd w:val="clear" w:color="auto" w:fill="96EC9D"/>
      <w:spacing w:before="100" w:beforeAutospacing="1" w:after="100" w:afterAutospacing="1"/>
    </w:pPr>
  </w:style>
  <w:style w:type="paragraph" w:customStyle="1" w:styleId="mark-blue">
    <w:name w:val="mark-blue"/>
    <w:basedOn w:val="Normal"/>
    <w:pPr>
      <w:shd w:val="clear" w:color="auto" w:fill="A3D7F5"/>
      <w:spacing w:before="100" w:beforeAutospacing="1" w:after="100" w:afterAutospacing="1"/>
    </w:pPr>
  </w:style>
  <w:style w:type="paragraph" w:customStyle="1" w:styleId="containerpagtabdisabled">
    <w:name w:val="containerpagtabdisabled"/>
    <w:basedOn w:val="Normal"/>
    <w:pPr>
      <w:shd w:val="clear" w:color="auto" w:fill="DDDDDD"/>
      <w:spacing w:before="100" w:beforeAutospacing="1" w:after="100" w:afterAutospacing="1"/>
    </w:pPr>
    <w:rPr>
      <w:color w:val="000000"/>
    </w:rPr>
  </w:style>
  <w:style w:type="character" w:customStyle="1" w:styleId="anchor">
    <w:name w:val="anchor"/>
    <w:basedOn w:val="Fuentedeprrafopredeter"/>
    <w:rPr>
      <w:u w:val="single"/>
    </w:rPr>
  </w:style>
  <w:style w:type="character" w:customStyle="1" w:styleId="separator">
    <w:name w:val="separator"/>
    <w:basedOn w:val="Fuentedeprrafopredeter"/>
  </w:style>
  <w:style w:type="paragraph" w:customStyle="1" w:styleId="active">
    <w:name w:val="active"/>
    <w:basedOn w:val="Normal"/>
    <w:pPr>
      <w:spacing w:before="100" w:beforeAutospacing="1" w:after="100" w:afterAutospacing="1"/>
    </w:pPr>
  </w:style>
  <w:style w:type="paragraph" w:customStyle="1" w:styleId="container1">
    <w:name w:val="container1"/>
    <w:basedOn w:val="Normal"/>
    <w:pPr>
      <w:shd w:val="clear" w:color="auto" w:fill="FFFFFF"/>
      <w:spacing w:before="100" w:beforeAutospacing="1" w:after="100" w:afterAutospacing="1"/>
    </w:pPr>
    <w:rPr>
      <w:vanish/>
    </w:rPr>
  </w:style>
  <w:style w:type="paragraph" w:customStyle="1" w:styleId="closebutton1">
    <w:name w:val="close_button1"/>
    <w:basedOn w:val="Normal"/>
    <w:pPr>
      <w:spacing w:before="100" w:beforeAutospacing="1" w:after="100" w:afterAutospacing="1"/>
    </w:pPr>
    <w:rPr>
      <w:vanish/>
    </w:rPr>
  </w:style>
  <w:style w:type="paragraph" w:customStyle="1" w:styleId="panel1">
    <w:name w:val="panel1"/>
    <w:basedOn w:val="Normal"/>
  </w:style>
  <w:style w:type="paragraph" w:customStyle="1" w:styleId="header1">
    <w:name w:val="header1"/>
    <w:basedOn w:val="Normal"/>
    <w:pPr>
      <w:spacing w:before="100" w:beforeAutospacing="1" w:after="100" w:afterAutospacing="1"/>
    </w:pPr>
    <w:rPr>
      <w:b/>
      <w:bCs/>
      <w:vanish/>
    </w:rPr>
  </w:style>
  <w:style w:type="paragraph" w:customStyle="1" w:styleId="tabcont1">
    <w:name w:val="tabcont1"/>
    <w:basedOn w:val="Normal"/>
    <w:pPr>
      <w:spacing w:before="100" w:beforeAutospacing="1" w:after="100" w:afterAutospacing="1"/>
    </w:pPr>
  </w:style>
  <w:style w:type="paragraph" w:customStyle="1" w:styleId="popup1">
    <w:name w:val="popup1"/>
    <w:basedOn w:val="Normal"/>
    <w:pPr>
      <w:pBdr>
        <w:left w:val="single" w:sz="24" w:space="0" w:color="CCCCCC"/>
      </w:pBdr>
      <w:spacing w:before="75"/>
      <w:ind w:left="75" w:right="75"/>
    </w:pPr>
  </w:style>
  <w:style w:type="paragraph" w:customStyle="1" w:styleId="body1">
    <w:name w:val="body1"/>
    <w:basedOn w:val="Normal"/>
    <w:pPr>
      <w:spacing w:before="100" w:beforeAutospacing="1" w:after="100" w:afterAutospacing="1"/>
      <w:ind w:left="150"/>
    </w:pPr>
  </w:style>
  <w:style w:type="paragraph" w:customStyle="1" w:styleId="body2">
    <w:name w:val="body2"/>
    <w:basedOn w:val="Normal"/>
    <w:pPr>
      <w:spacing w:before="100" w:beforeAutospacing="1"/>
      <w:ind w:left="150"/>
    </w:pPr>
  </w:style>
  <w:style w:type="paragraph" w:customStyle="1" w:styleId="tabcont2">
    <w:name w:val="tabcont2"/>
    <w:basedOn w:val="Normal"/>
    <w:pPr>
      <w:spacing w:before="100" w:beforeAutospacing="1" w:after="100" w:afterAutospacing="1"/>
    </w:pPr>
    <w:rPr>
      <w:vanish/>
    </w:rPr>
  </w:style>
  <w:style w:type="paragraph" w:customStyle="1" w:styleId="tabcont3">
    <w:name w:val="tabcont3"/>
    <w:basedOn w:val="Normal"/>
    <w:pPr>
      <w:spacing w:before="100" w:beforeAutospacing="1" w:after="100" w:afterAutospacing="1"/>
    </w:pPr>
    <w:rPr>
      <w:vanish/>
    </w:rPr>
  </w:style>
  <w:style w:type="paragraph" w:customStyle="1" w:styleId="tabcont4">
    <w:name w:val="tabcont4"/>
    <w:basedOn w:val="Normal"/>
    <w:pPr>
      <w:spacing w:before="100" w:beforeAutospacing="1" w:after="225"/>
      <w:ind w:left="-15"/>
    </w:pPr>
  </w:style>
  <w:style w:type="paragraph" w:customStyle="1" w:styleId="closebutton2">
    <w:name w:val="close_button2"/>
    <w:basedOn w:val="Normal"/>
    <w:pPr>
      <w:spacing w:before="100" w:beforeAutospacing="1" w:after="100" w:afterAutospacing="1"/>
    </w:pPr>
  </w:style>
  <w:style w:type="paragraph" w:customStyle="1" w:styleId="divscroll1">
    <w:name w:val="divscroll1"/>
    <w:basedOn w:val="Normal"/>
    <w:pPr>
      <w:spacing w:before="100" w:beforeAutospacing="1" w:after="100" w:afterAutospacing="1"/>
    </w:pPr>
  </w:style>
  <w:style w:type="paragraph" w:customStyle="1" w:styleId="active1">
    <w:name w:val="active1"/>
    <w:basedOn w:val="Normal"/>
    <w:pPr>
      <w:spacing w:after="100" w:afterAutospacing="1"/>
      <w:ind w:right="120"/>
    </w:pPr>
  </w:style>
  <w:style w:type="paragraph" w:customStyle="1" w:styleId="video-embeded1">
    <w:name w:val="video-embeded1"/>
    <w:basedOn w:val="Normal"/>
    <w:pPr>
      <w:spacing w:before="100" w:beforeAutospacing="1" w:after="100" w:afterAutospacing="1"/>
    </w:pPr>
  </w:style>
  <w:style w:type="paragraph" w:customStyle="1" w:styleId="video-title1">
    <w:name w:val="video-title1"/>
    <w:basedOn w:val="Normal"/>
    <w:pPr>
      <w:spacing w:before="100" w:beforeAutospacing="1" w:after="100" w:afterAutospacing="1"/>
    </w:pPr>
    <w:rPr>
      <w:b/>
      <w:bCs/>
    </w:rPr>
  </w:style>
  <w:style w:type="paragraph" w:customStyle="1" w:styleId="content1">
    <w:name w:val="content1"/>
    <w:basedOn w:val="Normal"/>
    <w:pPr>
      <w:spacing w:before="100" w:beforeAutospacing="1" w:after="100" w:afterAutospacing="1"/>
    </w:pPr>
  </w:style>
  <w:style w:type="paragraph" w:customStyle="1" w:styleId="player1">
    <w:name w:val="player1"/>
    <w:basedOn w:val="Normal"/>
    <w:pPr>
      <w:spacing w:before="100" w:beforeAutospacing="1" w:after="100" w:afterAutospacing="1"/>
    </w:pPr>
  </w:style>
  <w:style w:type="paragraph" w:customStyle="1" w:styleId="title1">
    <w:name w:val="title1"/>
    <w:basedOn w:val="Normal"/>
    <w:pPr>
      <w:shd w:val="clear" w:color="auto" w:fill="007BFF"/>
      <w:spacing w:line="345" w:lineRule="atLeast"/>
      <w:jc w:val="center"/>
    </w:pPr>
    <w:rPr>
      <w:vanish/>
      <w:color w:val="FFFFFF"/>
      <w:sz w:val="39"/>
      <w:szCs w:val="39"/>
    </w:rPr>
  </w:style>
  <w:style w:type="paragraph" w:customStyle="1" w:styleId="close1">
    <w:name w:val="close1"/>
    <w:basedOn w:val="Normal"/>
    <w:pPr>
      <w:shd w:val="clear" w:color="auto" w:fill="336666"/>
      <w:spacing w:before="100" w:beforeAutospacing="1" w:after="100" w:afterAutospacing="1" w:line="525" w:lineRule="atLeast"/>
      <w:jc w:val="center"/>
    </w:pPr>
    <w:rPr>
      <w:b/>
      <w:bCs/>
      <w:color w:val="FFFFFF"/>
      <w:sz w:val="39"/>
      <w:szCs w:val="39"/>
    </w:rPr>
  </w:style>
  <w:style w:type="paragraph" w:customStyle="1" w:styleId="closebutton3">
    <w:name w:val="close_button3"/>
    <w:basedOn w:val="Normal"/>
    <w:pPr>
      <w:spacing w:before="100" w:beforeAutospacing="1" w:after="100" w:afterAutospacing="1"/>
    </w:pPr>
  </w:style>
  <w:style w:type="paragraph" w:customStyle="1" w:styleId="cuadropopup1">
    <w:name w:val="cuadro_popup1"/>
    <w:basedOn w:val="Normal"/>
    <w:pPr>
      <w:pBdr>
        <w:top w:val="single" w:sz="6" w:space="0" w:color="D6D6D6"/>
        <w:left w:val="single" w:sz="6" w:space="0" w:color="D6D6D6"/>
        <w:bottom w:val="single" w:sz="6" w:space="0" w:color="D6D6D6"/>
        <w:right w:val="single" w:sz="6" w:space="0" w:color="D6D6D6"/>
      </w:pBdr>
      <w:spacing w:before="345" w:after="100" w:afterAutospacing="1"/>
    </w:pPr>
  </w:style>
  <w:style w:type="paragraph" w:customStyle="1" w:styleId="active2">
    <w:name w:val="active2"/>
    <w:basedOn w:val="Normal"/>
    <w:pPr>
      <w:spacing w:after="100" w:afterAutospacing="1"/>
      <w:ind w:right="120"/>
    </w:pPr>
  </w:style>
  <w:style w:type="paragraph" w:styleId="NormalWeb">
    <w:name w:val="Normal (Web)"/>
    <w:basedOn w:val="Normal"/>
    <w:uiPriority w:val="99"/>
    <w:semiHidden/>
    <w:unhideWhenUsed/>
    <w:pPr>
      <w:spacing w:before="100" w:beforeAutospacing="1" w:after="100" w:afterAutospacing="1"/>
    </w:p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codigointerno1">
    <w:name w:val="codigointerno1"/>
    <w:basedOn w:val="Fuentedeprrafopredeter"/>
    <w:rPr>
      <w:b/>
      <w:bCs/>
      <w:i w:val="0"/>
      <w:iCs w:val="0"/>
    </w:rPr>
  </w:style>
  <w:style w:type="character" w:styleId="Textoennegrita">
    <w:name w:val="Strong"/>
    <w:basedOn w:val="Fuentedeprrafopredeter"/>
    <w:uiPriority w:val="22"/>
    <w:qFormat/>
    <w:rPr>
      <w:b/>
      <w:bCs/>
    </w:rPr>
  </w:style>
  <w:style w:type="character" w:customStyle="1" w:styleId="superscript1">
    <w:name w:val="superscript1"/>
    <w:basedOn w:val="Fuentedeprrafopredeter"/>
    <w:rPr>
      <w:sz w:val="20"/>
      <w:szCs w:val="20"/>
      <w:vertAlign w:val="superscript"/>
    </w:rPr>
  </w:style>
  <w:style w:type="character" w:customStyle="1" w:styleId="concordancias1">
    <w:name w:val="concordancias1"/>
    <w:basedOn w:val="Fuentedeprrafopredeter"/>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93504">
      <w:marLeft w:val="0"/>
      <w:marRight w:val="0"/>
      <w:marTop w:val="75"/>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7</Pages>
  <Words>2469</Words>
  <Characters>13585</Characters>
  <Application>Microsoft Office Word</Application>
  <DocSecurity>0</DocSecurity>
  <Lines>113</Lines>
  <Paragraphs>32</Paragraphs>
  <ScaleCrop>false</ScaleCrop>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2023-09-12T22:12:00Z</dcterms:created>
  <dcterms:modified xsi:type="dcterms:W3CDTF">2023-09-12T22:12:00Z</dcterms:modified>
</cp:coreProperties>
</file>