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7D515" w14:textId="77777777" w:rsidR="00000000" w:rsidRPr="00F17DAA" w:rsidRDefault="00927DB2">
      <w:pPr>
        <w:pStyle w:val="Ttulo2"/>
        <w:spacing w:before="400" w:beforeAutospacing="0" w:after="400" w:afterAutospacing="0"/>
        <w:rPr>
          <w:rFonts w:ascii="Arial" w:eastAsia="Times New Roman" w:hAnsi="Arial" w:cs="Arial"/>
          <w:color w:val="0D0D0D" w:themeColor="text1" w:themeTint="F2"/>
          <w:sz w:val="28"/>
          <w:szCs w:val="28"/>
          <w:lang w:val="es-ES"/>
        </w:rPr>
      </w:pPr>
      <w:r w:rsidRPr="00F17DAA">
        <w:rPr>
          <w:rFonts w:ascii="Arial" w:eastAsia="Times New Roman" w:hAnsi="Arial" w:cs="Arial"/>
          <w:color w:val="0D0D0D" w:themeColor="text1" w:themeTint="F2"/>
          <w:sz w:val="28"/>
          <w:szCs w:val="28"/>
          <w:lang w:val="es-ES"/>
        </w:rPr>
        <w:t xml:space="preserve">CONTRATO DE PIGNORACIÓN DE RENTAS </w:t>
      </w:r>
    </w:p>
    <w:p w14:paraId="0256778D" w14:textId="25514571" w:rsidR="00000000" w:rsidRPr="00F17DAA" w:rsidRDefault="00927DB2">
      <w:pPr>
        <w:pStyle w:val="nueve"/>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 xml:space="preserve">Entre los suscritos a saber: .........., mayor de edad, identificado con la cédula de ciudadanía </w:t>
      </w:r>
      <w:proofErr w:type="spellStart"/>
      <w:r w:rsidRPr="00F17DAA">
        <w:rPr>
          <w:rFonts w:ascii="Arial" w:hAnsi="Arial" w:cs="Arial"/>
          <w:color w:val="0D0D0D" w:themeColor="text1" w:themeTint="F2"/>
          <w:sz w:val="28"/>
          <w:szCs w:val="28"/>
          <w:lang w:val="es-ES"/>
        </w:rPr>
        <w:t>Nº</w:t>
      </w:r>
      <w:proofErr w:type="spellEnd"/>
      <w:r w:rsidRPr="00F17DAA">
        <w:rPr>
          <w:rFonts w:ascii="Arial" w:hAnsi="Arial" w:cs="Arial"/>
          <w:color w:val="0D0D0D" w:themeColor="text1" w:themeTint="F2"/>
          <w:sz w:val="28"/>
          <w:szCs w:val="28"/>
          <w:lang w:val="es-ES"/>
        </w:rPr>
        <w:t>. .......... de .........., domiciliado y residente en ..........</w:t>
      </w:r>
      <w:r w:rsidRPr="00F17DAA">
        <w:rPr>
          <w:rFonts w:ascii="Arial" w:hAnsi="Arial" w:cs="Arial"/>
          <w:color w:val="0D0D0D" w:themeColor="text1" w:themeTint="F2"/>
          <w:sz w:val="28"/>
          <w:szCs w:val="28"/>
          <w:lang w:val="es-ES"/>
        </w:rPr>
        <w:t xml:space="preserve">, quien en adelante se denominará el DEUDOR PRENDARIO y, .........., mayor de edad identificado con la cédula de ciudadanía </w:t>
      </w:r>
      <w:proofErr w:type="spellStart"/>
      <w:r w:rsidRPr="00F17DAA">
        <w:rPr>
          <w:rFonts w:ascii="Arial" w:hAnsi="Arial" w:cs="Arial"/>
          <w:color w:val="0D0D0D" w:themeColor="text1" w:themeTint="F2"/>
          <w:sz w:val="28"/>
          <w:szCs w:val="28"/>
          <w:lang w:val="es-ES"/>
        </w:rPr>
        <w:t>Nº</w:t>
      </w:r>
      <w:proofErr w:type="spellEnd"/>
      <w:r w:rsidRPr="00F17DAA">
        <w:rPr>
          <w:rFonts w:ascii="Arial" w:hAnsi="Arial" w:cs="Arial"/>
          <w:color w:val="0D0D0D" w:themeColor="text1" w:themeTint="F2"/>
          <w:sz w:val="28"/>
          <w:szCs w:val="28"/>
          <w:lang w:val="es-ES"/>
        </w:rPr>
        <w:t xml:space="preserve"> .......... de .........., quien en adelante se denominará el ACREEDOR PRENDARIO, se ha celebrado el presente contrato de pignorac</w:t>
      </w:r>
      <w:r w:rsidRPr="00F17DAA">
        <w:rPr>
          <w:rFonts w:ascii="Arial" w:hAnsi="Arial" w:cs="Arial"/>
          <w:color w:val="0D0D0D" w:themeColor="text1" w:themeTint="F2"/>
          <w:sz w:val="28"/>
          <w:szCs w:val="28"/>
          <w:lang w:val="es-ES"/>
        </w:rPr>
        <w:t xml:space="preserve">ión de rentas, entendida como la constitución de prenda sobre derechos de crédito existentes en favor del DEUDOR PRENDARIO, el cual se regirá por las normas que regulan la materia y especialmente por las siguientes cláusulas: </w:t>
      </w:r>
      <w:r w:rsidRPr="00F17DAA">
        <w:rPr>
          <w:rStyle w:val="Textoennegrita"/>
          <w:rFonts w:ascii="Arial" w:hAnsi="Arial" w:cs="Arial"/>
          <w:color w:val="0D0D0D" w:themeColor="text1" w:themeTint="F2"/>
          <w:sz w:val="28"/>
          <w:szCs w:val="28"/>
          <w:lang w:val="es-ES"/>
        </w:rPr>
        <w:t xml:space="preserve">PRIMERA. Obligación </w:t>
      </w:r>
      <w:proofErr w:type="gramStart"/>
      <w:r w:rsidRPr="00F17DAA">
        <w:rPr>
          <w:rStyle w:val="Textoennegrita"/>
          <w:rFonts w:ascii="Arial" w:hAnsi="Arial" w:cs="Arial"/>
          <w:color w:val="0D0D0D" w:themeColor="text1" w:themeTint="F2"/>
          <w:sz w:val="28"/>
          <w:szCs w:val="28"/>
          <w:lang w:val="es-ES"/>
        </w:rPr>
        <w:t>garantizad</w:t>
      </w:r>
      <w:r w:rsidRPr="00F17DAA">
        <w:rPr>
          <w:rStyle w:val="Textoennegrita"/>
          <w:rFonts w:ascii="Arial" w:hAnsi="Arial" w:cs="Arial"/>
          <w:color w:val="0D0D0D" w:themeColor="text1" w:themeTint="F2"/>
          <w:sz w:val="28"/>
          <w:szCs w:val="28"/>
          <w:lang w:val="es-ES"/>
        </w:rPr>
        <w:t>a.—</w:t>
      </w:r>
      <w:proofErr w:type="gramEnd"/>
      <w:r w:rsidRPr="00F17DAA">
        <w:rPr>
          <w:rFonts w:ascii="Arial" w:hAnsi="Arial" w:cs="Arial"/>
          <w:color w:val="0D0D0D" w:themeColor="text1" w:themeTint="F2"/>
          <w:sz w:val="28"/>
          <w:szCs w:val="28"/>
          <w:lang w:val="es-ES"/>
        </w:rPr>
        <w:t>El ACREEDOR PRENDARIO le ha otorgado al DEUDOR PRENDARIO un préstamo por la cantidad de .......... ($</w:t>
      </w:r>
      <w:proofErr w:type="gramStart"/>
      <w:r w:rsidRPr="00F17DAA">
        <w:rPr>
          <w:rFonts w:ascii="Arial" w:hAnsi="Arial" w:cs="Arial"/>
          <w:color w:val="0D0D0D" w:themeColor="text1" w:themeTint="F2"/>
          <w:sz w:val="28"/>
          <w:szCs w:val="28"/>
          <w:lang w:val="es-ES"/>
        </w:rPr>
        <w:t xml:space="preserve"> ....</w:t>
      </w:r>
      <w:proofErr w:type="gramEnd"/>
      <w:r w:rsidRPr="00F17DAA">
        <w:rPr>
          <w:rFonts w:ascii="Arial" w:hAnsi="Arial" w:cs="Arial"/>
          <w:color w:val="0D0D0D" w:themeColor="text1" w:themeTint="F2"/>
          <w:sz w:val="28"/>
          <w:szCs w:val="28"/>
          <w:lang w:val="es-ES"/>
        </w:rPr>
        <w:t xml:space="preserve">.) moneda corriente, según consta en el contrato celebrado el (fecha) .........., préstamo contenido en el Pagaré </w:t>
      </w:r>
      <w:proofErr w:type="spellStart"/>
      <w:r w:rsidRPr="00F17DAA">
        <w:rPr>
          <w:rFonts w:ascii="Arial" w:hAnsi="Arial" w:cs="Arial"/>
          <w:color w:val="0D0D0D" w:themeColor="text1" w:themeTint="F2"/>
          <w:sz w:val="28"/>
          <w:szCs w:val="28"/>
          <w:lang w:val="es-ES"/>
        </w:rPr>
        <w:t>Nº</w:t>
      </w:r>
      <w:proofErr w:type="spellEnd"/>
      <w:r w:rsidRPr="00F17DAA">
        <w:rPr>
          <w:rFonts w:ascii="Arial" w:hAnsi="Arial" w:cs="Arial"/>
          <w:color w:val="0D0D0D" w:themeColor="text1" w:themeTint="F2"/>
          <w:sz w:val="28"/>
          <w:szCs w:val="28"/>
          <w:lang w:val="es-ES"/>
        </w:rPr>
        <w:t xml:space="preserve"> ..... otorgado el (fecha) ....</w:t>
      </w:r>
      <w:r w:rsidRPr="00F17DAA">
        <w:rPr>
          <w:rFonts w:ascii="Arial" w:hAnsi="Arial" w:cs="Arial"/>
          <w:color w:val="0D0D0D" w:themeColor="text1" w:themeTint="F2"/>
          <w:sz w:val="28"/>
          <w:szCs w:val="28"/>
          <w:lang w:val="es-ES"/>
        </w:rPr>
        <w:t xml:space="preserve">...... y con fecha de vencimiento final el .......... </w:t>
      </w:r>
      <w:r w:rsidRPr="00F17DAA">
        <w:rPr>
          <w:rStyle w:val="Textoennegrita"/>
          <w:rFonts w:ascii="Arial" w:hAnsi="Arial" w:cs="Arial"/>
          <w:color w:val="0D0D0D" w:themeColor="text1" w:themeTint="F2"/>
          <w:sz w:val="28"/>
          <w:szCs w:val="28"/>
          <w:lang w:val="es-ES"/>
        </w:rPr>
        <w:t xml:space="preserve">SEGUNDA. Derechos de crédito </w:t>
      </w:r>
      <w:proofErr w:type="gramStart"/>
      <w:r w:rsidRPr="00F17DAA">
        <w:rPr>
          <w:rStyle w:val="Textoennegrita"/>
          <w:rFonts w:ascii="Arial" w:hAnsi="Arial" w:cs="Arial"/>
          <w:color w:val="0D0D0D" w:themeColor="text1" w:themeTint="F2"/>
          <w:sz w:val="28"/>
          <w:szCs w:val="28"/>
          <w:lang w:val="es-ES"/>
        </w:rPr>
        <w:t>pignorados.—</w:t>
      </w:r>
      <w:proofErr w:type="gramEnd"/>
      <w:r w:rsidRPr="00F17DAA">
        <w:rPr>
          <w:rFonts w:ascii="Arial" w:hAnsi="Arial" w:cs="Arial"/>
          <w:color w:val="0D0D0D" w:themeColor="text1" w:themeTint="F2"/>
          <w:sz w:val="28"/>
          <w:szCs w:val="28"/>
          <w:lang w:val="es-ES"/>
        </w:rPr>
        <w:t>Para garantizar la anterior operación, además de las responsabilidades personales, el DEUDOR PRENDARIO pignora a favor del ACREEDOR PRENDARIO y durante el tiempo</w:t>
      </w:r>
      <w:r w:rsidRPr="00F17DAA">
        <w:rPr>
          <w:rFonts w:ascii="Arial" w:hAnsi="Arial" w:cs="Arial"/>
          <w:color w:val="0D0D0D" w:themeColor="text1" w:themeTint="F2"/>
          <w:sz w:val="28"/>
          <w:szCs w:val="28"/>
          <w:lang w:val="es-ES"/>
        </w:rPr>
        <w:t xml:space="preserve"> que tenga obligaciones a su cargo por este crédito, los derechos de crédito que tiene a su favor por concepto de ..........</w:t>
      </w:r>
      <w:r w:rsidRPr="00F17DAA">
        <w:rPr>
          <w:rFonts w:ascii="Arial" w:hAnsi="Arial" w:cs="Arial"/>
          <w:color w:val="0D0D0D" w:themeColor="text1" w:themeTint="F2"/>
          <w:sz w:val="28"/>
          <w:szCs w:val="28"/>
          <w:lang w:val="es-ES"/>
        </w:rPr>
        <w:t xml:space="preserve"> </w:t>
      </w:r>
      <w:r w:rsidRPr="00F17DAA">
        <w:rPr>
          <w:rStyle w:val="anchor"/>
          <w:rFonts w:ascii="Arial" w:hAnsi="Arial" w:cs="Arial"/>
          <w:color w:val="0D0D0D" w:themeColor="text1" w:themeTint="F2"/>
          <w:sz w:val="28"/>
          <w:szCs w:val="28"/>
          <w:lang w:val="es-ES"/>
        </w:rPr>
        <w:t>(1</w:t>
      </w:r>
      <w:r w:rsidRPr="00F17DAA">
        <w:rPr>
          <w:rStyle w:val="anchor"/>
          <w:rFonts w:ascii="Arial" w:hAnsi="Arial" w:cs="Arial"/>
          <w:color w:val="0D0D0D" w:themeColor="text1" w:themeTint="F2"/>
          <w:sz w:val="28"/>
          <w:szCs w:val="28"/>
          <w:lang w:val="es-ES"/>
        </w:rPr>
        <w:t>)</w:t>
      </w:r>
      <w:r w:rsidRPr="00F17DAA">
        <w:rPr>
          <w:rFonts w:ascii="Arial" w:hAnsi="Arial" w:cs="Arial"/>
          <w:color w:val="0D0D0D" w:themeColor="text1" w:themeTint="F2"/>
          <w:sz w:val="28"/>
          <w:szCs w:val="28"/>
          <w:lang w:val="es-ES"/>
        </w:rPr>
        <w:t xml:space="preserve">. </w:t>
      </w:r>
      <w:r w:rsidRPr="00F17DAA">
        <w:rPr>
          <w:rStyle w:val="Textoennegrita"/>
          <w:rFonts w:ascii="Arial" w:hAnsi="Arial" w:cs="Arial"/>
          <w:color w:val="0D0D0D" w:themeColor="text1" w:themeTint="F2"/>
          <w:sz w:val="28"/>
          <w:szCs w:val="28"/>
          <w:lang w:val="es-ES"/>
        </w:rPr>
        <w:t xml:space="preserve">TERCERA. Notificación del </w:t>
      </w:r>
      <w:proofErr w:type="gramStart"/>
      <w:r w:rsidRPr="00F17DAA">
        <w:rPr>
          <w:rStyle w:val="Textoennegrita"/>
          <w:rFonts w:ascii="Arial" w:hAnsi="Arial" w:cs="Arial"/>
          <w:color w:val="0D0D0D" w:themeColor="text1" w:themeTint="F2"/>
          <w:sz w:val="28"/>
          <w:szCs w:val="28"/>
          <w:lang w:val="es-ES"/>
        </w:rPr>
        <w:t>gravamen.—</w:t>
      </w:r>
      <w:proofErr w:type="gramEnd"/>
      <w:r w:rsidRPr="00F17DAA">
        <w:rPr>
          <w:rFonts w:ascii="Arial" w:hAnsi="Arial" w:cs="Arial"/>
          <w:color w:val="0D0D0D" w:themeColor="text1" w:themeTint="F2"/>
          <w:sz w:val="28"/>
          <w:szCs w:val="28"/>
          <w:lang w:val="es-ES"/>
        </w:rPr>
        <w:t>El DEUDOR PRENDARIO se obliga a notificar el gravamen constituido por el presente document</w:t>
      </w:r>
      <w:r w:rsidRPr="00F17DAA">
        <w:rPr>
          <w:rFonts w:ascii="Arial" w:hAnsi="Arial" w:cs="Arial"/>
          <w:color w:val="0D0D0D" w:themeColor="text1" w:themeTint="F2"/>
          <w:sz w:val="28"/>
          <w:szCs w:val="28"/>
          <w:lang w:val="es-ES"/>
        </w:rPr>
        <w:t>o al deudor del crédito pignorado a más tardar el (fecha) .........., a efecto de que este último continúe pagando los cánones pignorados al ACREEDOR PRENDARIO</w:t>
      </w:r>
      <w:r w:rsidRPr="00F17DAA">
        <w:rPr>
          <w:rFonts w:ascii="Arial" w:hAnsi="Arial" w:cs="Arial"/>
          <w:color w:val="0D0D0D" w:themeColor="text1" w:themeTint="F2"/>
          <w:sz w:val="28"/>
          <w:szCs w:val="28"/>
          <w:lang w:val="es-ES"/>
        </w:rPr>
        <w:t xml:space="preserve"> </w:t>
      </w:r>
      <w:r w:rsidRPr="00F17DAA">
        <w:rPr>
          <w:rStyle w:val="anchor"/>
          <w:rFonts w:ascii="Arial" w:hAnsi="Arial" w:cs="Arial"/>
          <w:color w:val="0D0D0D" w:themeColor="text1" w:themeTint="F2"/>
          <w:sz w:val="28"/>
          <w:szCs w:val="28"/>
          <w:lang w:val="es-ES"/>
        </w:rPr>
        <w:t>(2</w:t>
      </w:r>
      <w:r w:rsidRPr="00F17DAA">
        <w:rPr>
          <w:rStyle w:val="anchor"/>
          <w:rFonts w:ascii="Arial" w:hAnsi="Arial" w:cs="Arial"/>
          <w:color w:val="0D0D0D" w:themeColor="text1" w:themeTint="F2"/>
          <w:sz w:val="28"/>
          <w:szCs w:val="28"/>
          <w:lang w:val="es-ES"/>
        </w:rPr>
        <w:t>)</w:t>
      </w:r>
      <w:r w:rsidRPr="00F17DAA">
        <w:rPr>
          <w:rFonts w:ascii="Arial" w:hAnsi="Arial" w:cs="Arial"/>
          <w:color w:val="0D0D0D" w:themeColor="text1" w:themeTint="F2"/>
          <w:sz w:val="28"/>
          <w:szCs w:val="28"/>
          <w:lang w:val="es-ES"/>
        </w:rPr>
        <w:t xml:space="preserve">. </w:t>
      </w:r>
      <w:r w:rsidRPr="00F17DAA">
        <w:rPr>
          <w:rStyle w:val="Textoennegrita"/>
          <w:rFonts w:ascii="Arial" w:hAnsi="Arial" w:cs="Arial"/>
          <w:color w:val="0D0D0D" w:themeColor="text1" w:themeTint="F2"/>
          <w:sz w:val="28"/>
          <w:szCs w:val="28"/>
          <w:lang w:val="es-ES"/>
        </w:rPr>
        <w:t xml:space="preserve">CUARTA. Entrega del crédito </w:t>
      </w:r>
      <w:proofErr w:type="gramStart"/>
      <w:r w:rsidRPr="00F17DAA">
        <w:rPr>
          <w:rStyle w:val="Textoennegrita"/>
          <w:rFonts w:ascii="Arial" w:hAnsi="Arial" w:cs="Arial"/>
          <w:color w:val="0D0D0D" w:themeColor="text1" w:themeTint="F2"/>
          <w:sz w:val="28"/>
          <w:szCs w:val="28"/>
          <w:lang w:val="es-ES"/>
        </w:rPr>
        <w:t>pignorado.—</w:t>
      </w:r>
      <w:proofErr w:type="gramEnd"/>
      <w:r w:rsidRPr="00F17DAA">
        <w:rPr>
          <w:rFonts w:ascii="Arial" w:hAnsi="Arial" w:cs="Arial"/>
          <w:color w:val="0D0D0D" w:themeColor="text1" w:themeTint="F2"/>
          <w:sz w:val="28"/>
          <w:szCs w:val="28"/>
          <w:lang w:val="es-ES"/>
        </w:rPr>
        <w:t xml:space="preserve">El DEUDOR PRENDARIO deja constancia de que ha hecho </w:t>
      </w:r>
      <w:r w:rsidRPr="00F17DAA">
        <w:rPr>
          <w:rFonts w:ascii="Arial" w:hAnsi="Arial" w:cs="Arial"/>
          <w:color w:val="0D0D0D" w:themeColor="text1" w:themeTint="F2"/>
          <w:sz w:val="28"/>
          <w:szCs w:val="28"/>
          <w:lang w:val="es-ES"/>
        </w:rPr>
        <w:t xml:space="preserve">entrega al ACREEDOR PRENDARIO del título que documenta el derecho objeto de la prenda, el cual se encuentra identificado de la siguiente manera: ........... </w:t>
      </w:r>
      <w:r w:rsidRPr="00F17DAA">
        <w:rPr>
          <w:rStyle w:val="Textoennegrita"/>
          <w:rFonts w:ascii="Arial" w:hAnsi="Arial" w:cs="Arial"/>
          <w:color w:val="0D0D0D" w:themeColor="text1" w:themeTint="F2"/>
          <w:sz w:val="28"/>
          <w:szCs w:val="28"/>
          <w:lang w:val="es-ES"/>
        </w:rPr>
        <w:t xml:space="preserve">QUINTA. Recaudo de los </w:t>
      </w:r>
      <w:proofErr w:type="gramStart"/>
      <w:r w:rsidRPr="00F17DAA">
        <w:rPr>
          <w:rStyle w:val="Textoennegrita"/>
          <w:rFonts w:ascii="Arial" w:hAnsi="Arial" w:cs="Arial"/>
          <w:color w:val="0D0D0D" w:themeColor="text1" w:themeTint="F2"/>
          <w:sz w:val="28"/>
          <w:szCs w:val="28"/>
          <w:lang w:val="es-ES"/>
        </w:rPr>
        <w:t>cánones.—</w:t>
      </w:r>
      <w:proofErr w:type="gramEnd"/>
      <w:r w:rsidRPr="00F17DAA">
        <w:rPr>
          <w:rFonts w:ascii="Arial" w:hAnsi="Arial" w:cs="Arial"/>
          <w:color w:val="0D0D0D" w:themeColor="text1" w:themeTint="F2"/>
          <w:sz w:val="28"/>
          <w:szCs w:val="28"/>
          <w:lang w:val="es-ES"/>
        </w:rPr>
        <w:t>Corresponde al ACREEDOR PRENDARIO efectuar el recaudo de los cánone</w:t>
      </w:r>
      <w:r w:rsidRPr="00F17DAA">
        <w:rPr>
          <w:rFonts w:ascii="Arial" w:hAnsi="Arial" w:cs="Arial"/>
          <w:color w:val="0D0D0D" w:themeColor="text1" w:themeTint="F2"/>
          <w:sz w:val="28"/>
          <w:szCs w:val="28"/>
          <w:lang w:val="es-ES"/>
        </w:rPr>
        <w:t>s pignorados, razón por la cual éste adelantará las gestiones de cobro oportuno de las rentas en cuestión</w:t>
      </w:r>
      <w:r w:rsidRPr="00F17DAA">
        <w:rPr>
          <w:rFonts w:ascii="Arial" w:hAnsi="Arial" w:cs="Arial"/>
          <w:color w:val="0D0D0D" w:themeColor="text1" w:themeTint="F2"/>
          <w:sz w:val="28"/>
          <w:szCs w:val="28"/>
          <w:lang w:val="es-ES"/>
        </w:rPr>
        <w:t xml:space="preserve"> </w:t>
      </w:r>
      <w:r w:rsidRPr="00F17DAA">
        <w:rPr>
          <w:rStyle w:val="anchor"/>
          <w:rFonts w:ascii="Arial" w:hAnsi="Arial" w:cs="Arial"/>
          <w:color w:val="0D0D0D" w:themeColor="text1" w:themeTint="F2"/>
          <w:sz w:val="28"/>
          <w:szCs w:val="28"/>
          <w:lang w:val="es-ES"/>
        </w:rPr>
        <w:t>(3</w:t>
      </w:r>
      <w:r w:rsidRPr="00F17DAA">
        <w:rPr>
          <w:rStyle w:val="anchor"/>
          <w:rFonts w:ascii="Arial" w:hAnsi="Arial" w:cs="Arial"/>
          <w:color w:val="0D0D0D" w:themeColor="text1" w:themeTint="F2"/>
          <w:sz w:val="28"/>
          <w:szCs w:val="28"/>
          <w:lang w:val="es-ES"/>
        </w:rPr>
        <w:t>)</w:t>
      </w:r>
      <w:r w:rsidRPr="00F17DAA">
        <w:rPr>
          <w:rFonts w:ascii="Arial" w:hAnsi="Arial" w:cs="Arial"/>
          <w:color w:val="0D0D0D" w:themeColor="text1" w:themeTint="F2"/>
          <w:sz w:val="28"/>
          <w:szCs w:val="28"/>
          <w:lang w:val="es-ES"/>
        </w:rPr>
        <w:t xml:space="preserve">. </w:t>
      </w:r>
      <w:r w:rsidRPr="00F17DAA">
        <w:rPr>
          <w:rStyle w:val="Textoennegrita"/>
          <w:rFonts w:ascii="Arial" w:hAnsi="Arial" w:cs="Arial"/>
          <w:color w:val="0D0D0D" w:themeColor="text1" w:themeTint="F2"/>
          <w:sz w:val="28"/>
          <w:szCs w:val="28"/>
          <w:lang w:val="es-ES"/>
        </w:rPr>
        <w:t xml:space="preserve">SEXTA. Custodia del dinero recibido por el pago de los </w:t>
      </w:r>
      <w:proofErr w:type="gramStart"/>
      <w:r w:rsidRPr="00F17DAA">
        <w:rPr>
          <w:rStyle w:val="Textoennegrita"/>
          <w:rFonts w:ascii="Arial" w:hAnsi="Arial" w:cs="Arial"/>
          <w:color w:val="0D0D0D" w:themeColor="text1" w:themeTint="F2"/>
          <w:sz w:val="28"/>
          <w:szCs w:val="28"/>
          <w:lang w:val="es-ES"/>
        </w:rPr>
        <w:t>cánones.—</w:t>
      </w:r>
      <w:proofErr w:type="gramEnd"/>
      <w:r w:rsidRPr="00F17DAA">
        <w:rPr>
          <w:rFonts w:ascii="Arial" w:hAnsi="Arial" w:cs="Arial"/>
          <w:color w:val="0D0D0D" w:themeColor="text1" w:themeTint="F2"/>
          <w:sz w:val="28"/>
          <w:szCs w:val="28"/>
          <w:lang w:val="es-ES"/>
        </w:rPr>
        <w:t>El ACREEDOR PRENDARIO se obliga a mantener en custodia los dineros provenientes d</w:t>
      </w:r>
      <w:r w:rsidRPr="00F17DAA">
        <w:rPr>
          <w:rFonts w:ascii="Arial" w:hAnsi="Arial" w:cs="Arial"/>
          <w:color w:val="0D0D0D" w:themeColor="text1" w:themeTint="F2"/>
          <w:sz w:val="28"/>
          <w:szCs w:val="28"/>
          <w:lang w:val="es-ES"/>
        </w:rPr>
        <w:t xml:space="preserve">el pago de las rentas pignoradas durante el lapso que precede los vencimientos de la obligación garantizada. Para tal efecto, se abrirá una cuenta especial de ahorros </w:t>
      </w:r>
      <w:r w:rsidRPr="00F17DAA">
        <w:rPr>
          <w:rFonts w:ascii="Arial" w:hAnsi="Arial" w:cs="Arial"/>
          <w:color w:val="0D0D0D" w:themeColor="text1" w:themeTint="F2"/>
          <w:sz w:val="28"/>
          <w:szCs w:val="28"/>
          <w:lang w:val="es-ES"/>
        </w:rPr>
        <w:lastRenderedPageBreak/>
        <w:t>en la cual se depositarán los valores recibidos. Una vez vencida la obligación garantizad</w:t>
      </w:r>
      <w:r w:rsidRPr="00F17DAA">
        <w:rPr>
          <w:rFonts w:ascii="Arial" w:hAnsi="Arial" w:cs="Arial"/>
          <w:color w:val="0D0D0D" w:themeColor="text1" w:themeTint="F2"/>
          <w:sz w:val="28"/>
          <w:szCs w:val="28"/>
          <w:lang w:val="es-ES"/>
        </w:rPr>
        <w:t>a, la suma que subroga al crédito pignorado podrá ser aplicada por el ACREEDOR PRENDARIO a la satisfacción de la obligación, en los términos del artículo 1173 del Código de Comercio</w:t>
      </w:r>
      <w:r w:rsidRPr="00F17DAA">
        <w:rPr>
          <w:rFonts w:ascii="Arial" w:hAnsi="Arial" w:cs="Arial"/>
          <w:color w:val="0D0D0D" w:themeColor="text1" w:themeTint="F2"/>
          <w:sz w:val="28"/>
          <w:szCs w:val="28"/>
          <w:lang w:val="es-ES"/>
        </w:rPr>
        <w:t xml:space="preserve"> </w:t>
      </w:r>
      <w:r w:rsidRPr="00F17DAA">
        <w:rPr>
          <w:rStyle w:val="anchor"/>
          <w:rFonts w:ascii="Arial" w:hAnsi="Arial" w:cs="Arial"/>
          <w:color w:val="0D0D0D" w:themeColor="text1" w:themeTint="F2"/>
          <w:sz w:val="28"/>
          <w:szCs w:val="28"/>
          <w:lang w:val="es-ES"/>
        </w:rPr>
        <w:t>(4</w:t>
      </w:r>
      <w:r w:rsidRPr="00F17DAA">
        <w:rPr>
          <w:rStyle w:val="anchor"/>
          <w:rFonts w:ascii="Arial" w:hAnsi="Arial" w:cs="Arial"/>
          <w:color w:val="0D0D0D" w:themeColor="text1" w:themeTint="F2"/>
          <w:sz w:val="28"/>
          <w:szCs w:val="28"/>
          <w:lang w:val="es-ES"/>
        </w:rPr>
        <w:t>)</w:t>
      </w:r>
      <w:r w:rsidRPr="00F17DAA">
        <w:rPr>
          <w:rFonts w:ascii="Arial" w:hAnsi="Arial" w:cs="Arial"/>
          <w:color w:val="0D0D0D" w:themeColor="text1" w:themeTint="F2"/>
          <w:sz w:val="28"/>
          <w:szCs w:val="28"/>
          <w:lang w:val="es-ES"/>
        </w:rPr>
        <w:t>. El ACREEDOR PRENDARIO estará obligado a restituir las sumas que exced</w:t>
      </w:r>
      <w:r w:rsidRPr="00F17DAA">
        <w:rPr>
          <w:rFonts w:ascii="Arial" w:hAnsi="Arial" w:cs="Arial"/>
          <w:color w:val="0D0D0D" w:themeColor="text1" w:themeTint="F2"/>
          <w:sz w:val="28"/>
          <w:szCs w:val="28"/>
          <w:lang w:val="es-ES"/>
        </w:rPr>
        <w:t xml:space="preserve">an el valor del crédito garantizado. </w:t>
      </w:r>
      <w:r w:rsidRPr="00F17DAA">
        <w:rPr>
          <w:rStyle w:val="Textoennegrita"/>
          <w:rFonts w:ascii="Arial" w:hAnsi="Arial" w:cs="Arial"/>
          <w:color w:val="0D0D0D" w:themeColor="text1" w:themeTint="F2"/>
          <w:sz w:val="28"/>
          <w:szCs w:val="28"/>
          <w:lang w:val="es-ES"/>
        </w:rPr>
        <w:t xml:space="preserve">SÉPTIMA. </w:t>
      </w:r>
      <w:proofErr w:type="gramStart"/>
      <w:r w:rsidRPr="00F17DAA">
        <w:rPr>
          <w:rStyle w:val="Textoennegrita"/>
          <w:rFonts w:ascii="Arial" w:hAnsi="Arial" w:cs="Arial"/>
          <w:color w:val="0D0D0D" w:themeColor="text1" w:themeTint="F2"/>
          <w:sz w:val="28"/>
          <w:szCs w:val="28"/>
          <w:lang w:val="es-ES"/>
        </w:rPr>
        <w:t>Cesión.—</w:t>
      </w:r>
      <w:proofErr w:type="gramEnd"/>
      <w:r w:rsidRPr="00F17DAA">
        <w:rPr>
          <w:rFonts w:ascii="Arial" w:hAnsi="Arial" w:cs="Arial"/>
          <w:color w:val="0D0D0D" w:themeColor="text1" w:themeTint="F2"/>
          <w:sz w:val="28"/>
          <w:szCs w:val="28"/>
          <w:lang w:val="es-ES"/>
        </w:rPr>
        <w:t xml:space="preserve">El DEUDOR PRENDARIO acepta desde ahora cualquier cesión que el ACREEDOR PRENDARIO haga del contrato de empréstito, del pagaré y de la garantía prendaria aquí contenida a cualquier persona, previo aviso </w:t>
      </w:r>
      <w:r w:rsidRPr="00F17DAA">
        <w:rPr>
          <w:rFonts w:ascii="Arial" w:hAnsi="Arial" w:cs="Arial"/>
          <w:color w:val="0D0D0D" w:themeColor="text1" w:themeTint="F2"/>
          <w:sz w:val="28"/>
          <w:szCs w:val="28"/>
          <w:lang w:val="es-ES"/>
        </w:rPr>
        <w:t xml:space="preserve">del ACREEDOR PRENDARIO. </w:t>
      </w:r>
      <w:r w:rsidRPr="00F17DAA">
        <w:rPr>
          <w:rStyle w:val="Textoennegrita"/>
          <w:rFonts w:ascii="Arial" w:hAnsi="Arial" w:cs="Arial"/>
          <w:color w:val="0D0D0D" w:themeColor="text1" w:themeTint="F2"/>
          <w:sz w:val="28"/>
          <w:szCs w:val="28"/>
          <w:lang w:val="es-ES"/>
        </w:rPr>
        <w:t xml:space="preserve">OCTAVA. Cláusula </w:t>
      </w:r>
      <w:proofErr w:type="gramStart"/>
      <w:r w:rsidRPr="00F17DAA">
        <w:rPr>
          <w:rStyle w:val="Textoennegrita"/>
          <w:rFonts w:ascii="Arial" w:hAnsi="Arial" w:cs="Arial"/>
          <w:color w:val="0D0D0D" w:themeColor="text1" w:themeTint="F2"/>
          <w:sz w:val="28"/>
          <w:szCs w:val="28"/>
          <w:lang w:val="es-ES"/>
        </w:rPr>
        <w:t>aceleratoria.—</w:t>
      </w:r>
      <w:proofErr w:type="gramEnd"/>
      <w:r w:rsidRPr="00F17DAA">
        <w:rPr>
          <w:rFonts w:ascii="Arial" w:hAnsi="Arial" w:cs="Arial"/>
          <w:color w:val="0D0D0D" w:themeColor="text1" w:themeTint="F2"/>
          <w:sz w:val="28"/>
          <w:szCs w:val="28"/>
          <w:lang w:val="es-ES"/>
        </w:rPr>
        <w:t>El ACREEDOR PRENDARIO declarará vencido el plazo y exigirá el pago de la totalidad de las obligaciones junto con sus intereses, cuando el DEUDOR PRENDARIO no cumpla con los compromisos adquiridos por e</w:t>
      </w:r>
      <w:r w:rsidRPr="00F17DAA">
        <w:rPr>
          <w:rFonts w:ascii="Arial" w:hAnsi="Arial" w:cs="Arial"/>
          <w:color w:val="0D0D0D" w:themeColor="text1" w:themeTint="F2"/>
          <w:sz w:val="28"/>
          <w:szCs w:val="28"/>
          <w:lang w:val="es-ES"/>
        </w:rPr>
        <w:t xml:space="preserve">ste contrato, o con las obligaciones garantizadas por el presente convenio, sin necesidad de requerimiento previo. </w:t>
      </w:r>
      <w:r w:rsidRPr="00F17DAA">
        <w:rPr>
          <w:rStyle w:val="Textoennegrita"/>
          <w:rFonts w:ascii="Arial" w:hAnsi="Arial" w:cs="Arial"/>
          <w:color w:val="0D0D0D" w:themeColor="text1" w:themeTint="F2"/>
          <w:sz w:val="28"/>
          <w:szCs w:val="28"/>
          <w:lang w:val="es-ES"/>
        </w:rPr>
        <w:t xml:space="preserve">NOVENA. Satisfacción de la obligación </w:t>
      </w:r>
      <w:proofErr w:type="gramStart"/>
      <w:r w:rsidRPr="00F17DAA">
        <w:rPr>
          <w:rStyle w:val="Textoennegrita"/>
          <w:rFonts w:ascii="Arial" w:hAnsi="Arial" w:cs="Arial"/>
          <w:color w:val="0D0D0D" w:themeColor="text1" w:themeTint="F2"/>
          <w:sz w:val="28"/>
          <w:szCs w:val="28"/>
          <w:lang w:val="es-ES"/>
        </w:rPr>
        <w:t>garantizada.—</w:t>
      </w:r>
      <w:proofErr w:type="gramEnd"/>
      <w:r w:rsidRPr="00F17DAA">
        <w:rPr>
          <w:rFonts w:ascii="Arial" w:hAnsi="Arial" w:cs="Arial"/>
          <w:color w:val="0D0D0D" w:themeColor="text1" w:themeTint="F2"/>
          <w:sz w:val="28"/>
          <w:szCs w:val="28"/>
          <w:lang w:val="es-ES"/>
        </w:rPr>
        <w:t xml:space="preserve">EL DEUDOR PRENDARIO declara que la constitución de la prenda no lo exime de la obligación </w:t>
      </w:r>
      <w:r w:rsidRPr="00F17DAA">
        <w:rPr>
          <w:rFonts w:ascii="Arial" w:hAnsi="Arial" w:cs="Arial"/>
          <w:color w:val="0D0D0D" w:themeColor="text1" w:themeTint="F2"/>
          <w:sz w:val="28"/>
          <w:szCs w:val="28"/>
          <w:lang w:val="es-ES"/>
        </w:rPr>
        <w:t>de atender directa y cumplidamente el pago del crédito al ACREEDOR PRENDARIO, quedando comprometido a completar el valor de las cuotas a capital e intereses para la amortización, en caso de que los dineros provenientes del derecho de crédito pignorado resu</w:t>
      </w:r>
      <w:r w:rsidRPr="00F17DAA">
        <w:rPr>
          <w:rFonts w:ascii="Arial" w:hAnsi="Arial" w:cs="Arial"/>
          <w:color w:val="0D0D0D" w:themeColor="text1" w:themeTint="F2"/>
          <w:sz w:val="28"/>
          <w:szCs w:val="28"/>
          <w:lang w:val="es-ES"/>
        </w:rPr>
        <w:t xml:space="preserve">ltaren insuficientes. </w:t>
      </w:r>
      <w:r w:rsidRPr="00F17DAA">
        <w:rPr>
          <w:rStyle w:val="Textoennegrita"/>
          <w:rFonts w:ascii="Arial" w:hAnsi="Arial" w:cs="Arial"/>
          <w:color w:val="0D0D0D" w:themeColor="text1" w:themeTint="F2"/>
          <w:sz w:val="28"/>
          <w:szCs w:val="28"/>
          <w:lang w:val="es-ES"/>
        </w:rPr>
        <w:t xml:space="preserve">DÉCIMA. Cláusula </w:t>
      </w:r>
      <w:proofErr w:type="gramStart"/>
      <w:r w:rsidRPr="00F17DAA">
        <w:rPr>
          <w:rStyle w:val="Textoennegrita"/>
          <w:rFonts w:ascii="Arial" w:hAnsi="Arial" w:cs="Arial"/>
          <w:color w:val="0D0D0D" w:themeColor="text1" w:themeTint="F2"/>
          <w:sz w:val="28"/>
          <w:szCs w:val="28"/>
          <w:lang w:val="es-ES"/>
        </w:rPr>
        <w:t>compromisoria.—</w:t>
      </w:r>
      <w:proofErr w:type="gramEnd"/>
      <w:r w:rsidRPr="00F17DAA">
        <w:rPr>
          <w:rFonts w:ascii="Arial" w:hAnsi="Arial" w:cs="Arial"/>
          <w:color w:val="0D0D0D" w:themeColor="text1" w:themeTint="F2"/>
          <w:sz w:val="28"/>
          <w:szCs w:val="28"/>
          <w:lang w:val="es-ES"/>
        </w:rPr>
        <w:t xml:space="preserve"> Toda controversia o diferencia que pueda surgir con ocasión de este contrato, su ejecución y liquidación, se resolverá por un tribunal de arbitramento, de acuerdo con la Ley 1563 de 2012, para lo cual </w:t>
      </w:r>
      <w:r w:rsidRPr="00F17DAA">
        <w:rPr>
          <w:rFonts w:ascii="Arial" w:hAnsi="Arial" w:cs="Arial"/>
          <w:color w:val="0D0D0D" w:themeColor="text1" w:themeTint="F2"/>
          <w:sz w:val="28"/>
          <w:szCs w:val="28"/>
          <w:lang w:val="es-ES"/>
        </w:rPr>
        <w:t>se establecen las siguientes reglas: a) El tipo de arbitraje que se adoptará es .......... (independiente, institucional o legal), por tanto, el procedimiento establecido para este caso es ..........; b) El tribunal estará integrado por.........tres (3) ár</w:t>
      </w:r>
      <w:r w:rsidRPr="00F17DAA">
        <w:rPr>
          <w:rFonts w:ascii="Arial" w:hAnsi="Arial" w:cs="Arial"/>
          <w:color w:val="0D0D0D" w:themeColor="text1" w:themeTint="F2"/>
          <w:sz w:val="28"/>
          <w:szCs w:val="28"/>
          <w:lang w:val="es-ES"/>
        </w:rPr>
        <w:t xml:space="preserve">bitros, salvo que el asunto a debatir sea de menor cuantía caso en el cual el </w:t>
      </w:r>
      <w:proofErr w:type="spellStart"/>
      <w:r w:rsidRPr="00F17DAA">
        <w:rPr>
          <w:rFonts w:ascii="Arial" w:hAnsi="Arial" w:cs="Arial"/>
          <w:color w:val="0D0D0D" w:themeColor="text1" w:themeTint="F2"/>
          <w:sz w:val="28"/>
          <w:szCs w:val="28"/>
          <w:lang w:val="es-ES"/>
        </w:rPr>
        <w:t>el</w:t>
      </w:r>
      <w:proofErr w:type="spellEnd"/>
      <w:r w:rsidRPr="00F17DAA">
        <w:rPr>
          <w:rFonts w:ascii="Arial" w:hAnsi="Arial" w:cs="Arial"/>
          <w:color w:val="0D0D0D" w:themeColor="text1" w:themeTint="F2"/>
          <w:sz w:val="28"/>
          <w:szCs w:val="28"/>
          <w:lang w:val="es-ES"/>
        </w:rPr>
        <w:t xml:space="preserve"> árbitro será solo uno (1); c) La organización interna del tribunal se sujetará a las reglas previstas en las disposiciones legales que regulan los centros de arbitraje y conci</w:t>
      </w:r>
      <w:r w:rsidRPr="00F17DAA">
        <w:rPr>
          <w:rFonts w:ascii="Arial" w:hAnsi="Arial" w:cs="Arial"/>
          <w:color w:val="0D0D0D" w:themeColor="text1" w:themeTint="F2"/>
          <w:sz w:val="28"/>
          <w:szCs w:val="28"/>
          <w:lang w:val="es-ES"/>
        </w:rPr>
        <w:t>liación mercantiles; d) El tribunal decidirá en (derecho, en conciencia o en principios técnicos). e) El tribunal funcionará en la ciudad de ...........</w:t>
      </w:r>
      <w:r w:rsidRPr="00F17DAA">
        <w:rPr>
          <w:rFonts w:ascii="Arial" w:hAnsi="Arial" w:cs="Arial"/>
          <w:color w:val="0D0D0D" w:themeColor="text1" w:themeTint="F2"/>
          <w:sz w:val="28"/>
          <w:szCs w:val="28"/>
          <w:lang w:val="es-ES"/>
        </w:rPr>
        <w:t xml:space="preserve"> </w:t>
      </w:r>
      <w:r w:rsidRPr="00F17DAA">
        <w:rPr>
          <w:rStyle w:val="anchor"/>
          <w:rFonts w:ascii="Arial" w:hAnsi="Arial" w:cs="Arial"/>
          <w:color w:val="0D0D0D" w:themeColor="text1" w:themeTint="F2"/>
          <w:sz w:val="28"/>
          <w:szCs w:val="28"/>
          <w:lang w:val="es-ES"/>
        </w:rPr>
        <w:t>(5</w:t>
      </w:r>
      <w:r w:rsidRPr="00F17DAA">
        <w:rPr>
          <w:rStyle w:val="anchor"/>
          <w:rFonts w:ascii="Arial" w:hAnsi="Arial" w:cs="Arial"/>
          <w:color w:val="0D0D0D" w:themeColor="text1" w:themeTint="F2"/>
          <w:sz w:val="28"/>
          <w:szCs w:val="28"/>
          <w:lang w:val="es-ES"/>
        </w:rPr>
        <w:t>)</w:t>
      </w:r>
      <w:r w:rsidRPr="00F17DAA">
        <w:rPr>
          <w:rFonts w:ascii="Arial" w:hAnsi="Arial" w:cs="Arial"/>
          <w:color w:val="0D0D0D" w:themeColor="text1" w:themeTint="F2"/>
          <w:sz w:val="28"/>
          <w:szCs w:val="28"/>
          <w:lang w:val="es-ES"/>
        </w:rPr>
        <w:t>. En señal de asentimiento las partes suscriben el presente documento en dos ejemplares del mismo te</w:t>
      </w:r>
      <w:r w:rsidRPr="00F17DAA">
        <w:rPr>
          <w:rFonts w:ascii="Arial" w:hAnsi="Arial" w:cs="Arial"/>
          <w:color w:val="0D0D0D" w:themeColor="text1" w:themeTint="F2"/>
          <w:sz w:val="28"/>
          <w:szCs w:val="28"/>
          <w:lang w:val="es-ES"/>
        </w:rPr>
        <w:t>nor, en .......... el .......... (fecha).</w:t>
      </w:r>
    </w:p>
    <w:p w14:paraId="4A35056F" w14:textId="77777777" w:rsidR="00000000" w:rsidRPr="00F17DAA" w:rsidRDefault="00927DB2">
      <w:pPr>
        <w:pStyle w:val="nueve"/>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Acreedor prendario __________________</w:t>
      </w:r>
    </w:p>
    <w:p w14:paraId="6F1E496B" w14:textId="77777777" w:rsidR="00000000" w:rsidRPr="00F17DAA" w:rsidRDefault="00927DB2">
      <w:pPr>
        <w:pStyle w:val="nueve"/>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Deudor prendario ___________________</w:t>
      </w:r>
    </w:p>
    <w:p w14:paraId="77F37365" w14:textId="77777777" w:rsidR="00000000" w:rsidRPr="00F17DAA" w:rsidRDefault="00927DB2">
      <w:pPr>
        <w:pStyle w:val="Ttulo2"/>
        <w:spacing w:before="180" w:beforeAutospacing="0" w:after="180" w:afterAutospacing="0"/>
        <w:jc w:val="both"/>
        <w:divId w:val="1989245486"/>
        <w:rPr>
          <w:rFonts w:ascii="Arial" w:eastAsia="Times New Roman" w:hAnsi="Arial" w:cs="Arial"/>
          <w:color w:val="0D0D0D" w:themeColor="text1" w:themeTint="F2"/>
          <w:sz w:val="28"/>
          <w:szCs w:val="28"/>
          <w:lang w:val="es-ES"/>
        </w:rPr>
      </w:pPr>
      <w:r w:rsidRPr="00F17DAA">
        <w:rPr>
          <w:rFonts w:ascii="Arial" w:eastAsia="Times New Roman" w:hAnsi="Arial" w:cs="Arial"/>
          <w:color w:val="0D0D0D" w:themeColor="text1" w:themeTint="F2"/>
          <w:sz w:val="28"/>
          <w:szCs w:val="28"/>
          <w:lang w:val="es-ES"/>
        </w:rPr>
        <w:lastRenderedPageBreak/>
        <w:t>NOTAS GENERALES</w:t>
      </w:r>
    </w:p>
    <w:p w14:paraId="519EEEB0" w14:textId="0E395BD3" w:rsidR="00000000" w:rsidRPr="00F17DAA" w:rsidRDefault="00927DB2">
      <w:pPr>
        <w:pStyle w:val="nueve"/>
        <w:divId w:val="1989245486"/>
        <w:rPr>
          <w:rFonts w:ascii="Arial" w:hAnsi="Arial" w:cs="Arial"/>
          <w:color w:val="0D0D0D" w:themeColor="text1" w:themeTint="F2"/>
          <w:sz w:val="28"/>
          <w:szCs w:val="28"/>
          <w:lang w:val="es-ES"/>
        </w:rPr>
      </w:pPr>
      <w:proofErr w:type="gramStart"/>
      <w:r w:rsidRPr="00F17DAA">
        <w:rPr>
          <w:rStyle w:val="Textoennegrita"/>
          <w:rFonts w:ascii="Arial" w:hAnsi="Arial" w:cs="Arial"/>
          <w:color w:val="0D0D0D" w:themeColor="text1" w:themeTint="F2"/>
          <w:sz w:val="28"/>
          <w:szCs w:val="28"/>
          <w:lang w:val="es-ES"/>
        </w:rPr>
        <w:t>Descripción.—</w:t>
      </w:r>
      <w:proofErr w:type="gramEnd"/>
      <w:r w:rsidRPr="00F17DAA">
        <w:rPr>
          <w:rFonts w:ascii="Arial" w:hAnsi="Arial" w:cs="Arial"/>
          <w:color w:val="0D0D0D" w:themeColor="text1" w:themeTint="F2"/>
          <w:sz w:val="28"/>
          <w:szCs w:val="28"/>
          <w:lang w:val="es-ES"/>
        </w:rPr>
        <w:t>Al tenor de lo dispuesto en el artículo 2414 del Código Civil es posible la prenda sobre créditos, de</w:t>
      </w:r>
      <w:r w:rsidRPr="00F17DAA">
        <w:rPr>
          <w:rFonts w:ascii="Arial" w:hAnsi="Arial" w:cs="Arial"/>
          <w:color w:val="0D0D0D" w:themeColor="text1" w:themeTint="F2"/>
          <w:sz w:val="28"/>
          <w:szCs w:val="28"/>
          <w:lang w:val="es-ES"/>
        </w:rPr>
        <w:t xml:space="preserve"> suerte que toda vez que los cánones de arrendamiento constituyen un crédito a favor del arrendador, éste se encuentra facultado para pignorarlos como garantía de las obligaciones que contraiga con terceros.</w:t>
      </w:r>
    </w:p>
    <w:p w14:paraId="5937BFA9" w14:textId="3BAEED46" w:rsidR="00000000" w:rsidRPr="00F17DAA" w:rsidRDefault="00927DB2">
      <w:pPr>
        <w:pStyle w:val="nueve"/>
        <w:divId w:val="1989245486"/>
        <w:rPr>
          <w:rFonts w:ascii="Arial" w:hAnsi="Arial" w:cs="Arial"/>
          <w:color w:val="0D0D0D" w:themeColor="text1" w:themeTint="F2"/>
          <w:sz w:val="28"/>
          <w:szCs w:val="28"/>
          <w:lang w:val="es-ES"/>
        </w:rPr>
      </w:pPr>
      <w:proofErr w:type="gramStart"/>
      <w:r w:rsidRPr="00F17DAA">
        <w:rPr>
          <w:rStyle w:val="Textoennegrita"/>
          <w:rFonts w:ascii="Arial" w:hAnsi="Arial" w:cs="Arial"/>
          <w:color w:val="0D0D0D" w:themeColor="text1" w:themeTint="F2"/>
          <w:sz w:val="28"/>
          <w:szCs w:val="28"/>
          <w:lang w:val="es-ES"/>
        </w:rPr>
        <w:t>Requisitos.—</w:t>
      </w:r>
      <w:proofErr w:type="gramEnd"/>
      <w:r w:rsidRPr="00F17DAA">
        <w:rPr>
          <w:rFonts w:ascii="Arial" w:hAnsi="Arial" w:cs="Arial"/>
          <w:color w:val="0D0D0D" w:themeColor="text1" w:themeTint="F2"/>
          <w:sz w:val="28"/>
          <w:szCs w:val="28"/>
          <w:lang w:val="es-ES"/>
        </w:rPr>
        <w:t>La constitución de prenda s</w:t>
      </w:r>
      <w:r w:rsidRPr="00F17DAA">
        <w:rPr>
          <w:rFonts w:ascii="Arial" w:hAnsi="Arial" w:cs="Arial"/>
          <w:color w:val="0D0D0D" w:themeColor="text1" w:themeTint="F2"/>
          <w:sz w:val="28"/>
          <w:szCs w:val="28"/>
          <w:lang w:val="es-ES"/>
        </w:rPr>
        <w:t>obre rentas requiere la entrega del título que documenta el derecho de crédito pignorado y la notificación del gravamen al deudor del crédito (C.C., art. 2414).</w:t>
      </w:r>
    </w:p>
    <w:p w14:paraId="4AC09B8C" w14:textId="4B537D98" w:rsidR="00000000" w:rsidRPr="00F17DAA" w:rsidRDefault="00927DB2">
      <w:pPr>
        <w:pStyle w:val="Ttulo2"/>
        <w:spacing w:before="180" w:beforeAutospacing="0" w:after="180" w:afterAutospacing="0"/>
        <w:jc w:val="both"/>
        <w:divId w:val="1989245486"/>
        <w:rPr>
          <w:rFonts w:ascii="Arial" w:eastAsia="Times New Roman" w:hAnsi="Arial" w:cs="Arial"/>
          <w:color w:val="0D0D0D" w:themeColor="text1" w:themeTint="F2"/>
          <w:sz w:val="28"/>
          <w:szCs w:val="28"/>
          <w:lang w:val="es-ES"/>
        </w:rPr>
      </w:pPr>
      <w:r w:rsidRPr="00F17DAA">
        <w:rPr>
          <w:rFonts w:ascii="Arial" w:eastAsia="Times New Roman" w:hAnsi="Arial" w:cs="Arial"/>
          <w:color w:val="0D0D0D" w:themeColor="text1" w:themeTint="F2"/>
          <w:sz w:val="28"/>
          <w:szCs w:val="28"/>
          <w:lang w:val="es-ES"/>
        </w:rPr>
        <w:t>LLAMADAS</w:t>
      </w:r>
    </w:p>
    <w:p w14:paraId="5A1C2BF0" w14:textId="77777777" w:rsidR="00000000" w:rsidRPr="00F17DAA" w:rsidRDefault="00927DB2">
      <w:pPr>
        <w:pStyle w:val="Ttulo2"/>
        <w:spacing w:before="180" w:beforeAutospacing="0"/>
        <w:jc w:val="both"/>
        <w:divId w:val="1989245486"/>
        <w:rPr>
          <w:rFonts w:ascii="Arial" w:eastAsia="Times New Roman" w:hAnsi="Arial" w:cs="Arial"/>
          <w:b w:val="0"/>
          <w:bCs w:val="0"/>
          <w:color w:val="0D0D0D" w:themeColor="text1" w:themeTint="F2"/>
          <w:sz w:val="28"/>
          <w:szCs w:val="28"/>
          <w:lang w:val="es-ES"/>
        </w:rPr>
      </w:pPr>
      <w:r w:rsidRPr="00F17DAA">
        <w:rPr>
          <w:rFonts w:ascii="Arial" w:eastAsia="Times New Roman" w:hAnsi="Arial" w:cs="Arial"/>
          <w:b w:val="0"/>
          <w:bCs w:val="0"/>
          <w:color w:val="0D0D0D" w:themeColor="text1" w:themeTint="F2"/>
          <w:sz w:val="28"/>
          <w:szCs w:val="28"/>
          <w:lang w:val="es-ES"/>
        </w:rPr>
        <w:t xml:space="preserve">(1) </w:t>
      </w:r>
      <w:r w:rsidRPr="00F17DAA">
        <w:rPr>
          <w:rStyle w:val="Textoennegrita"/>
          <w:rFonts w:ascii="Arial" w:eastAsia="Times New Roman" w:hAnsi="Arial" w:cs="Arial"/>
          <w:b/>
          <w:bCs/>
          <w:color w:val="0D0D0D" w:themeColor="text1" w:themeTint="F2"/>
          <w:sz w:val="28"/>
          <w:szCs w:val="28"/>
          <w:lang w:val="es-ES"/>
        </w:rPr>
        <w:t xml:space="preserve">Descripción de los derechos de crédito </w:t>
      </w:r>
      <w:proofErr w:type="gramStart"/>
      <w:r w:rsidRPr="00F17DAA">
        <w:rPr>
          <w:rStyle w:val="Textoennegrita"/>
          <w:rFonts w:ascii="Arial" w:eastAsia="Times New Roman" w:hAnsi="Arial" w:cs="Arial"/>
          <w:b/>
          <w:bCs/>
          <w:color w:val="0D0D0D" w:themeColor="text1" w:themeTint="F2"/>
          <w:sz w:val="28"/>
          <w:szCs w:val="28"/>
          <w:lang w:val="es-ES"/>
        </w:rPr>
        <w:t>pignorados.—</w:t>
      </w:r>
      <w:proofErr w:type="gramEnd"/>
      <w:r w:rsidRPr="00F17DAA">
        <w:rPr>
          <w:rFonts w:ascii="Arial" w:eastAsia="Times New Roman" w:hAnsi="Arial" w:cs="Arial"/>
          <w:b w:val="0"/>
          <w:bCs w:val="0"/>
          <w:color w:val="0D0D0D" w:themeColor="text1" w:themeTint="F2"/>
          <w:sz w:val="28"/>
          <w:szCs w:val="28"/>
          <w:lang w:val="es-ES"/>
        </w:rPr>
        <w:t>Es preciso describir d</w:t>
      </w:r>
      <w:r w:rsidRPr="00F17DAA">
        <w:rPr>
          <w:rFonts w:ascii="Arial" w:eastAsia="Times New Roman" w:hAnsi="Arial" w:cs="Arial"/>
          <w:b w:val="0"/>
          <w:bCs w:val="0"/>
          <w:color w:val="0D0D0D" w:themeColor="text1" w:themeTint="F2"/>
          <w:sz w:val="28"/>
          <w:szCs w:val="28"/>
          <w:lang w:val="es-ES"/>
        </w:rPr>
        <w:t>etalladamente el origen de los cánones pignorados, su naturaleza, el deudor y el contrato que documenta la acreencia.</w:t>
      </w:r>
    </w:p>
    <w:p w14:paraId="05CE8D7A" w14:textId="77777777" w:rsidR="00000000" w:rsidRPr="00F17DAA" w:rsidRDefault="00927DB2">
      <w:pPr>
        <w:pStyle w:val="Ttulo2"/>
        <w:spacing w:before="180" w:beforeAutospacing="0"/>
        <w:jc w:val="both"/>
        <w:divId w:val="1989245486"/>
        <w:rPr>
          <w:rFonts w:ascii="Arial" w:eastAsia="Times New Roman" w:hAnsi="Arial" w:cs="Arial"/>
          <w:b w:val="0"/>
          <w:bCs w:val="0"/>
          <w:color w:val="0D0D0D" w:themeColor="text1" w:themeTint="F2"/>
          <w:sz w:val="28"/>
          <w:szCs w:val="28"/>
          <w:lang w:val="es-ES"/>
        </w:rPr>
      </w:pPr>
      <w:r w:rsidRPr="00F17DAA">
        <w:rPr>
          <w:rFonts w:ascii="Arial" w:eastAsia="Times New Roman" w:hAnsi="Arial" w:cs="Arial"/>
          <w:b w:val="0"/>
          <w:bCs w:val="0"/>
          <w:color w:val="0D0D0D" w:themeColor="text1" w:themeTint="F2"/>
          <w:sz w:val="28"/>
          <w:szCs w:val="28"/>
          <w:lang w:val="es-ES"/>
        </w:rPr>
        <w:t xml:space="preserve">(2) </w:t>
      </w:r>
      <w:r w:rsidRPr="00F17DAA">
        <w:rPr>
          <w:rStyle w:val="Textoennegrita"/>
          <w:rFonts w:ascii="Arial" w:eastAsia="Times New Roman" w:hAnsi="Arial" w:cs="Arial"/>
          <w:b/>
          <w:bCs/>
          <w:color w:val="0D0D0D" w:themeColor="text1" w:themeTint="F2"/>
          <w:sz w:val="28"/>
          <w:szCs w:val="28"/>
          <w:lang w:val="es-ES"/>
        </w:rPr>
        <w:t>Notificación del gravamen.—</w:t>
      </w:r>
      <w:r w:rsidRPr="00F17DAA">
        <w:rPr>
          <w:rFonts w:ascii="Arial" w:eastAsia="Times New Roman" w:hAnsi="Arial" w:cs="Arial"/>
          <w:b w:val="0"/>
          <w:bCs w:val="0"/>
          <w:color w:val="0D0D0D" w:themeColor="text1" w:themeTint="F2"/>
          <w:sz w:val="28"/>
          <w:szCs w:val="28"/>
          <w:lang w:val="es-ES"/>
        </w:rPr>
        <w:t>Dispone el artículo 2414 del Código Civil que la prenda de un crédito requiere la notificación al deudor de</w:t>
      </w:r>
      <w:r w:rsidRPr="00F17DAA">
        <w:rPr>
          <w:rFonts w:ascii="Arial" w:eastAsia="Times New Roman" w:hAnsi="Arial" w:cs="Arial"/>
          <w:b w:val="0"/>
          <w:bCs w:val="0"/>
          <w:color w:val="0D0D0D" w:themeColor="text1" w:themeTint="F2"/>
          <w:sz w:val="28"/>
          <w:szCs w:val="28"/>
          <w:lang w:val="es-ES"/>
        </w:rPr>
        <w:t>l crédito consignado en el título, prohibiéndole que lo pague en otras manos; si bien es cierto, dicha notificación no es un elemento que determine la perfección del contrato de prenda, como lo ha sostenido la Corte Suprema de Justicia, sí constituye una f</w:t>
      </w:r>
      <w:r w:rsidRPr="00F17DAA">
        <w:rPr>
          <w:rFonts w:ascii="Arial" w:eastAsia="Times New Roman" w:hAnsi="Arial" w:cs="Arial"/>
          <w:b w:val="0"/>
          <w:bCs w:val="0"/>
          <w:color w:val="0D0D0D" w:themeColor="text1" w:themeTint="F2"/>
          <w:sz w:val="28"/>
          <w:szCs w:val="28"/>
          <w:lang w:val="es-ES"/>
        </w:rPr>
        <w:t xml:space="preserve">ormalidad necesaria para que se configure la relación jurídica entre el deudor del crédito dado en prenda y el acreedor prendario. De otra parte, dicha notificación garantiza la efectividad de la prenda en cuanto asegura que el pago del crédito se efectúe </w:t>
      </w:r>
      <w:r w:rsidRPr="00F17DAA">
        <w:rPr>
          <w:rFonts w:ascii="Arial" w:eastAsia="Times New Roman" w:hAnsi="Arial" w:cs="Arial"/>
          <w:b w:val="0"/>
          <w:bCs w:val="0"/>
          <w:color w:val="0D0D0D" w:themeColor="text1" w:themeTint="F2"/>
          <w:sz w:val="28"/>
          <w:szCs w:val="28"/>
          <w:lang w:val="es-ES"/>
        </w:rPr>
        <w:t>en manos del acreedor prendario.</w:t>
      </w:r>
    </w:p>
    <w:p w14:paraId="60163B63" w14:textId="77777777" w:rsidR="00000000" w:rsidRPr="00F17DAA" w:rsidRDefault="00927DB2">
      <w:pPr>
        <w:pStyle w:val="Ttulo2"/>
        <w:spacing w:before="180" w:beforeAutospacing="0"/>
        <w:jc w:val="both"/>
        <w:divId w:val="1989245486"/>
        <w:rPr>
          <w:rFonts w:ascii="Arial" w:eastAsia="Times New Roman" w:hAnsi="Arial" w:cs="Arial"/>
          <w:b w:val="0"/>
          <w:bCs w:val="0"/>
          <w:color w:val="0D0D0D" w:themeColor="text1" w:themeTint="F2"/>
          <w:sz w:val="28"/>
          <w:szCs w:val="28"/>
          <w:lang w:val="es-ES"/>
        </w:rPr>
      </w:pPr>
      <w:r w:rsidRPr="00F17DAA">
        <w:rPr>
          <w:rFonts w:ascii="Arial" w:eastAsia="Times New Roman" w:hAnsi="Arial" w:cs="Arial"/>
          <w:b w:val="0"/>
          <w:bCs w:val="0"/>
          <w:color w:val="0D0D0D" w:themeColor="text1" w:themeTint="F2"/>
          <w:sz w:val="28"/>
          <w:szCs w:val="28"/>
          <w:lang w:val="es-ES"/>
        </w:rPr>
        <w:t xml:space="preserve">(3) </w:t>
      </w:r>
      <w:r w:rsidRPr="00F17DAA">
        <w:rPr>
          <w:rStyle w:val="Textoennegrita"/>
          <w:rFonts w:ascii="Arial" w:eastAsia="Times New Roman" w:hAnsi="Arial" w:cs="Arial"/>
          <w:b/>
          <w:bCs/>
          <w:color w:val="0D0D0D" w:themeColor="text1" w:themeTint="F2"/>
          <w:sz w:val="28"/>
          <w:szCs w:val="28"/>
          <w:lang w:val="es-ES"/>
        </w:rPr>
        <w:t>Recaudo de los cánones pignorados.—</w:t>
      </w:r>
      <w:r w:rsidRPr="00F17DAA">
        <w:rPr>
          <w:rFonts w:ascii="Arial" w:eastAsia="Times New Roman" w:hAnsi="Arial" w:cs="Arial"/>
          <w:b w:val="0"/>
          <w:bCs w:val="0"/>
          <w:color w:val="0D0D0D" w:themeColor="text1" w:themeTint="F2"/>
          <w:sz w:val="28"/>
          <w:szCs w:val="28"/>
          <w:lang w:val="es-ES"/>
        </w:rPr>
        <w:t xml:space="preserve">Es conveniente que el recaudo de las rentas pignoradas las efectúe el propio acreedor prendario sin que tal función sea delegada en el deudor prendario, como quiera que trasladarle el </w:t>
      </w:r>
      <w:r w:rsidRPr="00F17DAA">
        <w:rPr>
          <w:rFonts w:ascii="Arial" w:eastAsia="Times New Roman" w:hAnsi="Arial" w:cs="Arial"/>
          <w:b w:val="0"/>
          <w:bCs w:val="0"/>
          <w:color w:val="0D0D0D" w:themeColor="text1" w:themeTint="F2"/>
          <w:sz w:val="28"/>
          <w:szCs w:val="28"/>
          <w:lang w:val="es-ES"/>
        </w:rPr>
        <w:t xml:space="preserve">recaudo a este último no dejaría de entrañar un riesgo para el acreedor prendario, toda vez que la eficacia de la garantía está atada fundamentalmente a la solvencia y capacidad de pago del arrendatario, además de que en caso del incumplimiento del deudor </w:t>
      </w:r>
      <w:r w:rsidRPr="00F17DAA">
        <w:rPr>
          <w:rFonts w:ascii="Arial" w:eastAsia="Times New Roman" w:hAnsi="Arial" w:cs="Arial"/>
          <w:b w:val="0"/>
          <w:bCs w:val="0"/>
          <w:color w:val="0D0D0D" w:themeColor="text1" w:themeTint="F2"/>
          <w:sz w:val="28"/>
          <w:szCs w:val="28"/>
          <w:lang w:val="es-ES"/>
        </w:rPr>
        <w:t>prendario se dificultaría el ejercicio del derecho conferido con el otorgamiento de la garantía, como quiera que dada la característica de fungibilidad del dinero no sería posible distinguir el proveniente de la obligación pignorada, lo cual haría ineficaz</w:t>
      </w:r>
      <w:r w:rsidRPr="00F17DAA">
        <w:rPr>
          <w:rFonts w:ascii="Arial" w:eastAsia="Times New Roman" w:hAnsi="Arial" w:cs="Arial"/>
          <w:b w:val="0"/>
          <w:bCs w:val="0"/>
          <w:color w:val="0D0D0D" w:themeColor="text1" w:themeTint="F2"/>
          <w:sz w:val="28"/>
          <w:szCs w:val="28"/>
          <w:lang w:val="es-ES"/>
        </w:rPr>
        <w:t xml:space="preserve"> la garantía respecto de los dineros cancelados por parte del deudor de la obligación pignorada.</w:t>
      </w:r>
    </w:p>
    <w:p w14:paraId="4FF13C66" w14:textId="77777777" w:rsidR="00000000" w:rsidRPr="00F17DAA" w:rsidRDefault="00927DB2">
      <w:pPr>
        <w:pStyle w:val="Ttulo2"/>
        <w:spacing w:before="180" w:beforeAutospacing="0"/>
        <w:jc w:val="both"/>
        <w:divId w:val="1989245486"/>
        <w:rPr>
          <w:rFonts w:ascii="Arial" w:eastAsia="Times New Roman" w:hAnsi="Arial" w:cs="Arial"/>
          <w:b w:val="0"/>
          <w:bCs w:val="0"/>
          <w:color w:val="0D0D0D" w:themeColor="text1" w:themeTint="F2"/>
          <w:sz w:val="28"/>
          <w:szCs w:val="28"/>
          <w:lang w:val="es-ES"/>
        </w:rPr>
      </w:pPr>
      <w:r w:rsidRPr="00F17DAA">
        <w:rPr>
          <w:rFonts w:ascii="Arial" w:eastAsia="Times New Roman" w:hAnsi="Arial" w:cs="Arial"/>
          <w:b w:val="0"/>
          <w:bCs w:val="0"/>
          <w:color w:val="0D0D0D" w:themeColor="text1" w:themeTint="F2"/>
          <w:sz w:val="28"/>
          <w:szCs w:val="28"/>
          <w:lang w:val="es-ES"/>
        </w:rPr>
        <w:lastRenderedPageBreak/>
        <w:t xml:space="preserve">(4) </w:t>
      </w:r>
      <w:r w:rsidRPr="00F17DAA">
        <w:rPr>
          <w:rStyle w:val="Textoennegrita"/>
          <w:rFonts w:ascii="Arial" w:eastAsia="Times New Roman" w:hAnsi="Arial" w:cs="Arial"/>
          <w:b/>
          <w:bCs/>
          <w:color w:val="0D0D0D" w:themeColor="text1" w:themeTint="F2"/>
          <w:sz w:val="28"/>
          <w:szCs w:val="28"/>
          <w:lang w:val="es-ES"/>
        </w:rPr>
        <w:t>Custodia del dinero recaudado.—</w:t>
      </w:r>
      <w:r w:rsidRPr="00F17DAA">
        <w:rPr>
          <w:rFonts w:ascii="Arial" w:eastAsia="Times New Roman" w:hAnsi="Arial" w:cs="Arial"/>
          <w:b w:val="0"/>
          <w:bCs w:val="0"/>
          <w:color w:val="0D0D0D" w:themeColor="text1" w:themeTint="F2"/>
          <w:sz w:val="28"/>
          <w:szCs w:val="28"/>
          <w:lang w:val="es-ES"/>
        </w:rPr>
        <w:t xml:space="preserve">La aplicación directa de los dineros recaudados, al pago de la obligación garantizada por vía del procedimiento señalado en </w:t>
      </w:r>
      <w:r w:rsidRPr="00F17DAA">
        <w:rPr>
          <w:rFonts w:ascii="Arial" w:eastAsia="Times New Roman" w:hAnsi="Arial" w:cs="Arial"/>
          <w:b w:val="0"/>
          <w:bCs w:val="0"/>
          <w:color w:val="0D0D0D" w:themeColor="text1" w:themeTint="F2"/>
          <w:sz w:val="28"/>
          <w:szCs w:val="28"/>
          <w:lang w:val="es-ES"/>
        </w:rPr>
        <w:t>el artículo 1173 del Código de Comercio es viable, toda vez que en el evento en que la deuda garantizada esté vencida y el acreedor reciba el pago de las rentas pignoradas, la garantía se convierte en dinero y como quiera que no es procedente la prenda sob</w:t>
      </w:r>
      <w:r w:rsidRPr="00F17DAA">
        <w:rPr>
          <w:rFonts w:ascii="Arial" w:eastAsia="Times New Roman" w:hAnsi="Arial" w:cs="Arial"/>
          <w:b w:val="0"/>
          <w:bCs w:val="0"/>
          <w:color w:val="0D0D0D" w:themeColor="text1" w:themeTint="F2"/>
          <w:sz w:val="28"/>
          <w:szCs w:val="28"/>
          <w:lang w:val="es-ES"/>
        </w:rPr>
        <w:t>re dinero, por cuanto no es posible ejercer sobre el mismo el procedimiento de venta en pública subasta contemplado en el artículo 2422 del Código Civil, debe concluirse que se produce la conversión del negocio jurídico que dio origen a la garantía, la pre</w:t>
      </w:r>
      <w:r w:rsidRPr="00F17DAA">
        <w:rPr>
          <w:rFonts w:ascii="Arial" w:eastAsia="Times New Roman" w:hAnsi="Arial" w:cs="Arial"/>
          <w:b w:val="0"/>
          <w:bCs w:val="0"/>
          <w:color w:val="0D0D0D" w:themeColor="text1" w:themeTint="F2"/>
          <w:sz w:val="28"/>
          <w:szCs w:val="28"/>
          <w:lang w:val="es-ES"/>
        </w:rPr>
        <w:t>nda, el que se torna en depósito de dinero en garantía, razón por la cual es viable aplicar el dinero depositado a la satisfacción de la obligación garantizada una vez sea exigible.</w:t>
      </w:r>
    </w:p>
    <w:p w14:paraId="74A7036C" w14:textId="77777777" w:rsidR="00000000" w:rsidRPr="00F17DAA" w:rsidRDefault="00927DB2">
      <w:pPr>
        <w:pStyle w:val="Ttulo2"/>
        <w:spacing w:before="180" w:beforeAutospacing="0"/>
        <w:jc w:val="both"/>
        <w:divId w:val="1989245486"/>
        <w:rPr>
          <w:rFonts w:ascii="Arial" w:eastAsia="Times New Roman" w:hAnsi="Arial" w:cs="Arial"/>
          <w:b w:val="0"/>
          <w:bCs w:val="0"/>
          <w:color w:val="0D0D0D" w:themeColor="text1" w:themeTint="F2"/>
          <w:sz w:val="28"/>
          <w:szCs w:val="28"/>
          <w:lang w:val="es-ES"/>
        </w:rPr>
      </w:pPr>
      <w:r w:rsidRPr="00F17DAA">
        <w:rPr>
          <w:rFonts w:ascii="Arial" w:eastAsia="Times New Roman" w:hAnsi="Arial" w:cs="Arial"/>
          <w:b w:val="0"/>
          <w:bCs w:val="0"/>
          <w:color w:val="0D0D0D" w:themeColor="text1" w:themeTint="F2"/>
          <w:sz w:val="28"/>
          <w:szCs w:val="28"/>
          <w:lang w:val="es-ES"/>
        </w:rPr>
        <w:t xml:space="preserve">(5) </w:t>
      </w:r>
      <w:r w:rsidRPr="00F17DAA">
        <w:rPr>
          <w:rStyle w:val="Textoennegrita"/>
          <w:rFonts w:ascii="Arial" w:eastAsia="Times New Roman" w:hAnsi="Arial" w:cs="Arial"/>
          <w:b/>
          <w:bCs/>
          <w:color w:val="0D0D0D" w:themeColor="text1" w:themeTint="F2"/>
          <w:sz w:val="28"/>
          <w:szCs w:val="28"/>
          <w:lang w:val="es-ES"/>
        </w:rPr>
        <w:t xml:space="preserve">Cláusula </w:t>
      </w:r>
      <w:proofErr w:type="gramStart"/>
      <w:r w:rsidRPr="00F17DAA">
        <w:rPr>
          <w:rStyle w:val="Textoennegrita"/>
          <w:rFonts w:ascii="Arial" w:eastAsia="Times New Roman" w:hAnsi="Arial" w:cs="Arial"/>
          <w:b/>
          <w:bCs/>
          <w:color w:val="0D0D0D" w:themeColor="text1" w:themeTint="F2"/>
          <w:sz w:val="28"/>
          <w:szCs w:val="28"/>
          <w:lang w:val="es-ES"/>
        </w:rPr>
        <w:t>compromisoria.—</w:t>
      </w:r>
      <w:proofErr w:type="gramEnd"/>
      <w:r w:rsidRPr="00F17DAA">
        <w:rPr>
          <w:rFonts w:ascii="Arial" w:eastAsia="Times New Roman" w:hAnsi="Arial" w:cs="Arial"/>
          <w:b w:val="0"/>
          <w:bCs w:val="0"/>
          <w:color w:val="0D0D0D" w:themeColor="text1" w:themeTint="F2"/>
          <w:sz w:val="28"/>
          <w:szCs w:val="28"/>
          <w:lang w:val="es-ES"/>
        </w:rPr>
        <w:t>Esta cláusula es opcional, dado que si las par</w:t>
      </w:r>
      <w:r w:rsidRPr="00F17DAA">
        <w:rPr>
          <w:rFonts w:ascii="Arial" w:eastAsia="Times New Roman" w:hAnsi="Arial" w:cs="Arial"/>
          <w:b w:val="0"/>
          <w:bCs w:val="0"/>
          <w:color w:val="0D0D0D" w:themeColor="text1" w:themeTint="F2"/>
          <w:sz w:val="28"/>
          <w:szCs w:val="28"/>
          <w:lang w:val="es-ES"/>
        </w:rPr>
        <w:t xml:space="preserve">tes deciden dirimir sus diferencias ante la jurisdicción ordinaria, pueden hacerlo. Así mismo, si esta cláusula no es pactada y con posterioridad a la celebración del contrato, las partes deciden someter las diferencias que han surgido con ocasión de este </w:t>
      </w:r>
      <w:r w:rsidRPr="00F17DAA">
        <w:rPr>
          <w:rFonts w:ascii="Arial" w:eastAsia="Times New Roman" w:hAnsi="Arial" w:cs="Arial"/>
          <w:b w:val="0"/>
          <w:bCs w:val="0"/>
          <w:color w:val="0D0D0D" w:themeColor="text1" w:themeTint="F2"/>
          <w:sz w:val="28"/>
          <w:szCs w:val="28"/>
          <w:lang w:val="es-ES"/>
        </w:rPr>
        <w:t>contrato ante un tribunal arbitral, pueden realizar un compromiso.</w:t>
      </w:r>
    </w:p>
    <w:p w14:paraId="463B356E"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La cláusula compromisoria, podrá formar parte de un contrato o constar en documento separado inequívocamente referido a él.</w:t>
      </w:r>
    </w:p>
    <w:p w14:paraId="687D85B7"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La cláusula compromisoria que se pacte en documento separado del contrato, para producir efectos jurídicos deberá expresar el nombre de las partes e indicar en forma precisa el contrato a que se refiere (L. 1653/2012, art. 4º).</w:t>
      </w:r>
    </w:p>
    <w:p w14:paraId="327FA5A2" w14:textId="77777777" w:rsidR="00000000" w:rsidRPr="00F17DAA" w:rsidRDefault="00927DB2">
      <w:pPr>
        <w:pStyle w:val="Ttulo2"/>
        <w:spacing w:before="180" w:beforeAutospacing="0"/>
        <w:jc w:val="both"/>
        <w:divId w:val="1989245486"/>
        <w:rPr>
          <w:rFonts w:ascii="Arial" w:eastAsia="Times New Roman" w:hAnsi="Arial" w:cs="Arial"/>
          <w:b w:val="0"/>
          <w:bCs w:val="0"/>
          <w:color w:val="0D0D0D" w:themeColor="text1" w:themeTint="F2"/>
          <w:sz w:val="28"/>
          <w:szCs w:val="28"/>
          <w:lang w:val="es-ES"/>
        </w:rPr>
      </w:pPr>
      <w:r w:rsidRPr="00F17DAA">
        <w:rPr>
          <w:rStyle w:val="Textoennegrita"/>
          <w:rFonts w:ascii="Arial" w:eastAsia="Times New Roman" w:hAnsi="Arial" w:cs="Arial"/>
          <w:b/>
          <w:bCs/>
          <w:color w:val="0D0D0D" w:themeColor="text1" w:themeTint="F2"/>
          <w:sz w:val="28"/>
          <w:szCs w:val="28"/>
          <w:lang w:val="es-ES"/>
        </w:rPr>
        <w:t xml:space="preserve">Autonomía de la cláusula </w:t>
      </w:r>
      <w:proofErr w:type="gramStart"/>
      <w:r w:rsidRPr="00F17DAA">
        <w:rPr>
          <w:rStyle w:val="Textoennegrita"/>
          <w:rFonts w:ascii="Arial" w:eastAsia="Times New Roman" w:hAnsi="Arial" w:cs="Arial"/>
          <w:b/>
          <w:bCs/>
          <w:color w:val="0D0D0D" w:themeColor="text1" w:themeTint="F2"/>
          <w:sz w:val="28"/>
          <w:szCs w:val="28"/>
          <w:lang w:val="es-ES"/>
        </w:rPr>
        <w:t>com</w:t>
      </w:r>
      <w:r w:rsidRPr="00F17DAA">
        <w:rPr>
          <w:rStyle w:val="Textoennegrita"/>
          <w:rFonts w:ascii="Arial" w:eastAsia="Times New Roman" w:hAnsi="Arial" w:cs="Arial"/>
          <w:b/>
          <w:bCs/>
          <w:color w:val="0D0D0D" w:themeColor="text1" w:themeTint="F2"/>
          <w:sz w:val="28"/>
          <w:szCs w:val="28"/>
          <w:lang w:val="es-ES"/>
        </w:rPr>
        <w:t>promisoria.—</w:t>
      </w:r>
      <w:proofErr w:type="gramEnd"/>
      <w:r w:rsidRPr="00F17DAA">
        <w:rPr>
          <w:rFonts w:ascii="Arial" w:eastAsia="Times New Roman" w:hAnsi="Arial" w:cs="Arial"/>
          <w:b w:val="0"/>
          <w:bCs w:val="0"/>
          <w:color w:val="0D0D0D" w:themeColor="text1" w:themeTint="F2"/>
          <w:sz w:val="28"/>
          <w:szCs w:val="28"/>
          <w:lang w:val="es-ES"/>
        </w:rPr>
        <w:t>La inexistencia, ineficacia o invalidez del contrato no afecta la cláusula compromisoria. En consecuencia, podrán someterse a arbitraje las controversias en las que se debata la existencia, eficacia o validez del contrato y la decisión del trib</w:t>
      </w:r>
      <w:r w:rsidRPr="00F17DAA">
        <w:rPr>
          <w:rFonts w:ascii="Arial" w:eastAsia="Times New Roman" w:hAnsi="Arial" w:cs="Arial"/>
          <w:b w:val="0"/>
          <w:bCs w:val="0"/>
          <w:color w:val="0D0D0D" w:themeColor="text1" w:themeTint="F2"/>
          <w:sz w:val="28"/>
          <w:szCs w:val="28"/>
          <w:lang w:val="es-ES"/>
        </w:rPr>
        <w:t xml:space="preserve">unal será </w:t>
      </w:r>
      <w:proofErr w:type="gramStart"/>
      <w:r w:rsidRPr="00F17DAA">
        <w:rPr>
          <w:rFonts w:ascii="Arial" w:eastAsia="Times New Roman" w:hAnsi="Arial" w:cs="Arial"/>
          <w:b w:val="0"/>
          <w:bCs w:val="0"/>
          <w:color w:val="0D0D0D" w:themeColor="text1" w:themeTint="F2"/>
          <w:sz w:val="28"/>
          <w:szCs w:val="28"/>
          <w:lang w:val="es-ES"/>
        </w:rPr>
        <w:t>conducente</w:t>
      </w:r>
      <w:proofErr w:type="gramEnd"/>
      <w:r w:rsidRPr="00F17DAA">
        <w:rPr>
          <w:rFonts w:ascii="Arial" w:eastAsia="Times New Roman" w:hAnsi="Arial" w:cs="Arial"/>
          <w:b w:val="0"/>
          <w:bCs w:val="0"/>
          <w:color w:val="0D0D0D" w:themeColor="text1" w:themeTint="F2"/>
          <w:sz w:val="28"/>
          <w:szCs w:val="28"/>
          <w:lang w:val="es-ES"/>
        </w:rPr>
        <w:t xml:space="preserve"> aunque el contrato sea inexistente, ineficaz o inválido.</w:t>
      </w:r>
    </w:p>
    <w:p w14:paraId="6601FDC2"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La cesión de un contrato que contenga pacto arbitral, comporta la cesión de la cláusula compromisoria (L. 1653/2012, art. 5º).</w:t>
      </w:r>
    </w:p>
    <w:p w14:paraId="7570E75F" w14:textId="77777777" w:rsidR="00000000" w:rsidRPr="00F17DAA" w:rsidRDefault="00927DB2">
      <w:pPr>
        <w:pStyle w:val="Ttulo2"/>
        <w:spacing w:before="180" w:beforeAutospacing="0"/>
        <w:jc w:val="both"/>
        <w:divId w:val="1989245486"/>
        <w:rPr>
          <w:rFonts w:ascii="Arial" w:eastAsia="Times New Roman" w:hAnsi="Arial" w:cs="Arial"/>
          <w:b w:val="0"/>
          <w:bCs w:val="0"/>
          <w:color w:val="0D0D0D" w:themeColor="text1" w:themeTint="F2"/>
          <w:sz w:val="28"/>
          <w:szCs w:val="28"/>
          <w:lang w:val="es-ES"/>
        </w:rPr>
      </w:pPr>
      <w:proofErr w:type="gramStart"/>
      <w:r w:rsidRPr="00F17DAA">
        <w:rPr>
          <w:rStyle w:val="Textoennegrita"/>
          <w:rFonts w:ascii="Arial" w:eastAsia="Times New Roman" w:hAnsi="Arial" w:cs="Arial"/>
          <w:b/>
          <w:bCs/>
          <w:color w:val="0D0D0D" w:themeColor="text1" w:themeTint="F2"/>
          <w:sz w:val="28"/>
          <w:szCs w:val="28"/>
          <w:lang w:val="es-ES"/>
        </w:rPr>
        <w:t>Compromiso.—</w:t>
      </w:r>
      <w:proofErr w:type="gramEnd"/>
      <w:r w:rsidRPr="00F17DAA">
        <w:rPr>
          <w:rFonts w:ascii="Arial" w:eastAsia="Times New Roman" w:hAnsi="Arial" w:cs="Arial"/>
          <w:b w:val="0"/>
          <w:bCs w:val="0"/>
          <w:color w:val="0D0D0D" w:themeColor="text1" w:themeTint="F2"/>
          <w:sz w:val="28"/>
          <w:szCs w:val="28"/>
          <w:lang w:val="es-ES"/>
        </w:rPr>
        <w:t>El compromiso es un negocio jurídico, p</w:t>
      </w:r>
      <w:r w:rsidRPr="00F17DAA">
        <w:rPr>
          <w:rFonts w:ascii="Arial" w:eastAsia="Times New Roman" w:hAnsi="Arial" w:cs="Arial"/>
          <w:b w:val="0"/>
          <w:bCs w:val="0"/>
          <w:color w:val="0D0D0D" w:themeColor="text1" w:themeTint="F2"/>
          <w:sz w:val="28"/>
          <w:szCs w:val="28"/>
          <w:lang w:val="es-ES"/>
        </w:rPr>
        <w:t xml:space="preserve">or medio del cual las partes involucradas en un conflicto presente y determinado, </w:t>
      </w:r>
      <w:r w:rsidRPr="00F17DAA">
        <w:rPr>
          <w:rFonts w:ascii="Arial" w:eastAsia="Times New Roman" w:hAnsi="Arial" w:cs="Arial"/>
          <w:b w:val="0"/>
          <w:bCs w:val="0"/>
          <w:color w:val="0D0D0D" w:themeColor="text1" w:themeTint="F2"/>
          <w:sz w:val="28"/>
          <w:szCs w:val="28"/>
          <w:lang w:val="es-ES"/>
        </w:rPr>
        <w:lastRenderedPageBreak/>
        <w:t>convienen resolverlo a través de un tribunal arbitral, podrá constar en cualquier documento, que contenga:</w:t>
      </w:r>
    </w:p>
    <w:p w14:paraId="076916EF"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1. Los nombres de las partes.</w:t>
      </w:r>
    </w:p>
    <w:p w14:paraId="65A18632"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2. La indicación de las controversias</w:t>
      </w:r>
      <w:r w:rsidRPr="00F17DAA">
        <w:rPr>
          <w:rFonts w:ascii="Arial" w:hAnsi="Arial" w:cs="Arial"/>
          <w:color w:val="0D0D0D" w:themeColor="text1" w:themeTint="F2"/>
          <w:sz w:val="28"/>
          <w:szCs w:val="28"/>
          <w:lang w:val="es-ES"/>
        </w:rPr>
        <w:t xml:space="preserve"> que se someten al arbitraje.</w:t>
      </w:r>
    </w:p>
    <w:p w14:paraId="00A60EEC"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3. La indicación del proceso en curso, cuando a ello hubiere lugar. En este caso las partes podrán ampliar o restringir las pretensiones aducidas en aquel (L. 1653/2012, art. 6º).</w:t>
      </w:r>
    </w:p>
    <w:p w14:paraId="7D9736A4" w14:textId="77777777" w:rsidR="00000000" w:rsidRPr="00F17DAA" w:rsidRDefault="00927DB2">
      <w:pPr>
        <w:pStyle w:val="Ttulo2"/>
        <w:spacing w:before="180" w:beforeAutospacing="0"/>
        <w:jc w:val="both"/>
        <w:divId w:val="1989245486"/>
        <w:rPr>
          <w:rFonts w:ascii="Arial" w:eastAsia="Times New Roman" w:hAnsi="Arial" w:cs="Arial"/>
          <w:b w:val="0"/>
          <w:bCs w:val="0"/>
          <w:color w:val="0D0D0D" w:themeColor="text1" w:themeTint="F2"/>
          <w:sz w:val="28"/>
          <w:szCs w:val="28"/>
          <w:lang w:val="es-ES"/>
        </w:rPr>
      </w:pPr>
      <w:r w:rsidRPr="00F17DAA">
        <w:rPr>
          <w:rStyle w:val="Textoennegrita"/>
          <w:rFonts w:ascii="Arial" w:eastAsia="Times New Roman" w:hAnsi="Arial" w:cs="Arial"/>
          <w:b/>
          <w:bCs/>
          <w:color w:val="0D0D0D" w:themeColor="text1" w:themeTint="F2"/>
          <w:sz w:val="28"/>
          <w:szCs w:val="28"/>
          <w:lang w:val="es-ES"/>
        </w:rPr>
        <w:t xml:space="preserve">Definición de arbitraje, modalidades y </w:t>
      </w:r>
      <w:proofErr w:type="gramStart"/>
      <w:r w:rsidRPr="00F17DAA">
        <w:rPr>
          <w:rStyle w:val="Textoennegrita"/>
          <w:rFonts w:ascii="Arial" w:eastAsia="Times New Roman" w:hAnsi="Arial" w:cs="Arial"/>
          <w:b/>
          <w:bCs/>
          <w:color w:val="0D0D0D" w:themeColor="text1" w:themeTint="F2"/>
          <w:sz w:val="28"/>
          <w:szCs w:val="28"/>
          <w:lang w:val="es-ES"/>
        </w:rPr>
        <w:t>princip</w:t>
      </w:r>
      <w:r w:rsidRPr="00F17DAA">
        <w:rPr>
          <w:rStyle w:val="Textoennegrita"/>
          <w:rFonts w:ascii="Arial" w:eastAsia="Times New Roman" w:hAnsi="Arial" w:cs="Arial"/>
          <w:b/>
          <w:bCs/>
          <w:color w:val="0D0D0D" w:themeColor="text1" w:themeTint="F2"/>
          <w:sz w:val="28"/>
          <w:szCs w:val="28"/>
          <w:lang w:val="es-ES"/>
        </w:rPr>
        <w:t>ios.—</w:t>
      </w:r>
      <w:proofErr w:type="gramEnd"/>
      <w:r w:rsidRPr="00F17DAA">
        <w:rPr>
          <w:rFonts w:ascii="Arial" w:eastAsia="Times New Roman" w:hAnsi="Arial" w:cs="Arial"/>
          <w:b w:val="0"/>
          <w:bCs w:val="0"/>
          <w:color w:val="0D0D0D" w:themeColor="text1" w:themeTint="F2"/>
          <w:sz w:val="28"/>
          <w:szCs w:val="28"/>
          <w:lang w:val="es-ES"/>
        </w:rPr>
        <w:t>El arbitraje es un mecanismo alternativo de solución de conflictos mediante el cual las partes defieren a árbitros la solución de una controversia relativa a asuntos de libre disposición o aquellos que la ley autorice.</w:t>
      </w:r>
    </w:p>
    <w:p w14:paraId="2D1839A7"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El arbitraje se rige por los pri</w:t>
      </w:r>
      <w:r w:rsidRPr="00F17DAA">
        <w:rPr>
          <w:rFonts w:ascii="Arial" w:hAnsi="Arial" w:cs="Arial"/>
          <w:color w:val="0D0D0D" w:themeColor="text1" w:themeTint="F2"/>
          <w:sz w:val="28"/>
          <w:szCs w:val="28"/>
          <w:lang w:val="es-ES"/>
        </w:rPr>
        <w:t>ncipios y reglas de imparcialidad, idoneidad, celeridad, igualdad, oralidad, publicidad y contradicción.</w:t>
      </w:r>
    </w:p>
    <w:p w14:paraId="1568754A"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El laudo arbitral es la sentencia que profiere el tribunal de arbitraje. El laudo puede ser en derecho, en equidad o técnico (L. 1653/2012, art. 1º).</w:t>
      </w:r>
    </w:p>
    <w:p w14:paraId="63686582"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E</w:t>
      </w:r>
      <w:r w:rsidRPr="00F17DAA">
        <w:rPr>
          <w:rFonts w:ascii="Arial" w:hAnsi="Arial" w:cs="Arial"/>
          <w:color w:val="0D0D0D" w:themeColor="text1" w:themeTint="F2"/>
          <w:sz w:val="28"/>
          <w:szCs w:val="28"/>
          <w:lang w:val="es-ES"/>
        </w:rPr>
        <w:t>l arbitraje en derecho es aquel en el cual los árbitros fundamentan su decisión en el derecho positivo vigente. El arbitraje en equidad es aquel en que los árbitros deciden según el sentido común y la equidad. Cuando los árbitros pronuncian su fallo en raz</w:t>
      </w:r>
      <w:r w:rsidRPr="00F17DAA">
        <w:rPr>
          <w:rFonts w:ascii="Arial" w:hAnsi="Arial" w:cs="Arial"/>
          <w:color w:val="0D0D0D" w:themeColor="text1" w:themeTint="F2"/>
          <w:sz w:val="28"/>
          <w:szCs w:val="28"/>
          <w:lang w:val="es-ES"/>
        </w:rPr>
        <w:t>ón de sus específicos conocimientos en una determinada ciencia, arte u oficio, el arbitraje es técnico.</w:t>
      </w:r>
    </w:p>
    <w:p w14:paraId="370B0CF6"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En los tribunales en que intervenga una entidad pública o quien desempeñe funciones administrativas, si las controversias han surgido por causa o con ocasión de la celebración, desarrollo, ejecución, interpretación, terminación y liquidación de contratos e</w:t>
      </w:r>
      <w:r w:rsidRPr="00F17DAA">
        <w:rPr>
          <w:rFonts w:ascii="Arial" w:hAnsi="Arial" w:cs="Arial"/>
          <w:color w:val="0D0D0D" w:themeColor="text1" w:themeTint="F2"/>
          <w:sz w:val="28"/>
          <w:szCs w:val="28"/>
          <w:lang w:val="es-ES"/>
        </w:rPr>
        <w:t>statales, incluyendo las consecuencias económicas de los actos administrativos expedidos en ejercicio de facultades excepcionales, el laudo deberá proferirse en derecho (L. 1653/2012, art. 1º).</w:t>
      </w:r>
    </w:p>
    <w:p w14:paraId="3DFCFFF3" w14:textId="77777777" w:rsidR="00000000" w:rsidRPr="00F17DAA" w:rsidRDefault="00927DB2">
      <w:pPr>
        <w:pStyle w:val="Ttulo2"/>
        <w:spacing w:before="180" w:beforeAutospacing="0"/>
        <w:jc w:val="both"/>
        <w:divId w:val="1989245486"/>
        <w:rPr>
          <w:rFonts w:ascii="Arial" w:eastAsia="Times New Roman" w:hAnsi="Arial" w:cs="Arial"/>
          <w:b w:val="0"/>
          <w:bCs w:val="0"/>
          <w:color w:val="0D0D0D" w:themeColor="text1" w:themeTint="F2"/>
          <w:sz w:val="28"/>
          <w:szCs w:val="28"/>
          <w:lang w:val="es-ES"/>
        </w:rPr>
      </w:pPr>
      <w:r w:rsidRPr="00F17DAA">
        <w:rPr>
          <w:rStyle w:val="Textoennegrita"/>
          <w:rFonts w:ascii="Arial" w:eastAsia="Times New Roman" w:hAnsi="Arial" w:cs="Arial"/>
          <w:b/>
          <w:bCs/>
          <w:color w:val="0D0D0D" w:themeColor="text1" w:themeTint="F2"/>
          <w:sz w:val="28"/>
          <w:szCs w:val="28"/>
          <w:lang w:val="es-ES"/>
        </w:rPr>
        <w:t xml:space="preserve">Clases de </w:t>
      </w:r>
      <w:proofErr w:type="gramStart"/>
      <w:r w:rsidRPr="00F17DAA">
        <w:rPr>
          <w:rStyle w:val="Textoennegrita"/>
          <w:rFonts w:ascii="Arial" w:eastAsia="Times New Roman" w:hAnsi="Arial" w:cs="Arial"/>
          <w:b/>
          <w:bCs/>
          <w:color w:val="0D0D0D" w:themeColor="text1" w:themeTint="F2"/>
          <w:sz w:val="28"/>
          <w:szCs w:val="28"/>
          <w:lang w:val="es-ES"/>
        </w:rPr>
        <w:t>arbitraje.—</w:t>
      </w:r>
      <w:proofErr w:type="gramEnd"/>
      <w:r w:rsidRPr="00F17DAA">
        <w:rPr>
          <w:rFonts w:ascii="Arial" w:eastAsia="Times New Roman" w:hAnsi="Arial" w:cs="Arial"/>
          <w:b w:val="0"/>
          <w:bCs w:val="0"/>
          <w:color w:val="0D0D0D" w:themeColor="text1" w:themeTint="F2"/>
          <w:sz w:val="28"/>
          <w:szCs w:val="28"/>
          <w:lang w:val="es-ES"/>
        </w:rPr>
        <w:t>El arbitraje será ad hoc, si es conducido</w:t>
      </w:r>
      <w:r w:rsidRPr="00F17DAA">
        <w:rPr>
          <w:rFonts w:ascii="Arial" w:eastAsia="Times New Roman" w:hAnsi="Arial" w:cs="Arial"/>
          <w:b w:val="0"/>
          <w:bCs w:val="0"/>
          <w:color w:val="0D0D0D" w:themeColor="text1" w:themeTint="F2"/>
          <w:sz w:val="28"/>
          <w:szCs w:val="28"/>
          <w:lang w:val="es-ES"/>
        </w:rPr>
        <w:t xml:space="preserve"> directamente por los árbitros, o institucional, si es administrado por un centro de arbitraje. A falta de acuerdo respecto de su naturaleza y </w:t>
      </w:r>
      <w:r w:rsidRPr="00F17DAA">
        <w:rPr>
          <w:rFonts w:ascii="Arial" w:eastAsia="Times New Roman" w:hAnsi="Arial" w:cs="Arial"/>
          <w:b w:val="0"/>
          <w:bCs w:val="0"/>
          <w:color w:val="0D0D0D" w:themeColor="text1" w:themeTint="F2"/>
          <w:sz w:val="28"/>
          <w:szCs w:val="28"/>
          <w:lang w:val="es-ES"/>
        </w:rPr>
        <w:lastRenderedPageBreak/>
        <w:t xml:space="preserve">cuando en el pacto arbitral las partes guarden silencio, el arbitraje será institucional. Cuando la controversia </w:t>
      </w:r>
      <w:r w:rsidRPr="00F17DAA">
        <w:rPr>
          <w:rFonts w:ascii="Arial" w:eastAsia="Times New Roman" w:hAnsi="Arial" w:cs="Arial"/>
          <w:b w:val="0"/>
          <w:bCs w:val="0"/>
          <w:color w:val="0D0D0D" w:themeColor="text1" w:themeTint="F2"/>
          <w:sz w:val="28"/>
          <w:szCs w:val="28"/>
          <w:lang w:val="es-ES"/>
        </w:rPr>
        <w:t>verse sobre contratos celebrados por una entidad pública o quien desempeñe funciones administrativas, el proceso se regirá por las reglas señaladas en la presente ley para el arbitraje institucional.</w:t>
      </w:r>
    </w:p>
    <w:p w14:paraId="2DF3EB2A"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Los procesos arbitrales son de mayor cuantía cuando vers</w:t>
      </w:r>
      <w:r w:rsidRPr="00F17DAA">
        <w:rPr>
          <w:rFonts w:ascii="Arial" w:hAnsi="Arial" w:cs="Arial"/>
          <w:color w:val="0D0D0D" w:themeColor="text1" w:themeTint="F2"/>
          <w:sz w:val="28"/>
          <w:szCs w:val="28"/>
          <w:lang w:val="es-ES"/>
        </w:rPr>
        <w:t xml:space="preserve">en sobre pretensiones patrimoniales superiores a cuatrocientos salarios mínimos legales mensuales vigentes (400 </w:t>
      </w:r>
      <w:proofErr w:type="spellStart"/>
      <w:r w:rsidRPr="00F17DAA">
        <w:rPr>
          <w:rFonts w:ascii="Arial" w:hAnsi="Arial" w:cs="Arial"/>
          <w:color w:val="0D0D0D" w:themeColor="text1" w:themeTint="F2"/>
          <w:sz w:val="28"/>
          <w:szCs w:val="28"/>
          <w:lang w:val="es-ES"/>
        </w:rPr>
        <w:t>smlmv</w:t>
      </w:r>
      <w:proofErr w:type="spellEnd"/>
      <w:r w:rsidRPr="00F17DAA">
        <w:rPr>
          <w:rFonts w:ascii="Arial" w:hAnsi="Arial" w:cs="Arial"/>
          <w:color w:val="0D0D0D" w:themeColor="text1" w:themeTint="F2"/>
          <w:sz w:val="28"/>
          <w:szCs w:val="28"/>
          <w:lang w:val="es-ES"/>
        </w:rPr>
        <w:t>) y de menor cuantía, los demás.</w:t>
      </w:r>
    </w:p>
    <w:p w14:paraId="01917497"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Cuando por razón de la cuantía o de la naturaleza del asunto no se requiera de abogado ante los jueces ord</w:t>
      </w:r>
      <w:r w:rsidRPr="00F17DAA">
        <w:rPr>
          <w:rFonts w:ascii="Arial" w:hAnsi="Arial" w:cs="Arial"/>
          <w:color w:val="0D0D0D" w:themeColor="text1" w:themeTint="F2"/>
          <w:sz w:val="28"/>
          <w:szCs w:val="28"/>
          <w:lang w:val="es-ES"/>
        </w:rPr>
        <w:t>inarios, las partes podrán intervenir directamente en el arbitraje (L. 1653/2012, art. 1º).</w:t>
      </w:r>
    </w:p>
    <w:p w14:paraId="44327F86" w14:textId="77777777" w:rsidR="00000000" w:rsidRPr="00F17DAA" w:rsidRDefault="00927DB2">
      <w:pPr>
        <w:pStyle w:val="Ttulo2"/>
        <w:spacing w:before="180" w:beforeAutospacing="0"/>
        <w:jc w:val="both"/>
        <w:divId w:val="1989245486"/>
        <w:rPr>
          <w:rFonts w:ascii="Arial" w:eastAsia="Times New Roman" w:hAnsi="Arial" w:cs="Arial"/>
          <w:b w:val="0"/>
          <w:bCs w:val="0"/>
          <w:color w:val="0D0D0D" w:themeColor="text1" w:themeTint="F2"/>
          <w:sz w:val="28"/>
          <w:szCs w:val="28"/>
          <w:lang w:val="es-ES"/>
        </w:rPr>
      </w:pPr>
      <w:r w:rsidRPr="00F17DAA">
        <w:rPr>
          <w:rStyle w:val="Textoennegrita"/>
          <w:rFonts w:ascii="Arial" w:eastAsia="Times New Roman" w:hAnsi="Arial" w:cs="Arial"/>
          <w:b/>
          <w:bCs/>
          <w:color w:val="0D0D0D" w:themeColor="text1" w:themeTint="F2"/>
          <w:sz w:val="28"/>
          <w:szCs w:val="28"/>
          <w:lang w:val="es-ES"/>
        </w:rPr>
        <w:t xml:space="preserve">Centros de </w:t>
      </w:r>
      <w:proofErr w:type="gramStart"/>
      <w:r w:rsidRPr="00F17DAA">
        <w:rPr>
          <w:rStyle w:val="Textoennegrita"/>
          <w:rFonts w:ascii="Arial" w:eastAsia="Times New Roman" w:hAnsi="Arial" w:cs="Arial"/>
          <w:b/>
          <w:bCs/>
          <w:color w:val="0D0D0D" w:themeColor="text1" w:themeTint="F2"/>
          <w:sz w:val="28"/>
          <w:szCs w:val="28"/>
          <w:lang w:val="es-ES"/>
        </w:rPr>
        <w:t>arbitraje.—</w:t>
      </w:r>
      <w:proofErr w:type="gramEnd"/>
      <w:r w:rsidRPr="00F17DAA">
        <w:rPr>
          <w:rFonts w:ascii="Arial" w:eastAsia="Times New Roman" w:hAnsi="Arial" w:cs="Arial"/>
          <w:b w:val="0"/>
          <w:bCs w:val="0"/>
          <w:color w:val="0D0D0D" w:themeColor="text1" w:themeTint="F2"/>
          <w:sz w:val="28"/>
          <w:szCs w:val="28"/>
          <w:lang w:val="es-ES"/>
        </w:rPr>
        <w:t>Las entidades públicas y las personas jurídicas sin ánimo de lucro podrán crear centros de arbitraje con autorización del Ministerio de Justic</w:t>
      </w:r>
      <w:r w:rsidRPr="00F17DAA">
        <w:rPr>
          <w:rFonts w:ascii="Arial" w:eastAsia="Times New Roman" w:hAnsi="Arial" w:cs="Arial"/>
          <w:b w:val="0"/>
          <w:bCs w:val="0"/>
          <w:color w:val="0D0D0D" w:themeColor="text1" w:themeTint="F2"/>
          <w:sz w:val="28"/>
          <w:szCs w:val="28"/>
          <w:lang w:val="es-ES"/>
        </w:rPr>
        <w:t>ia y del Derecho, previo cumplimiento de los siguientes requisitos:</w:t>
      </w:r>
    </w:p>
    <w:p w14:paraId="60531A23"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1. Estudio de factibilidad desarrollado de acuerdo con la metodología que para el efecto determine el ministerio.</w:t>
      </w:r>
    </w:p>
    <w:p w14:paraId="6F1E8994" w14:textId="77777777" w:rsidR="00000000" w:rsidRPr="00F17DAA" w:rsidRDefault="00927DB2">
      <w:pPr>
        <w:pStyle w:val="nueve"/>
        <w:divId w:val="1989245486"/>
        <w:rPr>
          <w:rFonts w:ascii="Arial" w:hAnsi="Arial" w:cs="Arial"/>
          <w:color w:val="0D0D0D" w:themeColor="text1" w:themeTint="F2"/>
          <w:sz w:val="28"/>
          <w:szCs w:val="28"/>
          <w:lang w:val="es-ES"/>
        </w:rPr>
      </w:pPr>
      <w:r w:rsidRPr="00F17DAA">
        <w:rPr>
          <w:rFonts w:ascii="Arial" w:hAnsi="Arial" w:cs="Arial"/>
          <w:color w:val="0D0D0D" w:themeColor="text1" w:themeTint="F2"/>
          <w:sz w:val="28"/>
          <w:szCs w:val="28"/>
          <w:lang w:val="es-ES"/>
        </w:rPr>
        <w:t>2. Acreditar suficiencia de recursos administrativos y financieros (L. 165</w:t>
      </w:r>
      <w:r w:rsidRPr="00F17DAA">
        <w:rPr>
          <w:rFonts w:ascii="Arial" w:hAnsi="Arial" w:cs="Arial"/>
          <w:color w:val="0D0D0D" w:themeColor="text1" w:themeTint="F2"/>
          <w:sz w:val="28"/>
          <w:szCs w:val="28"/>
          <w:lang w:val="es-ES"/>
        </w:rPr>
        <w:t>3/2012, art. 50).</w:t>
      </w:r>
    </w:p>
    <w:p w14:paraId="0190DCF1" w14:textId="77777777" w:rsidR="00927DB2" w:rsidRPr="00F17DAA" w:rsidRDefault="00927DB2">
      <w:pPr>
        <w:rPr>
          <w:rFonts w:ascii="Arial" w:eastAsia="Times New Roman" w:hAnsi="Arial" w:cs="Arial"/>
          <w:color w:val="0D0D0D" w:themeColor="text1" w:themeTint="F2"/>
          <w:sz w:val="28"/>
          <w:szCs w:val="28"/>
        </w:rPr>
      </w:pPr>
      <w:r w:rsidRPr="00F17DAA">
        <w:rPr>
          <w:rFonts w:ascii="Arial" w:hAnsi="Arial" w:cs="Arial"/>
          <w:color w:val="0D0D0D" w:themeColor="text1" w:themeTint="F2"/>
          <w:sz w:val="28"/>
          <w:szCs w:val="28"/>
          <w:lang w:val="es-ES"/>
        </w:rPr>
        <w:pict w14:anchorId="2D78CBDD"/>
      </w:r>
    </w:p>
    <w:sectPr w:rsidR="00927DB2" w:rsidRPr="00F17D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7DAA"/>
    <w:rsid w:val="00927DB2"/>
    <w:rsid w:val="00F17D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DE143A"/>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245486">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6</Pages>
  <Words>1926</Words>
  <Characters>10593</Characters>
  <Application>Microsoft Office Word</Application>
  <DocSecurity>0</DocSecurity>
  <Lines>88</Lines>
  <Paragraphs>24</Paragraphs>
  <ScaleCrop>false</ScaleCrop>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2023-09-12T22:23:00Z</dcterms:created>
  <dcterms:modified xsi:type="dcterms:W3CDTF">2023-09-12T22:23:00Z</dcterms:modified>
</cp:coreProperties>
</file>