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002C0" w14:textId="77777777" w:rsidR="00000000" w:rsidRPr="00013AED" w:rsidRDefault="007D1B72">
      <w:pPr>
        <w:pStyle w:val="Ttulo2"/>
        <w:spacing w:before="400" w:beforeAutospacing="0" w:after="400" w:afterAutospacing="0"/>
        <w:rPr>
          <w:rFonts w:ascii="Arial" w:eastAsia="Times New Roman" w:hAnsi="Arial" w:cs="Arial"/>
          <w:sz w:val="28"/>
          <w:szCs w:val="28"/>
          <w:lang w:val="es-ES"/>
        </w:rPr>
      </w:pPr>
      <w:r w:rsidRPr="00013AED">
        <w:rPr>
          <w:rFonts w:ascii="Arial" w:eastAsia="Times New Roman" w:hAnsi="Arial" w:cs="Arial"/>
          <w:sz w:val="28"/>
          <w:szCs w:val="28"/>
          <w:lang w:val="es-ES"/>
        </w:rPr>
        <w:t xml:space="preserve">CONTRATO DE PRESTACIÓN DE SERVICIOS </w:t>
      </w:r>
      <w:r w:rsidRPr="00013AED">
        <w:rPr>
          <w:rFonts w:ascii="Arial" w:eastAsia="Times New Roman" w:hAnsi="Arial" w:cs="Arial"/>
          <w:sz w:val="28"/>
          <w:szCs w:val="28"/>
          <w:lang w:val="es-ES"/>
        </w:rPr>
        <w:br/>
        <w:t xml:space="preserve">PROFESIONALES INDEPENDIENTES </w:t>
      </w:r>
    </w:p>
    <w:p w14:paraId="45167CBB" w14:textId="065EE3DE" w:rsidR="00000000" w:rsidRPr="00013AED" w:rsidRDefault="007D1B72">
      <w:pPr>
        <w:pStyle w:val="nueve"/>
        <w:rPr>
          <w:rFonts w:ascii="Arial" w:hAnsi="Arial" w:cs="Arial"/>
          <w:sz w:val="28"/>
          <w:szCs w:val="28"/>
          <w:lang w:val="es-ES"/>
        </w:rPr>
      </w:pPr>
      <w:r w:rsidRPr="00013AED">
        <w:rPr>
          <w:rFonts w:ascii="Arial" w:hAnsi="Arial" w:cs="Arial"/>
          <w:sz w:val="28"/>
          <w:szCs w:val="28"/>
          <w:lang w:val="es-ES"/>
        </w:rPr>
        <w:t xml:space="preserve">Entre los suscritos a saber: .......... mayor de edad, identificado con la con la cédula de ciudadanía </w:t>
      </w:r>
      <w:proofErr w:type="spellStart"/>
      <w:r w:rsidRPr="00013AED">
        <w:rPr>
          <w:rFonts w:ascii="Arial" w:hAnsi="Arial" w:cs="Arial"/>
          <w:sz w:val="28"/>
          <w:szCs w:val="28"/>
          <w:lang w:val="es-ES"/>
        </w:rPr>
        <w:t>Nº</w:t>
      </w:r>
      <w:proofErr w:type="spellEnd"/>
      <w:r w:rsidRPr="00013AED">
        <w:rPr>
          <w:rFonts w:ascii="Arial" w:hAnsi="Arial" w:cs="Arial"/>
          <w:sz w:val="28"/>
          <w:szCs w:val="28"/>
          <w:lang w:val="es-ES"/>
        </w:rPr>
        <w:t xml:space="preserve"> .......... de ..........</w:t>
      </w:r>
      <w:r w:rsidRPr="00013AED">
        <w:rPr>
          <w:rFonts w:ascii="Arial" w:hAnsi="Arial" w:cs="Arial"/>
          <w:sz w:val="28"/>
          <w:szCs w:val="28"/>
          <w:lang w:val="es-ES"/>
        </w:rPr>
        <w:t xml:space="preserve">, domiciliado y residente en .........., actuando en nombre y representación de .......... y quien en adelante se denominará el CONTRATANTE, y, .........., mayor de edad, identificado con la cédula de ciudadanía </w:t>
      </w:r>
      <w:proofErr w:type="spellStart"/>
      <w:r w:rsidRPr="00013AED">
        <w:rPr>
          <w:rFonts w:ascii="Arial" w:hAnsi="Arial" w:cs="Arial"/>
          <w:sz w:val="28"/>
          <w:szCs w:val="28"/>
          <w:lang w:val="es-ES"/>
        </w:rPr>
        <w:t>Nº</w:t>
      </w:r>
      <w:proofErr w:type="spellEnd"/>
      <w:r w:rsidRPr="00013AED">
        <w:rPr>
          <w:rFonts w:ascii="Arial" w:hAnsi="Arial" w:cs="Arial"/>
          <w:sz w:val="28"/>
          <w:szCs w:val="28"/>
          <w:lang w:val="es-ES"/>
        </w:rPr>
        <w:t xml:space="preserve"> .......... de .........., domiciliado y r</w:t>
      </w:r>
      <w:r w:rsidRPr="00013AED">
        <w:rPr>
          <w:rFonts w:ascii="Arial" w:hAnsi="Arial" w:cs="Arial"/>
          <w:sz w:val="28"/>
          <w:szCs w:val="28"/>
          <w:lang w:val="es-ES"/>
        </w:rPr>
        <w:t>esidente en .......... actuando en nombre y representación de .......... y quien para los efectos del presente documento se denominará el CONTRATISTA, acuerdan celebrar el presente contrato de prestación de servicios profesionales, el cual se regirá por la</w:t>
      </w:r>
      <w:r w:rsidRPr="00013AED">
        <w:rPr>
          <w:rFonts w:ascii="Arial" w:hAnsi="Arial" w:cs="Arial"/>
          <w:sz w:val="28"/>
          <w:szCs w:val="28"/>
          <w:lang w:val="es-ES"/>
        </w:rPr>
        <w:t xml:space="preserve">s normas que regulan la materia y especialmente por las siguientes cláusulas: </w:t>
      </w:r>
      <w:r w:rsidRPr="00013AED">
        <w:rPr>
          <w:rStyle w:val="Textoennegrita"/>
          <w:rFonts w:ascii="Arial" w:hAnsi="Arial" w:cs="Arial"/>
          <w:sz w:val="28"/>
          <w:szCs w:val="28"/>
          <w:lang w:val="es-ES"/>
        </w:rPr>
        <w:t xml:space="preserve">PRIMERA. </w:t>
      </w:r>
      <w:proofErr w:type="gramStart"/>
      <w:r w:rsidRPr="00013AED">
        <w:rPr>
          <w:rStyle w:val="Textoennegrita"/>
          <w:rFonts w:ascii="Arial" w:hAnsi="Arial" w:cs="Arial"/>
          <w:sz w:val="28"/>
          <w:szCs w:val="28"/>
          <w:lang w:val="es-ES"/>
        </w:rPr>
        <w:t>Objeto.—</w:t>
      </w:r>
      <w:proofErr w:type="gramEnd"/>
      <w:r w:rsidRPr="00013AED">
        <w:rPr>
          <w:rFonts w:ascii="Arial" w:hAnsi="Arial" w:cs="Arial"/>
          <w:sz w:val="28"/>
          <w:szCs w:val="28"/>
          <w:lang w:val="es-ES"/>
        </w:rPr>
        <w:t>El CONTRATISTA en su calidad de .........., se obliga para con el CONTRATANTE a ejecutar los trabajos y demás actividades propias del servicio contratado el cual</w:t>
      </w:r>
      <w:r w:rsidRPr="00013AED">
        <w:rPr>
          <w:rFonts w:ascii="Arial" w:hAnsi="Arial" w:cs="Arial"/>
          <w:sz w:val="28"/>
          <w:szCs w:val="28"/>
          <w:lang w:val="es-ES"/>
        </w:rPr>
        <w:t xml:space="preserve"> debe realizar de conformidad con las condiciones y cláusulas adicionales del presente documento. </w:t>
      </w:r>
      <w:r w:rsidRPr="00013AED">
        <w:rPr>
          <w:rStyle w:val="Textoennegrita"/>
          <w:rFonts w:ascii="Arial" w:hAnsi="Arial" w:cs="Arial"/>
          <w:sz w:val="28"/>
          <w:szCs w:val="28"/>
          <w:lang w:val="es-ES"/>
        </w:rPr>
        <w:t xml:space="preserve">SEGUNDA. </w:t>
      </w:r>
      <w:proofErr w:type="gramStart"/>
      <w:r w:rsidRPr="00013AED">
        <w:rPr>
          <w:rStyle w:val="Textoennegrita"/>
          <w:rFonts w:ascii="Arial" w:hAnsi="Arial" w:cs="Arial"/>
          <w:sz w:val="28"/>
          <w:szCs w:val="28"/>
          <w:lang w:val="es-ES"/>
        </w:rPr>
        <w:t>Plazo.—</w:t>
      </w:r>
      <w:proofErr w:type="gramEnd"/>
      <w:r w:rsidRPr="00013AED">
        <w:rPr>
          <w:rFonts w:ascii="Arial" w:hAnsi="Arial" w:cs="Arial"/>
          <w:sz w:val="28"/>
          <w:szCs w:val="28"/>
          <w:lang w:val="es-ES"/>
        </w:rPr>
        <w:t>El plazo para la ejecución del presente contrato será de .......... contado desde la firma de este documento, el cual podrá prorrogarse por ac</w:t>
      </w:r>
      <w:r w:rsidRPr="00013AED">
        <w:rPr>
          <w:rFonts w:ascii="Arial" w:hAnsi="Arial" w:cs="Arial"/>
          <w:sz w:val="28"/>
          <w:szCs w:val="28"/>
          <w:lang w:val="es-ES"/>
        </w:rPr>
        <w:t xml:space="preserve">uerdo entre las partes con antelación a la fecha de su expiración mediante la celebración de un contrato adicional que deberá constar por escrito. </w:t>
      </w:r>
      <w:r w:rsidRPr="00013AED">
        <w:rPr>
          <w:rStyle w:val="Textoennegrita"/>
          <w:rFonts w:ascii="Arial" w:hAnsi="Arial" w:cs="Arial"/>
          <w:sz w:val="28"/>
          <w:szCs w:val="28"/>
          <w:lang w:val="es-ES"/>
        </w:rPr>
        <w:t xml:space="preserve">TERCERA. Valor y forma de </w:t>
      </w:r>
      <w:proofErr w:type="gramStart"/>
      <w:r w:rsidRPr="00013AED">
        <w:rPr>
          <w:rStyle w:val="Textoennegrita"/>
          <w:rFonts w:ascii="Arial" w:hAnsi="Arial" w:cs="Arial"/>
          <w:sz w:val="28"/>
          <w:szCs w:val="28"/>
          <w:lang w:val="es-ES"/>
        </w:rPr>
        <w:t>pago.—</w:t>
      </w:r>
      <w:proofErr w:type="gramEnd"/>
      <w:r w:rsidRPr="00013AED">
        <w:rPr>
          <w:rFonts w:ascii="Arial" w:hAnsi="Arial" w:cs="Arial"/>
          <w:sz w:val="28"/>
          <w:szCs w:val="28"/>
          <w:lang w:val="es-ES"/>
        </w:rPr>
        <w:t>El valor de este contrato es la suma de ......... (.....) moneda corriente, e</w:t>
      </w:r>
      <w:r w:rsidRPr="00013AED">
        <w:rPr>
          <w:rFonts w:ascii="Arial" w:hAnsi="Arial" w:cs="Arial"/>
          <w:sz w:val="28"/>
          <w:szCs w:val="28"/>
          <w:lang w:val="es-ES"/>
        </w:rPr>
        <w:t>l cual será cancelado en cuotas mensuales de .......... (o en dos pagos, o tres pagos, etc.) previa la presentación de la cuenta de cobro que el CONTRATISTA hará al CONTRATANTE con</w:t>
      </w:r>
      <w:proofErr w:type="gramStart"/>
      <w:r w:rsidRPr="00013AED">
        <w:rPr>
          <w:rFonts w:ascii="Arial" w:hAnsi="Arial" w:cs="Arial"/>
          <w:sz w:val="28"/>
          <w:szCs w:val="28"/>
          <w:lang w:val="es-ES"/>
        </w:rPr>
        <w:t xml:space="preserve"> ....</w:t>
      </w:r>
      <w:proofErr w:type="gramEnd"/>
      <w:r w:rsidRPr="00013AED">
        <w:rPr>
          <w:rFonts w:ascii="Arial" w:hAnsi="Arial" w:cs="Arial"/>
          <w:sz w:val="28"/>
          <w:szCs w:val="28"/>
          <w:lang w:val="es-ES"/>
        </w:rPr>
        <w:t xml:space="preserve">. días de anticipación a la fecha de vencimiento de cada pago. </w:t>
      </w:r>
      <w:r w:rsidRPr="00013AED">
        <w:rPr>
          <w:rStyle w:val="Textoennegrita"/>
          <w:rFonts w:ascii="Arial" w:hAnsi="Arial" w:cs="Arial"/>
          <w:sz w:val="28"/>
          <w:szCs w:val="28"/>
          <w:lang w:val="es-ES"/>
        </w:rPr>
        <w:t xml:space="preserve">CUARTA. </w:t>
      </w:r>
      <w:r w:rsidRPr="00013AED">
        <w:rPr>
          <w:rStyle w:val="Textoennegrita"/>
          <w:rFonts w:ascii="Arial" w:hAnsi="Arial" w:cs="Arial"/>
          <w:sz w:val="28"/>
          <w:szCs w:val="28"/>
          <w:lang w:val="es-ES"/>
        </w:rPr>
        <w:t xml:space="preserve">Obligaciones del </w:t>
      </w:r>
      <w:proofErr w:type="gramStart"/>
      <w:r w:rsidRPr="00013AED">
        <w:rPr>
          <w:rStyle w:val="Textoennegrita"/>
          <w:rFonts w:ascii="Arial" w:hAnsi="Arial" w:cs="Arial"/>
          <w:sz w:val="28"/>
          <w:szCs w:val="28"/>
          <w:lang w:val="es-ES"/>
        </w:rPr>
        <w:t>contratante.—</w:t>
      </w:r>
      <w:proofErr w:type="gramEnd"/>
      <w:r w:rsidRPr="00013AED">
        <w:rPr>
          <w:rFonts w:ascii="Arial" w:hAnsi="Arial" w:cs="Arial"/>
          <w:sz w:val="28"/>
          <w:szCs w:val="28"/>
          <w:lang w:val="es-ES"/>
        </w:rPr>
        <w:t>El CONTRATANTE se obliga a facilitar el acceso a la información que sea necesaria, de manera oportuna, para la debida ejecución del objeto del contrato, y, estará obligado a cumplir con lo estipulado en las demás cláusulas y c</w:t>
      </w:r>
      <w:r w:rsidRPr="00013AED">
        <w:rPr>
          <w:rFonts w:ascii="Arial" w:hAnsi="Arial" w:cs="Arial"/>
          <w:sz w:val="28"/>
          <w:szCs w:val="28"/>
          <w:lang w:val="es-ES"/>
        </w:rPr>
        <w:t xml:space="preserve">ondiciones previstas en este documento. </w:t>
      </w:r>
      <w:r w:rsidRPr="00013AED">
        <w:rPr>
          <w:rStyle w:val="Textoennegrita"/>
          <w:rFonts w:ascii="Arial" w:hAnsi="Arial" w:cs="Arial"/>
          <w:sz w:val="28"/>
          <w:szCs w:val="28"/>
          <w:lang w:val="es-ES"/>
        </w:rPr>
        <w:t xml:space="preserve">QUINTA. Obligaciones del </w:t>
      </w:r>
      <w:proofErr w:type="gramStart"/>
      <w:r w:rsidRPr="00013AED">
        <w:rPr>
          <w:rStyle w:val="Textoennegrita"/>
          <w:rFonts w:ascii="Arial" w:hAnsi="Arial" w:cs="Arial"/>
          <w:sz w:val="28"/>
          <w:szCs w:val="28"/>
          <w:lang w:val="es-ES"/>
        </w:rPr>
        <w:t>contratista.—</w:t>
      </w:r>
      <w:proofErr w:type="gramEnd"/>
      <w:r w:rsidRPr="00013AED">
        <w:rPr>
          <w:rFonts w:ascii="Arial" w:hAnsi="Arial" w:cs="Arial"/>
          <w:sz w:val="28"/>
          <w:szCs w:val="28"/>
          <w:lang w:val="es-ES"/>
        </w:rPr>
        <w:t>EL CONTRATISTA se obliga a cumplir en forma eficiente y oportuna los trabajos encomendados y aquellas obligaciones que se generen de acuerdo con la naturaleza del servicio y en g</w:t>
      </w:r>
      <w:r w:rsidRPr="00013AED">
        <w:rPr>
          <w:rFonts w:ascii="Arial" w:hAnsi="Arial" w:cs="Arial"/>
          <w:sz w:val="28"/>
          <w:szCs w:val="28"/>
          <w:lang w:val="es-ES"/>
        </w:rPr>
        <w:t xml:space="preserve">eneral con las cláusulas de este contrato. </w:t>
      </w:r>
      <w:r w:rsidRPr="00013AED">
        <w:rPr>
          <w:rStyle w:val="Textoennegrita"/>
          <w:rFonts w:ascii="Arial" w:hAnsi="Arial" w:cs="Arial"/>
          <w:sz w:val="28"/>
          <w:szCs w:val="28"/>
          <w:lang w:val="es-ES"/>
        </w:rPr>
        <w:t xml:space="preserve">SEXTA. Vigilancia del </w:t>
      </w:r>
      <w:proofErr w:type="gramStart"/>
      <w:r w:rsidRPr="00013AED">
        <w:rPr>
          <w:rStyle w:val="Textoennegrita"/>
          <w:rFonts w:ascii="Arial" w:hAnsi="Arial" w:cs="Arial"/>
          <w:sz w:val="28"/>
          <w:szCs w:val="28"/>
          <w:lang w:val="es-ES"/>
        </w:rPr>
        <w:t>contrato.—</w:t>
      </w:r>
      <w:proofErr w:type="gramEnd"/>
      <w:r w:rsidRPr="00013AED">
        <w:rPr>
          <w:rFonts w:ascii="Arial" w:hAnsi="Arial" w:cs="Arial"/>
          <w:sz w:val="28"/>
          <w:szCs w:val="28"/>
          <w:lang w:val="es-ES"/>
        </w:rPr>
        <w:t xml:space="preserve">El CONTRATANTE o su representante supervisará la ejecución del servicio profesional encomendado, y podrá formular las observaciones del caso con el fin </w:t>
      </w:r>
      <w:r w:rsidRPr="00013AED">
        <w:rPr>
          <w:rFonts w:ascii="Arial" w:hAnsi="Arial" w:cs="Arial"/>
          <w:sz w:val="28"/>
          <w:szCs w:val="28"/>
          <w:lang w:val="es-ES"/>
        </w:rPr>
        <w:lastRenderedPageBreak/>
        <w:t>de ser analizadas conjuntamen</w:t>
      </w:r>
      <w:r w:rsidRPr="00013AED">
        <w:rPr>
          <w:rFonts w:ascii="Arial" w:hAnsi="Arial" w:cs="Arial"/>
          <w:sz w:val="28"/>
          <w:szCs w:val="28"/>
          <w:lang w:val="es-ES"/>
        </w:rPr>
        <w:t xml:space="preserve">te con el CONTRATISTA y efectuar por parte de éste las modificaciones o correcciones a que hubiere lugar. </w:t>
      </w:r>
      <w:r w:rsidRPr="00013AED">
        <w:rPr>
          <w:rStyle w:val="Textoennegrita"/>
          <w:rFonts w:ascii="Arial" w:hAnsi="Arial" w:cs="Arial"/>
          <w:sz w:val="28"/>
          <w:szCs w:val="28"/>
          <w:lang w:val="es-ES"/>
        </w:rPr>
        <w:t xml:space="preserve">SÉPTIMA. Cláusula </w:t>
      </w:r>
      <w:proofErr w:type="gramStart"/>
      <w:r w:rsidRPr="00013AED">
        <w:rPr>
          <w:rStyle w:val="Textoennegrita"/>
          <w:rFonts w:ascii="Arial" w:hAnsi="Arial" w:cs="Arial"/>
          <w:sz w:val="28"/>
          <w:szCs w:val="28"/>
          <w:lang w:val="es-ES"/>
        </w:rPr>
        <w:t>penal.—</w:t>
      </w:r>
      <w:proofErr w:type="gramEnd"/>
      <w:r w:rsidRPr="00013AED">
        <w:rPr>
          <w:rFonts w:ascii="Arial" w:hAnsi="Arial" w:cs="Arial"/>
          <w:sz w:val="28"/>
          <w:szCs w:val="28"/>
          <w:lang w:val="es-ES"/>
        </w:rPr>
        <w:t xml:space="preserve">En caso de incumplimiento por alguna de las partes de cualquiera de las obligaciones previstas en este contrato dará derecho </w:t>
      </w:r>
      <w:r w:rsidRPr="00013AED">
        <w:rPr>
          <w:rFonts w:ascii="Arial" w:hAnsi="Arial" w:cs="Arial"/>
          <w:sz w:val="28"/>
          <w:szCs w:val="28"/>
          <w:lang w:val="es-ES"/>
        </w:rPr>
        <w:t xml:space="preserve">al CONTRATANTE o al CONTRATISTA según el caso, a pagar una suma de .......... </w:t>
      </w:r>
      <w:proofErr w:type="gramStart"/>
      <w:r w:rsidRPr="00013AED">
        <w:rPr>
          <w:rFonts w:ascii="Arial" w:hAnsi="Arial" w:cs="Arial"/>
          <w:sz w:val="28"/>
          <w:szCs w:val="28"/>
          <w:lang w:val="es-ES"/>
        </w:rPr>
        <w:t>(....</w:t>
      </w:r>
      <w:proofErr w:type="gramEnd"/>
      <w:r w:rsidRPr="00013AED">
        <w:rPr>
          <w:rFonts w:ascii="Arial" w:hAnsi="Arial" w:cs="Arial"/>
          <w:sz w:val="28"/>
          <w:szCs w:val="28"/>
          <w:lang w:val="es-ES"/>
        </w:rPr>
        <w:t>.) moneda corriente</w:t>
      </w:r>
      <w:r w:rsidRPr="00013AED">
        <w:rPr>
          <w:rFonts w:ascii="Arial" w:hAnsi="Arial" w:cs="Arial"/>
          <w:sz w:val="28"/>
          <w:szCs w:val="28"/>
          <w:lang w:val="es-ES"/>
        </w:rPr>
        <w:t xml:space="preserve"> </w:t>
      </w:r>
      <w:r w:rsidRPr="00013AED">
        <w:rPr>
          <w:rStyle w:val="anchor"/>
          <w:rFonts w:ascii="Arial" w:hAnsi="Arial" w:cs="Arial"/>
          <w:sz w:val="28"/>
          <w:szCs w:val="28"/>
          <w:lang w:val="es-ES"/>
        </w:rPr>
        <w:t>(1</w:t>
      </w:r>
      <w:r w:rsidRPr="00013AED">
        <w:rPr>
          <w:rStyle w:val="anchor"/>
          <w:rFonts w:ascii="Arial" w:hAnsi="Arial" w:cs="Arial"/>
          <w:sz w:val="28"/>
          <w:szCs w:val="28"/>
          <w:lang w:val="es-ES"/>
        </w:rPr>
        <w:t>)</w:t>
      </w:r>
      <w:r w:rsidRPr="00013AED">
        <w:rPr>
          <w:rFonts w:ascii="Arial" w:hAnsi="Arial" w:cs="Arial"/>
          <w:sz w:val="28"/>
          <w:szCs w:val="28"/>
          <w:lang w:val="es-ES"/>
        </w:rPr>
        <w:t xml:space="preserve">. </w:t>
      </w:r>
      <w:r w:rsidRPr="00013AED">
        <w:rPr>
          <w:rStyle w:val="Textoennegrita"/>
          <w:rFonts w:ascii="Arial" w:hAnsi="Arial" w:cs="Arial"/>
          <w:sz w:val="28"/>
          <w:szCs w:val="28"/>
          <w:lang w:val="es-ES"/>
        </w:rPr>
        <w:t xml:space="preserve">OCTAVA. Forma de </w:t>
      </w:r>
      <w:proofErr w:type="gramStart"/>
      <w:r w:rsidRPr="00013AED">
        <w:rPr>
          <w:rStyle w:val="Textoennegrita"/>
          <w:rFonts w:ascii="Arial" w:hAnsi="Arial" w:cs="Arial"/>
          <w:sz w:val="28"/>
          <w:szCs w:val="28"/>
          <w:lang w:val="es-ES"/>
        </w:rPr>
        <w:t>terminación.—</w:t>
      </w:r>
      <w:proofErr w:type="gramEnd"/>
      <w:r w:rsidRPr="00013AED">
        <w:rPr>
          <w:rFonts w:ascii="Arial" w:hAnsi="Arial" w:cs="Arial"/>
          <w:sz w:val="28"/>
          <w:szCs w:val="28"/>
          <w:lang w:val="es-ES"/>
        </w:rPr>
        <w:t>El presente contrato podrá darse por terminado por mutuo acuerdo entre las partes, o en forma unilateral por el incump</w:t>
      </w:r>
      <w:r w:rsidRPr="00013AED">
        <w:rPr>
          <w:rFonts w:ascii="Arial" w:hAnsi="Arial" w:cs="Arial"/>
          <w:sz w:val="28"/>
          <w:szCs w:val="28"/>
          <w:lang w:val="es-ES"/>
        </w:rPr>
        <w:t xml:space="preserve">limiento de las obligaciones derivadas del contrato, por cualquiera de ellas. </w:t>
      </w:r>
      <w:r w:rsidRPr="00013AED">
        <w:rPr>
          <w:rStyle w:val="Textoennegrita"/>
          <w:rFonts w:ascii="Arial" w:hAnsi="Arial" w:cs="Arial"/>
          <w:sz w:val="28"/>
          <w:szCs w:val="28"/>
          <w:lang w:val="es-ES"/>
        </w:rPr>
        <w:t xml:space="preserve">NOVENA. Independencia del </w:t>
      </w:r>
      <w:proofErr w:type="gramStart"/>
      <w:r w:rsidRPr="00013AED">
        <w:rPr>
          <w:rStyle w:val="Textoennegrita"/>
          <w:rFonts w:ascii="Arial" w:hAnsi="Arial" w:cs="Arial"/>
          <w:sz w:val="28"/>
          <w:szCs w:val="28"/>
          <w:lang w:val="es-ES"/>
        </w:rPr>
        <w:t>contratista.—</w:t>
      </w:r>
      <w:proofErr w:type="gramEnd"/>
      <w:r w:rsidRPr="00013AED">
        <w:rPr>
          <w:rFonts w:ascii="Arial" w:hAnsi="Arial" w:cs="Arial"/>
          <w:sz w:val="28"/>
          <w:szCs w:val="28"/>
          <w:lang w:val="es-ES"/>
        </w:rPr>
        <w:t>El CONTRATISTA actuará por su propia cuenta, con absoluta autonomía y no estará sometido a subordinación laboral con el CONTRATANTE y sus d</w:t>
      </w:r>
      <w:r w:rsidRPr="00013AED">
        <w:rPr>
          <w:rFonts w:ascii="Arial" w:hAnsi="Arial" w:cs="Arial"/>
          <w:sz w:val="28"/>
          <w:szCs w:val="28"/>
          <w:lang w:val="es-ES"/>
        </w:rPr>
        <w:t xml:space="preserve">erechos se limitarán, de acuerdo con la naturaleza del contrato, a exigir el cumplimiento de las obligaciones del CONTRATANTE y al pago de los honorarios estipulados por la prestación del servicio. </w:t>
      </w:r>
      <w:r w:rsidRPr="00013AED">
        <w:rPr>
          <w:rStyle w:val="Textoennegrita"/>
          <w:rFonts w:ascii="Arial" w:hAnsi="Arial" w:cs="Arial"/>
          <w:sz w:val="28"/>
          <w:szCs w:val="28"/>
          <w:lang w:val="es-ES"/>
        </w:rPr>
        <w:t xml:space="preserve">DÉCIMA. Exclusión de la relación </w:t>
      </w:r>
      <w:proofErr w:type="gramStart"/>
      <w:r w:rsidRPr="00013AED">
        <w:rPr>
          <w:rStyle w:val="Textoennegrita"/>
          <w:rFonts w:ascii="Arial" w:hAnsi="Arial" w:cs="Arial"/>
          <w:sz w:val="28"/>
          <w:szCs w:val="28"/>
          <w:lang w:val="es-ES"/>
        </w:rPr>
        <w:t>laboral.—</w:t>
      </w:r>
      <w:proofErr w:type="gramEnd"/>
      <w:r w:rsidRPr="00013AED">
        <w:rPr>
          <w:rFonts w:ascii="Arial" w:hAnsi="Arial" w:cs="Arial"/>
          <w:sz w:val="28"/>
          <w:szCs w:val="28"/>
          <w:lang w:val="es-ES"/>
        </w:rPr>
        <w:t>Queda claramente</w:t>
      </w:r>
      <w:r w:rsidRPr="00013AED">
        <w:rPr>
          <w:rFonts w:ascii="Arial" w:hAnsi="Arial" w:cs="Arial"/>
          <w:sz w:val="28"/>
          <w:szCs w:val="28"/>
          <w:lang w:val="es-ES"/>
        </w:rPr>
        <w:t xml:space="preserve"> entendido que no existirá relación laboral alguna entre el CONTRATANTE y el CONTRATISTA, o el personal que éste utilice en la ejecución del objeto del presente contrato</w:t>
      </w:r>
      <w:r w:rsidRPr="00013AED">
        <w:rPr>
          <w:rFonts w:ascii="Arial" w:hAnsi="Arial" w:cs="Arial"/>
          <w:sz w:val="28"/>
          <w:szCs w:val="28"/>
          <w:lang w:val="es-ES"/>
        </w:rPr>
        <w:t xml:space="preserve"> </w:t>
      </w:r>
      <w:r w:rsidRPr="00013AED">
        <w:rPr>
          <w:rStyle w:val="anchor"/>
          <w:rFonts w:ascii="Arial" w:hAnsi="Arial" w:cs="Arial"/>
          <w:sz w:val="28"/>
          <w:szCs w:val="28"/>
          <w:lang w:val="es-ES"/>
        </w:rPr>
        <w:t>(2</w:t>
      </w:r>
      <w:r w:rsidRPr="00013AED">
        <w:rPr>
          <w:rStyle w:val="anchor"/>
          <w:rFonts w:ascii="Arial" w:hAnsi="Arial" w:cs="Arial"/>
          <w:sz w:val="28"/>
          <w:szCs w:val="28"/>
          <w:lang w:val="es-ES"/>
        </w:rPr>
        <w:t>)</w:t>
      </w:r>
      <w:r w:rsidRPr="00013AED">
        <w:rPr>
          <w:rFonts w:ascii="Arial" w:hAnsi="Arial" w:cs="Arial"/>
          <w:sz w:val="28"/>
          <w:szCs w:val="28"/>
          <w:lang w:val="es-ES"/>
        </w:rPr>
        <w:t xml:space="preserve">. </w:t>
      </w:r>
      <w:r w:rsidRPr="00013AED">
        <w:rPr>
          <w:rStyle w:val="Textoennegrita"/>
          <w:rFonts w:ascii="Arial" w:hAnsi="Arial" w:cs="Arial"/>
          <w:sz w:val="28"/>
          <w:szCs w:val="28"/>
          <w:lang w:val="es-ES"/>
        </w:rPr>
        <w:t xml:space="preserve">DÉCIMO PRIMERA. Cesión del </w:t>
      </w:r>
      <w:proofErr w:type="gramStart"/>
      <w:r w:rsidRPr="00013AED">
        <w:rPr>
          <w:rStyle w:val="Textoennegrita"/>
          <w:rFonts w:ascii="Arial" w:hAnsi="Arial" w:cs="Arial"/>
          <w:sz w:val="28"/>
          <w:szCs w:val="28"/>
          <w:lang w:val="es-ES"/>
        </w:rPr>
        <w:t>contrato.—</w:t>
      </w:r>
      <w:proofErr w:type="gramEnd"/>
      <w:r w:rsidRPr="00013AED">
        <w:rPr>
          <w:rFonts w:ascii="Arial" w:hAnsi="Arial" w:cs="Arial"/>
          <w:sz w:val="28"/>
          <w:szCs w:val="28"/>
          <w:lang w:val="es-ES"/>
        </w:rPr>
        <w:t>Queda prohibido al CONTRATISTA ceder parcial</w:t>
      </w:r>
      <w:r w:rsidRPr="00013AED">
        <w:rPr>
          <w:rFonts w:ascii="Arial" w:hAnsi="Arial" w:cs="Arial"/>
          <w:sz w:val="28"/>
          <w:szCs w:val="28"/>
          <w:lang w:val="es-ES"/>
        </w:rPr>
        <w:t xml:space="preserve"> o totalmente la ejecución del presente contrato a un tercero salvo previa autorización expresa y escrita del CONTRATANTE. </w:t>
      </w:r>
      <w:r w:rsidRPr="00013AED">
        <w:rPr>
          <w:rStyle w:val="Textoennegrita"/>
          <w:rFonts w:ascii="Arial" w:hAnsi="Arial" w:cs="Arial"/>
          <w:sz w:val="28"/>
          <w:szCs w:val="28"/>
          <w:lang w:val="es-ES"/>
        </w:rPr>
        <w:t xml:space="preserve">DÉCIMO SEGUNDA. Domicilio </w:t>
      </w:r>
      <w:proofErr w:type="gramStart"/>
      <w:r w:rsidRPr="00013AED">
        <w:rPr>
          <w:rStyle w:val="Textoennegrita"/>
          <w:rFonts w:ascii="Arial" w:hAnsi="Arial" w:cs="Arial"/>
          <w:sz w:val="28"/>
          <w:szCs w:val="28"/>
          <w:lang w:val="es-ES"/>
        </w:rPr>
        <w:t>contractual.—</w:t>
      </w:r>
      <w:proofErr w:type="gramEnd"/>
      <w:r w:rsidRPr="00013AED">
        <w:rPr>
          <w:rFonts w:ascii="Arial" w:hAnsi="Arial" w:cs="Arial"/>
          <w:sz w:val="28"/>
          <w:szCs w:val="28"/>
          <w:lang w:val="es-ES"/>
        </w:rPr>
        <w:t>Para todos los efectos legales, el domicilio contractual será la ciudad de .......... y las no</w:t>
      </w:r>
      <w:r w:rsidRPr="00013AED">
        <w:rPr>
          <w:rFonts w:ascii="Arial" w:hAnsi="Arial" w:cs="Arial"/>
          <w:sz w:val="28"/>
          <w:szCs w:val="28"/>
          <w:lang w:val="es-ES"/>
        </w:rPr>
        <w:t xml:space="preserve">tificaciones serán recibidas por las partes en las siguientes direcciones: Por el CONTRATANTE en: .......... Por el CONTRATISTA en: .......... </w:t>
      </w:r>
      <w:r w:rsidRPr="00013AED">
        <w:rPr>
          <w:rStyle w:val="Textoennegrita"/>
          <w:rFonts w:ascii="Arial" w:hAnsi="Arial" w:cs="Arial"/>
          <w:sz w:val="28"/>
          <w:szCs w:val="28"/>
          <w:lang w:val="es-ES"/>
        </w:rPr>
        <w:t xml:space="preserve">DÉCIMO TERCERA. Cláusula </w:t>
      </w:r>
      <w:proofErr w:type="gramStart"/>
      <w:r w:rsidRPr="00013AED">
        <w:rPr>
          <w:rStyle w:val="Textoennegrita"/>
          <w:rFonts w:ascii="Arial" w:hAnsi="Arial" w:cs="Arial"/>
          <w:sz w:val="28"/>
          <w:szCs w:val="28"/>
          <w:lang w:val="es-ES"/>
        </w:rPr>
        <w:t>compromisoria.—</w:t>
      </w:r>
      <w:proofErr w:type="gramEnd"/>
      <w:r w:rsidRPr="00013AED">
        <w:rPr>
          <w:rFonts w:ascii="Arial" w:hAnsi="Arial" w:cs="Arial"/>
          <w:sz w:val="28"/>
          <w:szCs w:val="28"/>
          <w:lang w:val="es-ES"/>
        </w:rPr>
        <w:t>Toda controversia o diferencia que pueda surgir con ocasión de este contr</w:t>
      </w:r>
      <w:r w:rsidRPr="00013AED">
        <w:rPr>
          <w:rFonts w:ascii="Arial" w:hAnsi="Arial" w:cs="Arial"/>
          <w:sz w:val="28"/>
          <w:szCs w:val="28"/>
          <w:lang w:val="es-ES"/>
        </w:rPr>
        <w:t>ato, su ejecución y liquidación, se resolverá por un tribunal de arbitramento, de acuerdo con la Ley 1563 de 2012, para lo cual se establecen las siguientes reglas</w:t>
      </w:r>
      <w:r w:rsidRPr="00013AED">
        <w:rPr>
          <w:rFonts w:ascii="Arial" w:hAnsi="Arial" w:cs="Arial"/>
          <w:sz w:val="28"/>
          <w:szCs w:val="28"/>
          <w:lang w:val="es-ES"/>
        </w:rPr>
        <w:t xml:space="preserve"> </w:t>
      </w:r>
      <w:r w:rsidRPr="00013AED">
        <w:rPr>
          <w:rStyle w:val="anchor"/>
          <w:rFonts w:ascii="Arial" w:hAnsi="Arial" w:cs="Arial"/>
          <w:sz w:val="28"/>
          <w:szCs w:val="28"/>
          <w:lang w:val="es-ES"/>
        </w:rPr>
        <w:t>(3</w:t>
      </w:r>
      <w:r w:rsidRPr="00013AED">
        <w:rPr>
          <w:rStyle w:val="anchor"/>
          <w:rFonts w:ascii="Arial" w:hAnsi="Arial" w:cs="Arial"/>
          <w:sz w:val="28"/>
          <w:szCs w:val="28"/>
          <w:lang w:val="es-ES"/>
        </w:rPr>
        <w:t>)</w:t>
      </w:r>
      <w:r w:rsidRPr="00013AED">
        <w:rPr>
          <w:rFonts w:ascii="Arial" w:hAnsi="Arial" w:cs="Arial"/>
          <w:sz w:val="28"/>
          <w:szCs w:val="28"/>
          <w:lang w:val="es-ES"/>
        </w:rPr>
        <w:t>: a) El tipo de arbitraje que se adoptará es .......... (independiente, institucional o l</w:t>
      </w:r>
      <w:r w:rsidRPr="00013AED">
        <w:rPr>
          <w:rFonts w:ascii="Arial" w:hAnsi="Arial" w:cs="Arial"/>
          <w:sz w:val="28"/>
          <w:szCs w:val="28"/>
          <w:lang w:val="es-ES"/>
        </w:rPr>
        <w:t xml:space="preserve">egal), por tanto, el procedimiento establecido para este caso es ..........; b) El tribunal estará integrado por.........tres (3) árbitros, salvo que el asunto a debatir sea de menor cuantía caso en el cual el árbitro será solo uno (1); c) La organización </w:t>
      </w:r>
      <w:r w:rsidRPr="00013AED">
        <w:rPr>
          <w:rFonts w:ascii="Arial" w:hAnsi="Arial" w:cs="Arial"/>
          <w:sz w:val="28"/>
          <w:szCs w:val="28"/>
          <w:lang w:val="es-ES"/>
        </w:rPr>
        <w:t>interna del tribunal se sujetará a las reglas previstas en las disposiciones legales que regulan los centros de arbitraje y conciliación mercantiles; d) El tribunal decidirá en (derecho, en conciencia o en principios técnicos); e) El tribunal funcionará en</w:t>
      </w:r>
      <w:r w:rsidRPr="00013AED">
        <w:rPr>
          <w:rFonts w:ascii="Arial" w:hAnsi="Arial" w:cs="Arial"/>
          <w:sz w:val="28"/>
          <w:szCs w:val="28"/>
          <w:lang w:val="es-ES"/>
        </w:rPr>
        <w:t xml:space="preserve"> la ciudad de ........... En señal de asentimiento las partes suscriben el presente documento en dos ejemplares del mismo tenor, en .......... el .......... (fecha).</w:t>
      </w:r>
    </w:p>
    <w:p w14:paraId="0ABBEAE1" w14:textId="77777777" w:rsidR="00000000" w:rsidRPr="00013AED" w:rsidRDefault="007D1B72">
      <w:pPr>
        <w:pStyle w:val="nueve"/>
        <w:rPr>
          <w:rFonts w:ascii="Arial" w:hAnsi="Arial" w:cs="Arial"/>
          <w:sz w:val="28"/>
          <w:szCs w:val="28"/>
          <w:lang w:val="es-ES"/>
        </w:rPr>
      </w:pPr>
      <w:r w:rsidRPr="00013AED">
        <w:rPr>
          <w:rFonts w:ascii="Arial" w:hAnsi="Arial" w:cs="Arial"/>
          <w:sz w:val="28"/>
          <w:szCs w:val="28"/>
          <w:lang w:val="es-ES"/>
        </w:rPr>
        <w:lastRenderedPageBreak/>
        <w:t>El contratista ____________</w:t>
      </w:r>
    </w:p>
    <w:p w14:paraId="662E5E27" w14:textId="77777777" w:rsidR="00000000" w:rsidRPr="00013AED" w:rsidRDefault="007D1B72">
      <w:pPr>
        <w:pStyle w:val="nueve"/>
        <w:rPr>
          <w:rFonts w:ascii="Arial" w:hAnsi="Arial" w:cs="Arial"/>
          <w:sz w:val="28"/>
          <w:szCs w:val="28"/>
          <w:lang w:val="es-ES"/>
        </w:rPr>
      </w:pPr>
      <w:r w:rsidRPr="00013AED">
        <w:rPr>
          <w:rFonts w:ascii="Arial" w:hAnsi="Arial" w:cs="Arial"/>
          <w:sz w:val="28"/>
          <w:szCs w:val="28"/>
          <w:lang w:val="es-ES"/>
        </w:rPr>
        <w:t>El contratante ____________</w:t>
      </w:r>
    </w:p>
    <w:p w14:paraId="1BDEE2A6" w14:textId="77777777" w:rsidR="00000000" w:rsidRPr="00013AED" w:rsidRDefault="007D1B72">
      <w:pPr>
        <w:pStyle w:val="nueve"/>
        <w:rPr>
          <w:rFonts w:ascii="Arial" w:hAnsi="Arial" w:cs="Arial"/>
          <w:sz w:val="28"/>
          <w:szCs w:val="28"/>
          <w:lang w:val="es-ES"/>
        </w:rPr>
      </w:pPr>
      <w:r w:rsidRPr="00013AED">
        <w:rPr>
          <w:rFonts w:ascii="Arial" w:hAnsi="Arial" w:cs="Arial"/>
          <w:sz w:val="28"/>
          <w:szCs w:val="28"/>
          <w:lang w:val="es-ES"/>
        </w:rPr>
        <w:t>Testigos: ________________</w:t>
      </w:r>
    </w:p>
    <w:p w14:paraId="50A9C409" w14:textId="77777777" w:rsidR="00000000" w:rsidRPr="00013AED" w:rsidRDefault="007D1B72">
      <w:pPr>
        <w:pStyle w:val="Ttulo2"/>
        <w:spacing w:before="180" w:beforeAutospacing="0" w:after="180" w:afterAutospacing="0"/>
        <w:jc w:val="both"/>
        <w:divId w:val="1894392717"/>
        <w:rPr>
          <w:rFonts w:ascii="Arial" w:eastAsia="Times New Roman" w:hAnsi="Arial" w:cs="Arial"/>
          <w:sz w:val="28"/>
          <w:szCs w:val="28"/>
          <w:lang w:val="es-ES"/>
        </w:rPr>
      </w:pPr>
      <w:r w:rsidRPr="00013AED">
        <w:rPr>
          <w:rFonts w:ascii="Arial" w:eastAsia="Times New Roman" w:hAnsi="Arial" w:cs="Arial"/>
          <w:sz w:val="28"/>
          <w:szCs w:val="28"/>
          <w:lang w:val="es-ES"/>
        </w:rPr>
        <w:t>NOTAS G</w:t>
      </w:r>
      <w:r w:rsidRPr="00013AED">
        <w:rPr>
          <w:rFonts w:ascii="Arial" w:eastAsia="Times New Roman" w:hAnsi="Arial" w:cs="Arial"/>
          <w:sz w:val="28"/>
          <w:szCs w:val="28"/>
          <w:lang w:val="es-ES"/>
        </w:rPr>
        <w:t>ENERALES</w:t>
      </w:r>
    </w:p>
    <w:p w14:paraId="1BD25CEC" w14:textId="6BFB6D54" w:rsidR="00000000" w:rsidRPr="00013AED" w:rsidRDefault="007D1B72">
      <w:pPr>
        <w:pStyle w:val="nueve"/>
        <w:divId w:val="1894392717"/>
        <w:rPr>
          <w:rFonts w:ascii="Arial" w:hAnsi="Arial" w:cs="Arial"/>
          <w:sz w:val="28"/>
          <w:szCs w:val="28"/>
          <w:lang w:val="es-ES"/>
        </w:rPr>
      </w:pPr>
      <w:proofErr w:type="gramStart"/>
      <w:r w:rsidRPr="00013AED">
        <w:rPr>
          <w:rStyle w:val="Textoennegrita"/>
          <w:rFonts w:ascii="Arial" w:hAnsi="Arial" w:cs="Arial"/>
          <w:sz w:val="28"/>
          <w:szCs w:val="28"/>
          <w:lang w:val="es-ES"/>
        </w:rPr>
        <w:t>Descripción.—</w:t>
      </w:r>
      <w:proofErr w:type="gramEnd"/>
      <w:r w:rsidRPr="00013AED">
        <w:rPr>
          <w:rFonts w:ascii="Arial" w:hAnsi="Arial" w:cs="Arial"/>
          <w:sz w:val="28"/>
          <w:szCs w:val="28"/>
          <w:lang w:val="es-ES"/>
        </w:rPr>
        <w:t>Este contrato puede ser redactado en forma similar al modelo de contrato anterior, esto es, el contrato de servicios profesionales con abogado.</w:t>
      </w:r>
    </w:p>
    <w:p w14:paraId="7043806E" w14:textId="557FFB6A" w:rsidR="00000000" w:rsidRPr="00013AED" w:rsidRDefault="007D1B72">
      <w:pPr>
        <w:pStyle w:val="nueve"/>
        <w:divId w:val="1894392717"/>
        <w:rPr>
          <w:rFonts w:ascii="Arial" w:hAnsi="Arial" w:cs="Arial"/>
          <w:sz w:val="28"/>
          <w:szCs w:val="28"/>
          <w:lang w:val="es-ES"/>
        </w:rPr>
      </w:pPr>
      <w:r w:rsidRPr="00013AED">
        <w:rPr>
          <w:rStyle w:val="Textoennegrita"/>
          <w:rFonts w:ascii="Arial" w:hAnsi="Arial" w:cs="Arial"/>
          <w:sz w:val="28"/>
          <w:szCs w:val="28"/>
          <w:lang w:val="es-ES"/>
        </w:rPr>
        <w:t xml:space="preserve">Sistema general de seguridad social en </w:t>
      </w:r>
      <w:proofErr w:type="gramStart"/>
      <w:r w:rsidRPr="00013AED">
        <w:rPr>
          <w:rStyle w:val="Textoennegrita"/>
          <w:rFonts w:ascii="Arial" w:hAnsi="Arial" w:cs="Arial"/>
          <w:sz w:val="28"/>
          <w:szCs w:val="28"/>
          <w:lang w:val="es-ES"/>
        </w:rPr>
        <w:t>salud.—</w:t>
      </w:r>
      <w:proofErr w:type="gramEnd"/>
      <w:r w:rsidRPr="00013AED">
        <w:rPr>
          <w:rFonts w:ascii="Arial" w:hAnsi="Arial" w:cs="Arial"/>
          <w:sz w:val="28"/>
          <w:szCs w:val="28"/>
          <w:lang w:val="es-ES"/>
        </w:rPr>
        <w:t xml:space="preserve">En los contratos en donde </w:t>
      </w:r>
      <w:r w:rsidRPr="00013AED">
        <w:rPr>
          <w:rFonts w:ascii="Arial" w:hAnsi="Arial" w:cs="Arial"/>
          <w:sz w:val="28"/>
          <w:szCs w:val="28"/>
          <w:lang w:val="es-ES"/>
        </w:rPr>
        <w:t>esté involucrada la ejecución de un servicio por una persona natural en favor de una persona natural o jurídica de derecho público o privado, tales como contratos de obra, de arrendamiento de servicios, de prestación de servicios, consultoría, asesoría y c</w:t>
      </w:r>
      <w:r w:rsidRPr="00013AED">
        <w:rPr>
          <w:rFonts w:ascii="Arial" w:hAnsi="Arial" w:cs="Arial"/>
          <w:sz w:val="28"/>
          <w:szCs w:val="28"/>
          <w:lang w:val="es-ES"/>
        </w:rPr>
        <w:t>uya duración sea superior a tres (3) meses, la parte contratante deberá verificar la afiliación y pago de aportes al sistema general de seguridad social en salud.</w:t>
      </w:r>
    </w:p>
    <w:p w14:paraId="68A2ECBA" w14:textId="77777777" w:rsidR="00000000" w:rsidRPr="00013AED" w:rsidRDefault="007D1B72">
      <w:pPr>
        <w:pStyle w:val="Ttulo2"/>
        <w:spacing w:before="180" w:beforeAutospacing="0"/>
        <w:jc w:val="both"/>
        <w:divId w:val="1894392717"/>
        <w:rPr>
          <w:rFonts w:ascii="Arial" w:eastAsia="Times New Roman" w:hAnsi="Arial" w:cs="Arial"/>
          <w:b w:val="0"/>
          <w:bCs w:val="0"/>
          <w:sz w:val="28"/>
          <w:szCs w:val="28"/>
          <w:lang w:val="es-ES"/>
        </w:rPr>
      </w:pPr>
      <w:r w:rsidRPr="00013AED">
        <w:rPr>
          <w:rStyle w:val="Textoennegrita"/>
          <w:rFonts w:ascii="Arial" w:eastAsia="Times New Roman" w:hAnsi="Arial" w:cs="Arial"/>
          <w:b/>
          <w:bCs/>
          <w:sz w:val="28"/>
          <w:szCs w:val="28"/>
          <w:lang w:val="es-ES"/>
        </w:rPr>
        <w:t>*(</w:t>
      </w:r>
      <w:r w:rsidRPr="00013AED">
        <w:rPr>
          <w:rFonts w:ascii="Arial" w:eastAsia="Times New Roman" w:hAnsi="Arial" w:cs="Arial"/>
          <w:b w:val="0"/>
          <w:bCs w:val="0"/>
          <w:sz w:val="28"/>
          <w:szCs w:val="28"/>
          <w:lang w:val="es-ES"/>
        </w:rPr>
        <w:t xml:space="preserve">En el evento en que el ingreso base de cotización no corresponda con el valor mensualizado </w:t>
      </w:r>
      <w:r w:rsidRPr="00013AED">
        <w:rPr>
          <w:rFonts w:ascii="Arial" w:eastAsia="Times New Roman" w:hAnsi="Arial" w:cs="Arial"/>
          <w:b w:val="0"/>
          <w:bCs w:val="0"/>
          <w:sz w:val="28"/>
          <w:szCs w:val="28"/>
          <w:lang w:val="es-ES"/>
        </w:rPr>
        <w:t>del contrato, siempre que estén pactados pagos mensuales, el contratante deberá requerir al contratista para que justifique la diferencia. Si esta diferencia no tiene justificación válida, deberá descontar del pago de un (1) mes, lo que falte para completa</w:t>
      </w:r>
      <w:r w:rsidRPr="00013AED">
        <w:rPr>
          <w:rFonts w:ascii="Arial" w:eastAsia="Times New Roman" w:hAnsi="Arial" w:cs="Arial"/>
          <w:b w:val="0"/>
          <w:bCs w:val="0"/>
          <w:sz w:val="28"/>
          <w:szCs w:val="28"/>
          <w:lang w:val="es-ES"/>
        </w:rPr>
        <w:t xml:space="preserve">r el equivalente a la cotización del doce por ciento (12%) sobre el cuarenta por ciento (40%) del valor bruto del contrato, dividido por el tiempo de duración del mismo, en períodos mensuales, para lo cual se entiende que el 60% restante corresponde a los </w:t>
      </w:r>
      <w:r w:rsidRPr="00013AED">
        <w:rPr>
          <w:rFonts w:ascii="Arial" w:eastAsia="Times New Roman" w:hAnsi="Arial" w:cs="Arial"/>
          <w:b w:val="0"/>
          <w:bCs w:val="0"/>
          <w:sz w:val="28"/>
          <w:szCs w:val="28"/>
          <w:lang w:val="es-ES"/>
        </w:rPr>
        <w:t xml:space="preserve">costos imputables al desarrollo de la actividad </w:t>
      </w:r>
      <w:proofErr w:type="gramStart"/>
      <w:r w:rsidRPr="00013AED">
        <w:rPr>
          <w:rFonts w:ascii="Arial" w:eastAsia="Times New Roman" w:hAnsi="Arial" w:cs="Arial"/>
          <w:b w:val="0"/>
          <w:bCs w:val="0"/>
          <w:sz w:val="28"/>
          <w:szCs w:val="28"/>
          <w:lang w:val="es-ES"/>
        </w:rPr>
        <w:t>contratada</w:t>
      </w:r>
      <w:r w:rsidRPr="00013AED">
        <w:rPr>
          <w:rStyle w:val="Textoennegrita"/>
          <w:rFonts w:ascii="Arial" w:eastAsia="Times New Roman" w:hAnsi="Arial" w:cs="Arial"/>
          <w:b/>
          <w:bCs/>
          <w:sz w:val="28"/>
          <w:szCs w:val="28"/>
          <w:lang w:val="es-ES"/>
        </w:rPr>
        <w:t>)*</w:t>
      </w:r>
      <w:proofErr w:type="gramEnd"/>
      <w:r w:rsidRPr="00013AED">
        <w:rPr>
          <w:rFonts w:ascii="Arial" w:eastAsia="Times New Roman" w:hAnsi="Arial" w:cs="Arial"/>
          <w:b w:val="0"/>
          <w:bCs w:val="0"/>
          <w:sz w:val="28"/>
          <w:szCs w:val="28"/>
          <w:lang w:val="es-ES"/>
        </w:rPr>
        <w:t xml:space="preserve">. </w:t>
      </w:r>
      <w:r w:rsidRPr="00013AED">
        <w:rPr>
          <w:rStyle w:val="Textoennegrita"/>
          <w:rFonts w:ascii="Arial" w:eastAsia="Times New Roman" w:hAnsi="Arial" w:cs="Arial"/>
          <w:b/>
          <w:bCs/>
          <w:sz w:val="28"/>
          <w:szCs w:val="28"/>
          <w:lang w:val="es-ES"/>
        </w:rPr>
        <w:t>*</w:t>
      </w:r>
      <w:proofErr w:type="gramStart"/>
      <w:r w:rsidRPr="00013AED">
        <w:rPr>
          <w:rStyle w:val="Textoennegrita"/>
          <w:rFonts w:ascii="Arial" w:eastAsia="Times New Roman" w:hAnsi="Arial" w:cs="Arial"/>
          <w:b/>
          <w:bCs/>
          <w:sz w:val="28"/>
          <w:szCs w:val="28"/>
          <w:lang w:val="es-ES"/>
        </w:rPr>
        <w:t>*(</w:t>
      </w:r>
      <w:r w:rsidRPr="00013AED">
        <w:rPr>
          <w:rFonts w:ascii="Arial" w:eastAsia="Times New Roman" w:hAnsi="Arial" w:cs="Arial"/>
          <w:b w:val="0"/>
          <w:bCs w:val="0"/>
          <w:sz w:val="28"/>
          <w:szCs w:val="28"/>
          <w:lang w:val="es-ES"/>
        </w:rPr>
        <w:t xml:space="preserve"> En</w:t>
      </w:r>
      <w:proofErr w:type="gramEnd"/>
      <w:r w:rsidRPr="00013AED">
        <w:rPr>
          <w:rFonts w:ascii="Arial" w:eastAsia="Times New Roman" w:hAnsi="Arial" w:cs="Arial"/>
          <w:b w:val="0"/>
          <w:bCs w:val="0"/>
          <w:sz w:val="28"/>
          <w:szCs w:val="28"/>
          <w:lang w:val="es-ES"/>
        </w:rPr>
        <w:t xml:space="preserve"> ningún caso, se cotizará sobre una base inferior a dos (2) salarios mínimos legales mensuales vigentes</w:t>
      </w:r>
      <w:r w:rsidRPr="00013AED">
        <w:rPr>
          <w:rStyle w:val="Textoennegrita"/>
          <w:rFonts w:ascii="Arial" w:eastAsia="Times New Roman" w:hAnsi="Arial" w:cs="Arial"/>
          <w:b/>
          <w:bCs/>
          <w:sz w:val="28"/>
          <w:szCs w:val="28"/>
          <w:lang w:val="es-ES"/>
        </w:rPr>
        <w:t>)**</w:t>
      </w:r>
      <w:r w:rsidRPr="00013AED">
        <w:rPr>
          <w:rFonts w:ascii="Arial" w:eastAsia="Times New Roman" w:hAnsi="Arial" w:cs="Arial"/>
          <w:b w:val="0"/>
          <w:bCs w:val="0"/>
          <w:sz w:val="28"/>
          <w:szCs w:val="28"/>
          <w:lang w:val="es-ES"/>
        </w:rPr>
        <w:t>. (...).</w:t>
      </w:r>
    </w:p>
    <w:p w14:paraId="4D6083A5"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En los contratos de vigencia indeterminada, el ingreso base de cotización</w:t>
      </w:r>
      <w:r w:rsidRPr="00013AED">
        <w:rPr>
          <w:rFonts w:ascii="Arial" w:hAnsi="Arial" w:cs="Arial"/>
          <w:sz w:val="28"/>
          <w:szCs w:val="28"/>
          <w:lang w:val="es-ES"/>
        </w:rPr>
        <w:t xml:space="preserve"> será el equivalente al cuarenta por ciento (40%) del valor bruto facturado en forma mensualizada (D. 1703/2002, art. 23). La Sala Plena del Consejo de Estado declaró la nulidad del inciso segundo en sentencia 13707 del 19 de agosto de 2004. M.P. Ligia Lóp</w:t>
      </w:r>
      <w:r w:rsidRPr="00013AED">
        <w:rPr>
          <w:rFonts w:ascii="Arial" w:hAnsi="Arial" w:cs="Arial"/>
          <w:sz w:val="28"/>
          <w:szCs w:val="28"/>
          <w:lang w:val="es-ES"/>
        </w:rPr>
        <w:t xml:space="preserve">ez Díaz salvo la expresión “En ningún caso, se cotizará sobre una base inferior a dos (2) salarios mínimos legales mensuales vigentes” que no fue objeto de </w:t>
      </w:r>
      <w:r w:rsidRPr="00013AED">
        <w:rPr>
          <w:rFonts w:ascii="Arial" w:hAnsi="Arial" w:cs="Arial"/>
          <w:sz w:val="28"/>
          <w:szCs w:val="28"/>
          <w:lang w:val="es-ES"/>
        </w:rPr>
        <w:lastRenderedPageBreak/>
        <w:t xml:space="preserve">estudio. Posteriormente dicha expresión fue declarada nula por la Sala Cuarta del Consejo de Estado </w:t>
      </w:r>
      <w:r w:rsidRPr="00013AED">
        <w:rPr>
          <w:rFonts w:ascii="Arial" w:hAnsi="Arial" w:cs="Arial"/>
          <w:sz w:val="28"/>
          <w:szCs w:val="28"/>
          <w:lang w:val="es-ES"/>
        </w:rPr>
        <w:t>en sentencia 15399 del 12 de octubre de 2006. M.P. Ligia López Díaz, decisión reiterada en sentencia de la Sección Segunda 476-03 de 2008. M.P. Alfonso Vargas Rincón.</w:t>
      </w:r>
    </w:p>
    <w:p w14:paraId="0AA7363F" w14:textId="2C1C9F61" w:rsidR="00000000" w:rsidRPr="00013AED" w:rsidRDefault="007D1B72">
      <w:pPr>
        <w:pStyle w:val="nueve"/>
        <w:divId w:val="1894392717"/>
        <w:rPr>
          <w:rFonts w:ascii="Arial" w:hAnsi="Arial" w:cs="Arial"/>
          <w:sz w:val="28"/>
          <w:szCs w:val="28"/>
          <w:lang w:val="es-ES"/>
        </w:rPr>
      </w:pPr>
      <w:r w:rsidRPr="00013AED">
        <w:rPr>
          <w:rStyle w:val="Textoennegrita"/>
          <w:rFonts w:ascii="Arial" w:hAnsi="Arial" w:cs="Arial"/>
          <w:sz w:val="28"/>
          <w:szCs w:val="28"/>
          <w:lang w:val="es-ES"/>
        </w:rPr>
        <w:t xml:space="preserve">Sistema general de </w:t>
      </w:r>
      <w:proofErr w:type="gramStart"/>
      <w:r w:rsidRPr="00013AED">
        <w:rPr>
          <w:rStyle w:val="Textoennegrita"/>
          <w:rFonts w:ascii="Arial" w:hAnsi="Arial" w:cs="Arial"/>
          <w:sz w:val="28"/>
          <w:szCs w:val="28"/>
          <w:lang w:val="es-ES"/>
        </w:rPr>
        <w:t>pensiones.—</w:t>
      </w:r>
      <w:proofErr w:type="gramEnd"/>
      <w:r w:rsidRPr="00013AED">
        <w:rPr>
          <w:rFonts w:ascii="Arial" w:hAnsi="Arial" w:cs="Arial"/>
          <w:sz w:val="28"/>
          <w:szCs w:val="28"/>
          <w:lang w:val="es-ES"/>
        </w:rPr>
        <w:t>Las personas naturales que prestan directamente se</w:t>
      </w:r>
      <w:r w:rsidRPr="00013AED">
        <w:rPr>
          <w:rFonts w:ascii="Arial" w:hAnsi="Arial" w:cs="Arial"/>
          <w:sz w:val="28"/>
          <w:szCs w:val="28"/>
          <w:lang w:val="es-ES"/>
        </w:rPr>
        <w:t xml:space="preserve">rvicios al Estado o a las entidades o empresas del sector privado bajo la modalidad de contratos de prestación de servicios o cualquier otra modalidad de servicios que adopten, deberán estar afiliados al sistema general de pensiones y su cotización deberá </w:t>
      </w:r>
      <w:r w:rsidRPr="00013AED">
        <w:rPr>
          <w:rFonts w:ascii="Arial" w:hAnsi="Arial" w:cs="Arial"/>
          <w:sz w:val="28"/>
          <w:szCs w:val="28"/>
          <w:lang w:val="es-ES"/>
        </w:rPr>
        <w:t>corresponder a los ingresos que efectivamente perciba el afiliado. Para este propósito, él mismo deberá declarar en el formato que para tal efecto establezca la Superintendencia Bancaria, ante la administradora a la cual se afilie, el monto de los ingresos</w:t>
      </w:r>
      <w:r w:rsidRPr="00013AED">
        <w:rPr>
          <w:rFonts w:ascii="Arial" w:hAnsi="Arial" w:cs="Arial"/>
          <w:sz w:val="28"/>
          <w:szCs w:val="28"/>
          <w:lang w:val="es-ES"/>
        </w:rPr>
        <w:t xml:space="preserve"> que efectivamente percibe, manifestación que se entenderá hecha bajo la gravedad del juramento.</w:t>
      </w:r>
    </w:p>
    <w:p w14:paraId="4BD8D88A"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El afiliado deberá actualizar dicha información, cuando se produzcan cambios significativos en sus ingresos, es decir, en más del 20%, respecto de su declaraci</w:t>
      </w:r>
      <w:r w:rsidRPr="00013AED">
        <w:rPr>
          <w:rFonts w:ascii="Arial" w:hAnsi="Arial" w:cs="Arial"/>
          <w:sz w:val="28"/>
          <w:szCs w:val="28"/>
          <w:lang w:val="es-ES"/>
        </w:rPr>
        <w:t>ón inicial y, en todo caso, por lo menos una vez al año dentro de los dos primeros meses. (...).</w:t>
      </w:r>
    </w:p>
    <w:p w14:paraId="58F8152D"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 xml:space="preserve">La base de cotización del sistema general de pensiones será como mínimo en todos los casos de un salario mínimo legal mensual vigente, y máximo de 25 salarios </w:t>
      </w:r>
      <w:r w:rsidRPr="00013AED">
        <w:rPr>
          <w:rFonts w:ascii="Arial" w:hAnsi="Arial" w:cs="Arial"/>
          <w:sz w:val="28"/>
          <w:szCs w:val="28"/>
          <w:lang w:val="es-ES"/>
        </w:rPr>
        <w:t>mínimos legales mensuales vigentes, límite este que le es aplicable al sistema de seguridad social en salud. Este límite se aplicará a las cotizaciones cuyo pago debe efectuarse a partir del mes de marzo.</w:t>
      </w:r>
    </w:p>
    <w:p w14:paraId="40514088"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La base de cotización para el sistema general de pe</w:t>
      </w:r>
      <w:r w:rsidRPr="00013AED">
        <w:rPr>
          <w:rFonts w:ascii="Arial" w:hAnsi="Arial" w:cs="Arial"/>
          <w:sz w:val="28"/>
          <w:szCs w:val="28"/>
          <w:lang w:val="es-ES"/>
        </w:rPr>
        <w:t>nsiones deberá ser la misma que la base de la cotización del sistema general de seguridad social en salud, salvo que el afiliado cotice para el sistema general de pensiones sobre una base inferior a la mínima establecida para el sistema general de segurida</w:t>
      </w:r>
      <w:r w:rsidRPr="00013AED">
        <w:rPr>
          <w:rFonts w:ascii="Arial" w:hAnsi="Arial" w:cs="Arial"/>
          <w:sz w:val="28"/>
          <w:szCs w:val="28"/>
          <w:lang w:val="es-ES"/>
        </w:rPr>
        <w:t>d social en salud.</w:t>
      </w:r>
    </w:p>
    <w:p w14:paraId="08256B70"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Con el propósito de que estos ingresos se acumulen para la liquidación de la pensión, sobre los mismos debieron haberse realizado los aportes al sistema de seguridad social en salud. De ser diferente la base de cotización, los aportes qu</w:t>
      </w:r>
      <w:r w:rsidRPr="00013AED">
        <w:rPr>
          <w:rFonts w:ascii="Arial" w:hAnsi="Arial" w:cs="Arial"/>
          <w:sz w:val="28"/>
          <w:szCs w:val="28"/>
          <w:lang w:val="es-ES"/>
        </w:rPr>
        <w:t xml:space="preserve">e excedan los realizados al sistema de seguridad social en salud, no se tendrán en cuenta para la liquidación de la pensión y le serán devueltos al afiliado con la fórmula que se utiliza </w:t>
      </w:r>
      <w:r w:rsidRPr="00013AED">
        <w:rPr>
          <w:rFonts w:ascii="Arial" w:hAnsi="Arial" w:cs="Arial"/>
          <w:sz w:val="28"/>
          <w:szCs w:val="28"/>
          <w:lang w:val="es-ES"/>
        </w:rPr>
        <w:lastRenderedPageBreak/>
        <w:t>para el cálculo de la indemnización sustitutiva o la devolución de sa</w:t>
      </w:r>
      <w:r w:rsidRPr="00013AED">
        <w:rPr>
          <w:rFonts w:ascii="Arial" w:hAnsi="Arial" w:cs="Arial"/>
          <w:sz w:val="28"/>
          <w:szCs w:val="28"/>
          <w:lang w:val="es-ES"/>
        </w:rPr>
        <w:t>ldos (D. 510/2003, art. 3º).</w:t>
      </w:r>
    </w:p>
    <w:p w14:paraId="1E976CD9" w14:textId="77777777" w:rsidR="00000000" w:rsidRPr="00013AED" w:rsidRDefault="007D1B72">
      <w:pPr>
        <w:pStyle w:val="Ttulo2"/>
        <w:spacing w:before="180" w:beforeAutospacing="0"/>
        <w:jc w:val="both"/>
        <w:divId w:val="1894392717"/>
        <w:rPr>
          <w:rFonts w:ascii="Arial" w:eastAsia="Times New Roman" w:hAnsi="Arial" w:cs="Arial"/>
          <w:b w:val="0"/>
          <w:bCs w:val="0"/>
          <w:sz w:val="28"/>
          <w:szCs w:val="28"/>
          <w:lang w:val="es-ES"/>
        </w:rPr>
      </w:pPr>
      <w:r w:rsidRPr="00013AED">
        <w:rPr>
          <w:rStyle w:val="Textoennegrita"/>
          <w:rFonts w:ascii="Arial" w:eastAsia="Times New Roman" w:hAnsi="Arial" w:cs="Arial"/>
          <w:b/>
          <w:bCs/>
          <w:sz w:val="28"/>
          <w:szCs w:val="28"/>
          <w:lang w:val="es-ES"/>
        </w:rPr>
        <w:t xml:space="preserve">NOTA: </w:t>
      </w:r>
      <w:r w:rsidRPr="00013AED">
        <w:rPr>
          <w:rFonts w:ascii="Arial" w:eastAsia="Times New Roman" w:hAnsi="Arial" w:cs="Arial"/>
          <w:b w:val="0"/>
          <w:bCs w:val="0"/>
          <w:sz w:val="28"/>
          <w:szCs w:val="28"/>
          <w:lang w:val="es-ES"/>
        </w:rPr>
        <w:t xml:space="preserve">A partir del 26 de noviembre de 2005, fecha de publicación del Decreto 4327, se fusionan la Superintendencia Bancaria de Colombia y la Superintendencia de Valores. En adelante se denominará Superintendencia Financiera de </w:t>
      </w:r>
      <w:r w:rsidRPr="00013AED">
        <w:rPr>
          <w:rFonts w:ascii="Arial" w:eastAsia="Times New Roman" w:hAnsi="Arial" w:cs="Arial"/>
          <w:b w:val="0"/>
          <w:bCs w:val="0"/>
          <w:sz w:val="28"/>
          <w:szCs w:val="28"/>
          <w:lang w:val="es-ES"/>
        </w:rPr>
        <w:t>Colombia.</w:t>
      </w:r>
    </w:p>
    <w:p w14:paraId="32378D69" w14:textId="39C538D8" w:rsidR="00000000" w:rsidRPr="00013AED" w:rsidRDefault="007D1B72">
      <w:pPr>
        <w:pStyle w:val="nueve"/>
        <w:divId w:val="1894392717"/>
        <w:rPr>
          <w:rFonts w:ascii="Arial" w:hAnsi="Arial" w:cs="Arial"/>
          <w:sz w:val="28"/>
          <w:szCs w:val="28"/>
          <w:lang w:val="es-ES"/>
        </w:rPr>
      </w:pPr>
      <w:r w:rsidRPr="00013AED">
        <w:rPr>
          <w:rStyle w:val="Textoennegrita"/>
          <w:rFonts w:ascii="Arial" w:hAnsi="Arial" w:cs="Arial"/>
          <w:sz w:val="28"/>
          <w:szCs w:val="28"/>
          <w:lang w:val="es-ES"/>
        </w:rPr>
        <w:t xml:space="preserve">Sistema general de riesgos </w:t>
      </w:r>
      <w:proofErr w:type="gramStart"/>
      <w:r w:rsidRPr="00013AED">
        <w:rPr>
          <w:rStyle w:val="Textoennegrita"/>
          <w:rFonts w:ascii="Arial" w:hAnsi="Arial" w:cs="Arial"/>
          <w:sz w:val="28"/>
          <w:szCs w:val="28"/>
          <w:lang w:val="es-ES"/>
        </w:rPr>
        <w:t>profesionales.—</w:t>
      </w:r>
      <w:proofErr w:type="gramEnd"/>
      <w:r w:rsidRPr="00013AED">
        <w:rPr>
          <w:rFonts w:ascii="Arial" w:hAnsi="Arial" w:cs="Arial"/>
          <w:sz w:val="28"/>
          <w:szCs w:val="28"/>
          <w:lang w:val="es-ES"/>
        </w:rPr>
        <w:t>Se aplica a los trabajadores independientes que realicen contratos de carácter civil, comercial o administrativo con personas naturales o jurídicas y que cumplan los siguientes requisitos:</w:t>
      </w:r>
    </w:p>
    <w:p w14:paraId="1838C10D"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a) Que</w:t>
      </w:r>
      <w:r w:rsidRPr="00013AED">
        <w:rPr>
          <w:rFonts w:ascii="Arial" w:hAnsi="Arial" w:cs="Arial"/>
          <w:sz w:val="28"/>
          <w:szCs w:val="28"/>
          <w:lang w:val="es-ES"/>
        </w:rPr>
        <w:t xml:space="preserve"> el trabajador independiente realice de manera personal y por su cuenta y riesgo la actividad contratada;</w:t>
      </w:r>
    </w:p>
    <w:p w14:paraId="5452C346"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b) Que en el contrato que se suscriba con el trabajador independiente, cuando es escrito, se establezca específicamente la actividad y el lugar sede d</w:t>
      </w:r>
      <w:r w:rsidRPr="00013AED">
        <w:rPr>
          <w:rFonts w:ascii="Arial" w:hAnsi="Arial" w:cs="Arial"/>
          <w:sz w:val="28"/>
          <w:szCs w:val="28"/>
          <w:lang w:val="es-ES"/>
        </w:rPr>
        <w:t>e la empresa o centro de trabajo donde va a desarrollar sus funciones; en el evento en que el contrato sea verbal, dichas circunstancias se harán constar en el formulario de afiliación al que se refiere el presente decreto;</w:t>
      </w:r>
    </w:p>
    <w:p w14:paraId="061A2D13"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c) Que en el contrato se determi</w:t>
      </w:r>
      <w:r w:rsidRPr="00013AED">
        <w:rPr>
          <w:rFonts w:ascii="Arial" w:hAnsi="Arial" w:cs="Arial"/>
          <w:sz w:val="28"/>
          <w:szCs w:val="28"/>
          <w:lang w:val="es-ES"/>
        </w:rPr>
        <w:t xml:space="preserve">ne el valor de los honorarios o remuneración por los servicios prestados y el tiempo o período de la labor ejecutada. El plazo antes señalado, para efecto de la afiliación al sistema de riesgos profesionales, deberá ser como mínimo igual al indicado en el </w:t>
      </w:r>
      <w:r w:rsidRPr="00013AED">
        <w:rPr>
          <w:rFonts w:ascii="Arial" w:hAnsi="Arial" w:cs="Arial"/>
          <w:sz w:val="28"/>
          <w:szCs w:val="28"/>
          <w:lang w:val="es-ES"/>
        </w:rPr>
        <w:t>artículo 23 del Decreto 1703 de 2002 y demás disposiciones que lo modifiquen, adicionen o sustituyan, para la afiliación de trabajadores independientes al sistema de seguridad social en salud (D. 2800/2003, art. 1º).</w:t>
      </w:r>
    </w:p>
    <w:p w14:paraId="353FE0CF"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La afiliación de los trabajadores indep</w:t>
      </w:r>
      <w:r w:rsidRPr="00013AED">
        <w:rPr>
          <w:rFonts w:ascii="Arial" w:hAnsi="Arial" w:cs="Arial"/>
          <w:sz w:val="28"/>
          <w:szCs w:val="28"/>
          <w:lang w:val="es-ES"/>
        </w:rPr>
        <w:t>endientes al sistema general de riesgos profesionales se hará a través del contratante, en las mismas condiciones y términos establecidos en el Decreto-Ley 1295 de 1994, mediante el diligenciamiento del formulario que contenga los datos especiales que para</w:t>
      </w:r>
      <w:r w:rsidRPr="00013AED">
        <w:rPr>
          <w:rFonts w:ascii="Arial" w:hAnsi="Arial" w:cs="Arial"/>
          <w:sz w:val="28"/>
          <w:szCs w:val="28"/>
          <w:lang w:val="es-ES"/>
        </w:rPr>
        <w:t xml:space="preserve"> tal fin determine la Superintendencia Bancaria, en el cual se deberá precisar: las actividades que ejecutará el contratista, el lugar en el cual se desarrollarán, la clase de riesgo que corresponde a las labores ejecutadas y la clase de riesgo correspondi</w:t>
      </w:r>
      <w:r w:rsidRPr="00013AED">
        <w:rPr>
          <w:rFonts w:ascii="Arial" w:hAnsi="Arial" w:cs="Arial"/>
          <w:sz w:val="28"/>
          <w:szCs w:val="28"/>
          <w:lang w:val="es-ES"/>
        </w:rPr>
        <w:t xml:space="preserve">ente a la empresa o centro de trabajo, así como el horario en el cual deberán </w:t>
      </w:r>
      <w:r w:rsidRPr="00013AED">
        <w:rPr>
          <w:rFonts w:ascii="Arial" w:hAnsi="Arial" w:cs="Arial"/>
          <w:sz w:val="28"/>
          <w:szCs w:val="28"/>
          <w:lang w:val="es-ES"/>
        </w:rPr>
        <w:lastRenderedPageBreak/>
        <w:t>ejecutarse. La información anterior es necesaria para la determinación del riesgo y definición del origen de las contingencias que se lleguen a presentar.</w:t>
      </w:r>
    </w:p>
    <w:p w14:paraId="6EA033CC"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El trabajador independi</w:t>
      </w:r>
      <w:r w:rsidRPr="00013AED">
        <w:rPr>
          <w:rFonts w:ascii="Arial" w:hAnsi="Arial" w:cs="Arial"/>
          <w:sz w:val="28"/>
          <w:szCs w:val="28"/>
          <w:lang w:val="es-ES"/>
        </w:rPr>
        <w:t>ente, deberá manifestar por escrito en el texto del contrato y en las prórrogas del mismo, la intención de afiliarse o no al sistema general de riesgos profesionales. Si el contrato consta por escrito, se allegará copia del mismo a la administradora de rie</w:t>
      </w:r>
      <w:r w:rsidRPr="00013AED">
        <w:rPr>
          <w:rFonts w:ascii="Arial" w:hAnsi="Arial" w:cs="Arial"/>
          <w:sz w:val="28"/>
          <w:szCs w:val="28"/>
          <w:lang w:val="es-ES"/>
        </w:rPr>
        <w:t>sgos profesionales adjuntando para ello el formulario antes mencionado; si el contrato no consta por escrito, la citada manifestación respecto de la voluntad de afiliarse deberá constar directamente en el citado formulario.</w:t>
      </w:r>
    </w:p>
    <w:p w14:paraId="12F007B5"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El contratante que celebre con u</w:t>
      </w:r>
      <w:r w:rsidRPr="00013AED">
        <w:rPr>
          <w:rFonts w:ascii="Arial" w:hAnsi="Arial" w:cs="Arial"/>
          <w:sz w:val="28"/>
          <w:szCs w:val="28"/>
          <w:lang w:val="es-ES"/>
        </w:rPr>
        <w:t>n trabajador independiente contratos de carácter civil, comercial o administrativo, una vez el trabajador le manifieste su intención de afiliarse al sistema, deberá afiliarlo a su administradora de riesgos profesionales, dentro de los dos (2) días siguient</w:t>
      </w:r>
      <w:r w:rsidRPr="00013AED">
        <w:rPr>
          <w:rFonts w:ascii="Arial" w:hAnsi="Arial" w:cs="Arial"/>
          <w:sz w:val="28"/>
          <w:szCs w:val="28"/>
          <w:lang w:val="es-ES"/>
        </w:rPr>
        <w:t>es a la celebración del respectivo contrato. La cobertura del sistema se inicia desde el día calendario siguiente al de la afiliación.</w:t>
      </w:r>
    </w:p>
    <w:p w14:paraId="1D646221"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El trabajador independiente que desee afiliarse al sistema general de riesgos profesionales, deberá estar previamente afi</w:t>
      </w:r>
      <w:r w:rsidRPr="00013AED">
        <w:rPr>
          <w:rFonts w:ascii="Arial" w:hAnsi="Arial" w:cs="Arial"/>
          <w:sz w:val="28"/>
          <w:szCs w:val="28"/>
          <w:lang w:val="es-ES"/>
        </w:rPr>
        <w:t>liado al sistema general de seguridad social en salud y de pensiones, en el siguiente orden: salud, pensiones y riesgos profesionales.</w:t>
      </w:r>
    </w:p>
    <w:p w14:paraId="2F154862"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La afiliación al sistema general de riesgos profesionales, no configura ni desvirtúa posibles relaciones laborales (D. 28</w:t>
      </w:r>
      <w:r w:rsidRPr="00013AED">
        <w:rPr>
          <w:rFonts w:ascii="Arial" w:hAnsi="Arial" w:cs="Arial"/>
          <w:sz w:val="28"/>
          <w:szCs w:val="28"/>
          <w:lang w:val="es-ES"/>
        </w:rPr>
        <w:t>00/2003, art. 3º).</w:t>
      </w:r>
    </w:p>
    <w:p w14:paraId="5E869A83" w14:textId="77777777" w:rsidR="00000000" w:rsidRPr="00013AED" w:rsidRDefault="007D1B72">
      <w:pPr>
        <w:pStyle w:val="Ttulo2"/>
        <w:spacing w:before="180" w:beforeAutospacing="0"/>
        <w:jc w:val="both"/>
        <w:divId w:val="1894392717"/>
        <w:rPr>
          <w:rFonts w:ascii="Arial" w:eastAsia="Times New Roman" w:hAnsi="Arial" w:cs="Arial"/>
          <w:b w:val="0"/>
          <w:bCs w:val="0"/>
          <w:sz w:val="28"/>
          <w:szCs w:val="28"/>
          <w:lang w:val="es-ES"/>
        </w:rPr>
      </w:pPr>
      <w:r w:rsidRPr="00013AED">
        <w:rPr>
          <w:rStyle w:val="Textoennegrita"/>
          <w:rFonts w:ascii="Arial" w:eastAsia="Times New Roman" w:hAnsi="Arial" w:cs="Arial"/>
          <w:b/>
          <w:bCs/>
          <w:sz w:val="28"/>
          <w:szCs w:val="28"/>
          <w:lang w:val="es-ES"/>
        </w:rPr>
        <w:t xml:space="preserve">NOTA: </w:t>
      </w:r>
      <w:r w:rsidRPr="00013AED">
        <w:rPr>
          <w:rFonts w:ascii="Arial" w:eastAsia="Times New Roman" w:hAnsi="Arial" w:cs="Arial"/>
          <w:b w:val="0"/>
          <w:bCs w:val="0"/>
          <w:sz w:val="28"/>
          <w:szCs w:val="28"/>
          <w:lang w:val="es-ES"/>
        </w:rPr>
        <w:t>A partir del 26 de noviembre de 2005, fecha de publicación del Decreto 4327, se fusionan la Superintendencia Bancaria de Colombia y la Superintendencia de Valores. En adelante se denominará Superintendencia Financiera de Colombia.</w:t>
      </w:r>
    </w:p>
    <w:p w14:paraId="6CE2754B" w14:textId="7CE7A6F0" w:rsidR="00000000" w:rsidRPr="00013AED" w:rsidRDefault="007D1B72">
      <w:pPr>
        <w:pStyle w:val="Ttulo2"/>
        <w:spacing w:before="180" w:beforeAutospacing="0" w:after="180" w:afterAutospacing="0"/>
        <w:jc w:val="both"/>
        <w:divId w:val="1894392717"/>
        <w:rPr>
          <w:rFonts w:ascii="Arial" w:eastAsia="Times New Roman" w:hAnsi="Arial" w:cs="Arial"/>
          <w:sz w:val="28"/>
          <w:szCs w:val="28"/>
          <w:lang w:val="es-ES"/>
        </w:rPr>
      </w:pPr>
      <w:r w:rsidRPr="00013AED">
        <w:rPr>
          <w:rFonts w:ascii="Arial" w:eastAsia="Times New Roman" w:hAnsi="Arial" w:cs="Arial"/>
          <w:sz w:val="28"/>
          <w:szCs w:val="28"/>
          <w:lang w:val="es-ES"/>
        </w:rPr>
        <w:t>LLAMADAS</w:t>
      </w:r>
    </w:p>
    <w:p w14:paraId="46BAB90E" w14:textId="77777777" w:rsidR="00000000" w:rsidRPr="00013AED" w:rsidRDefault="007D1B72">
      <w:pPr>
        <w:pStyle w:val="Ttulo2"/>
        <w:spacing w:before="180" w:beforeAutospacing="0"/>
        <w:jc w:val="both"/>
        <w:divId w:val="1894392717"/>
        <w:rPr>
          <w:rFonts w:ascii="Arial" w:eastAsia="Times New Roman" w:hAnsi="Arial" w:cs="Arial"/>
          <w:b w:val="0"/>
          <w:bCs w:val="0"/>
          <w:sz w:val="28"/>
          <w:szCs w:val="28"/>
          <w:lang w:val="es-ES"/>
        </w:rPr>
      </w:pPr>
      <w:r w:rsidRPr="00013AED">
        <w:rPr>
          <w:rFonts w:ascii="Arial" w:eastAsia="Times New Roman" w:hAnsi="Arial" w:cs="Arial"/>
          <w:b w:val="0"/>
          <w:bCs w:val="0"/>
          <w:sz w:val="28"/>
          <w:szCs w:val="28"/>
          <w:lang w:val="es-ES"/>
        </w:rPr>
        <w:t xml:space="preserve">(1) </w:t>
      </w:r>
      <w:r w:rsidRPr="00013AED">
        <w:rPr>
          <w:rStyle w:val="Textoennegrita"/>
          <w:rFonts w:ascii="Arial" w:eastAsia="Times New Roman" w:hAnsi="Arial" w:cs="Arial"/>
          <w:b/>
          <w:bCs/>
          <w:sz w:val="28"/>
          <w:szCs w:val="28"/>
          <w:lang w:val="es-ES"/>
        </w:rPr>
        <w:t>Clá</w:t>
      </w:r>
      <w:r w:rsidRPr="00013AED">
        <w:rPr>
          <w:rStyle w:val="Textoennegrita"/>
          <w:rFonts w:ascii="Arial" w:eastAsia="Times New Roman" w:hAnsi="Arial" w:cs="Arial"/>
          <w:b/>
          <w:bCs/>
          <w:sz w:val="28"/>
          <w:szCs w:val="28"/>
          <w:lang w:val="es-ES"/>
        </w:rPr>
        <w:t xml:space="preserve">usula </w:t>
      </w:r>
      <w:proofErr w:type="gramStart"/>
      <w:r w:rsidRPr="00013AED">
        <w:rPr>
          <w:rStyle w:val="Textoennegrita"/>
          <w:rFonts w:ascii="Arial" w:eastAsia="Times New Roman" w:hAnsi="Arial" w:cs="Arial"/>
          <w:b/>
          <w:bCs/>
          <w:sz w:val="28"/>
          <w:szCs w:val="28"/>
          <w:lang w:val="es-ES"/>
        </w:rPr>
        <w:t>penal.—</w:t>
      </w:r>
      <w:proofErr w:type="gramEnd"/>
      <w:r w:rsidRPr="00013AED">
        <w:rPr>
          <w:rFonts w:ascii="Arial" w:eastAsia="Times New Roman" w:hAnsi="Arial" w:cs="Arial"/>
          <w:b w:val="0"/>
          <w:bCs w:val="0"/>
          <w:sz w:val="28"/>
          <w:szCs w:val="28"/>
          <w:lang w:val="es-ES"/>
        </w:rPr>
        <w:t>Tratándose de un contrato civil la pena y la obligación en conjunto, no pueden exceder del doble de la segunda (C.C., art. 1601). En el evento de un contrato mercantil la pena no podrá ser superior al monto de la prestación principal (C.C., ar</w:t>
      </w:r>
      <w:r w:rsidRPr="00013AED">
        <w:rPr>
          <w:rFonts w:ascii="Arial" w:eastAsia="Times New Roman" w:hAnsi="Arial" w:cs="Arial"/>
          <w:b w:val="0"/>
          <w:bCs w:val="0"/>
          <w:sz w:val="28"/>
          <w:szCs w:val="28"/>
          <w:lang w:val="es-ES"/>
        </w:rPr>
        <w:t>t. 1861).</w:t>
      </w:r>
    </w:p>
    <w:p w14:paraId="045A1CD7"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lastRenderedPageBreak/>
        <w:t xml:space="preserve">La cláusula penal ha sido definida por el artículo 1592 del Código Civil como aquella en que una persona, para asegurar el cumplimiento de una obligación, se sujeta a una pena que consiste en dar o hacer algo en caso de no ejecutar o retardar la </w:t>
      </w:r>
      <w:r w:rsidRPr="00013AED">
        <w:rPr>
          <w:rFonts w:ascii="Arial" w:hAnsi="Arial" w:cs="Arial"/>
          <w:sz w:val="28"/>
          <w:szCs w:val="28"/>
          <w:lang w:val="es-ES"/>
        </w:rPr>
        <w:t>obligación principal.</w:t>
      </w:r>
    </w:p>
    <w:p w14:paraId="101113EA"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Cuando la obligación pactada en la cláusula penal sea positiva, háyase o no estipulado un término dentro del cual deba cumplirse la obligación principal, al deudor no se le puede hacer efectiva esta cláusula hasta que se haya constitu</w:t>
      </w:r>
      <w:r w:rsidRPr="00013AED">
        <w:rPr>
          <w:rFonts w:ascii="Arial" w:hAnsi="Arial" w:cs="Arial"/>
          <w:sz w:val="28"/>
          <w:szCs w:val="28"/>
          <w:lang w:val="es-ES"/>
        </w:rPr>
        <w:t>ido en mora. Sin embargo, esto no impide que se renuncie expresamente al requerimiento para constituir en mora al deudor.</w:t>
      </w:r>
    </w:p>
    <w:p w14:paraId="7A35A722"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 xml:space="preserve">(2) </w:t>
      </w:r>
      <w:r w:rsidRPr="00013AED">
        <w:rPr>
          <w:rStyle w:val="Textoennegrita"/>
          <w:rFonts w:ascii="Arial" w:hAnsi="Arial" w:cs="Arial"/>
          <w:sz w:val="28"/>
          <w:szCs w:val="28"/>
          <w:lang w:val="es-ES"/>
        </w:rPr>
        <w:t>Subordinación jurídica.—</w:t>
      </w:r>
      <w:r w:rsidRPr="00013AED">
        <w:rPr>
          <w:rFonts w:ascii="Arial" w:hAnsi="Arial" w:cs="Arial"/>
          <w:sz w:val="28"/>
          <w:szCs w:val="28"/>
          <w:lang w:val="es-ES"/>
        </w:rPr>
        <w:t>Con relación a este tema la jurisprudencia en reciente fallo a dicho: "los horarios y la realización de tr</w:t>
      </w:r>
      <w:r w:rsidRPr="00013AED">
        <w:rPr>
          <w:rFonts w:ascii="Arial" w:hAnsi="Arial" w:cs="Arial"/>
          <w:sz w:val="28"/>
          <w:szCs w:val="28"/>
          <w:lang w:val="es-ES"/>
        </w:rPr>
        <w:t>abajos en las instalaciones de la empresa no significa</w:t>
      </w:r>
      <w:r w:rsidRPr="00013AED">
        <w:rPr>
          <w:rStyle w:val="inclinada1"/>
          <w:rFonts w:ascii="Arial" w:hAnsi="Arial" w:cs="Arial"/>
          <w:sz w:val="28"/>
          <w:szCs w:val="28"/>
          <w:lang w:val="es-ES"/>
        </w:rPr>
        <w:t xml:space="preserve"> per se </w:t>
      </w:r>
      <w:r w:rsidRPr="00013AED">
        <w:rPr>
          <w:rFonts w:ascii="Arial" w:hAnsi="Arial" w:cs="Arial"/>
          <w:sz w:val="28"/>
          <w:szCs w:val="28"/>
          <w:lang w:val="es-ES"/>
        </w:rPr>
        <w:t>el establecimiento de una dependencia y subordinación, (...) la subordinación típica de la relación de trabajo no se configura automáticamente por el hecho de que desde el inicio o en un determi</w:t>
      </w:r>
      <w:r w:rsidRPr="00013AED">
        <w:rPr>
          <w:rFonts w:ascii="Arial" w:hAnsi="Arial" w:cs="Arial"/>
          <w:sz w:val="28"/>
          <w:szCs w:val="28"/>
          <w:lang w:val="es-ES"/>
        </w:rPr>
        <w:t>nado momento del vínculo jurídico convengan los contratantes un horario de prestación de servicios y la realización de estos dentro de las instalaciones del beneficiario de los mismos, puesto que si bien algunas veces ello puede ser indicio de subordinació</w:t>
      </w:r>
      <w:r w:rsidRPr="00013AED">
        <w:rPr>
          <w:rFonts w:ascii="Arial" w:hAnsi="Arial" w:cs="Arial"/>
          <w:sz w:val="28"/>
          <w:szCs w:val="28"/>
          <w:lang w:val="es-ES"/>
        </w:rPr>
        <w:t>n laboral, tales estipulaciones no son exóticas ni extrañas a negocios jurídicos diferentes a los del trabajo, y en especial a ciertos contratos civiles de prestación de servicios o de obra en los que es razonable una previsión de esa naturaleza para el bu</w:t>
      </w:r>
      <w:r w:rsidRPr="00013AED">
        <w:rPr>
          <w:rFonts w:ascii="Arial" w:hAnsi="Arial" w:cs="Arial"/>
          <w:sz w:val="28"/>
          <w:szCs w:val="28"/>
          <w:lang w:val="es-ES"/>
        </w:rPr>
        <w:t xml:space="preserve">en suceso de lo convenido, sin que por ello se despoje necesariamente el contratista de su independencia. Además, conviene reiterar </w:t>
      </w:r>
      <w:proofErr w:type="gramStart"/>
      <w:r w:rsidRPr="00013AED">
        <w:rPr>
          <w:rFonts w:ascii="Arial" w:hAnsi="Arial" w:cs="Arial"/>
          <w:sz w:val="28"/>
          <w:szCs w:val="28"/>
          <w:lang w:val="es-ES"/>
        </w:rPr>
        <w:t>que</w:t>
      </w:r>
      <w:proofErr w:type="gramEnd"/>
      <w:r w:rsidRPr="00013AED">
        <w:rPr>
          <w:rFonts w:ascii="Arial" w:hAnsi="Arial" w:cs="Arial"/>
          <w:sz w:val="28"/>
          <w:szCs w:val="28"/>
          <w:lang w:val="es-ES"/>
        </w:rPr>
        <w:t xml:space="preserve"> en orden a esclarecer la subordinación, a menos que se pacte ella expresamente por las partes, es menester analizar el c</w:t>
      </w:r>
      <w:r w:rsidRPr="00013AED">
        <w:rPr>
          <w:rFonts w:ascii="Arial" w:hAnsi="Arial" w:cs="Arial"/>
          <w:sz w:val="28"/>
          <w:szCs w:val="28"/>
          <w:lang w:val="es-ES"/>
        </w:rPr>
        <w:t>onjunto de factores determinantes del núcleo de la vinculación jurídica, y no aisladamente algunos de sus elementos, porque es precisamente ese contexto el que permite detectar tanto la real voluntad de los contratantes como la primacía de la realidad sobr</w:t>
      </w:r>
      <w:r w:rsidRPr="00013AED">
        <w:rPr>
          <w:rFonts w:ascii="Arial" w:hAnsi="Arial" w:cs="Arial"/>
          <w:sz w:val="28"/>
          <w:szCs w:val="28"/>
          <w:lang w:val="es-ES"/>
        </w:rPr>
        <w:t>e las formalidades</w:t>
      </w:r>
      <w:r w:rsidRPr="00013AED">
        <w:rPr>
          <w:rStyle w:val="plantilla1"/>
          <w:sz w:val="28"/>
          <w:szCs w:val="28"/>
          <w:lang w:val="es-ES"/>
        </w:rPr>
        <w:t>". (CSJ, S. Laboral</w:t>
      </w:r>
      <w:proofErr w:type="gramStart"/>
      <w:r w:rsidRPr="00013AED">
        <w:rPr>
          <w:rStyle w:val="plantilla1"/>
          <w:sz w:val="28"/>
          <w:szCs w:val="28"/>
          <w:lang w:val="es-ES"/>
        </w:rPr>
        <w:t>. ,</w:t>
      </w:r>
      <w:proofErr w:type="gramEnd"/>
      <w:r w:rsidRPr="00013AED">
        <w:rPr>
          <w:rStyle w:val="plantilla1"/>
          <w:sz w:val="28"/>
          <w:szCs w:val="28"/>
          <w:lang w:val="es-ES"/>
        </w:rPr>
        <w:t xml:space="preserve"> Sent.15678, mayo4/2001. M.P. José Roberto Herrera </w:t>
      </w:r>
      <w:proofErr w:type="gramStart"/>
      <w:r w:rsidRPr="00013AED">
        <w:rPr>
          <w:rStyle w:val="plantilla1"/>
          <w:sz w:val="28"/>
          <w:szCs w:val="28"/>
          <w:lang w:val="es-ES"/>
        </w:rPr>
        <w:t>Vergara )</w:t>
      </w:r>
      <w:proofErr w:type="gramEnd"/>
      <w:r w:rsidRPr="00013AED">
        <w:rPr>
          <w:rStyle w:val="plantilla1"/>
          <w:sz w:val="28"/>
          <w:szCs w:val="28"/>
          <w:lang w:val="es-ES"/>
        </w:rPr>
        <w:t>.</w:t>
      </w:r>
    </w:p>
    <w:p w14:paraId="7759CD37" w14:textId="77777777" w:rsidR="00000000" w:rsidRPr="00013AED" w:rsidRDefault="007D1B72">
      <w:pPr>
        <w:pStyle w:val="Ttulo2"/>
        <w:spacing w:before="180" w:beforeAutospacing="0"/>
        <w:jc w:val="both"/>
        <w:divId w:val="1894392717"/>
        <w:rPr>
          <w:rFonts w:ascii="Arial" w:eastAsia="Times New Roman" w:hAnsi="Arial" w:cs="Arial"/>
          <w:b w:val="0"/>
          <w:bCs w:val="0"/>
          <w:sz w:val="28"/>
          <w:szCs w:val="28"/>
          <w:lang w:val="es-ES"/>
        </w:rPr>
      </w:pPr>
      <w:r w:rsidRPr="00013AED">
        <w:rPr>
          <w:rFonts w:ascii="Arial" w:eastAsia="Times New Roman" w:hAnsi="Arial" w:cs="Arial"/>
          <w:b w:val="0"/>
          <w:bCs w:val="0"/>
          <w:sz w:val="28"/>
          <w:szCs w:val="28"/>
          <w:lang w:val="es-ES"/>
        </w:rPr>
        <w:t xml:space="preserve">(3) </w:t>
      </w:r>
      <w:r w:rsidRPr="00013AED">
        <w:rPr>
          <w:rStyle w:val="Textoennegrita"/>
          <w:rFonts w:ascii="Arial" w:eastAsia="Times New Roman" w:hAnsi="Arial" w:cs="Arial"/>
          <w:b/>
          <w:bCs/>
          <w:sz w:val="28"/>
          <w:szCs w:val="28"/>
          <w:lang w:val="es-ES"/>
        </w:rPr>
        <w:t xml:space="preserve">Cláusula </w:t>
      </w:r>
      <w:proofErr w:type="gramStart"/>
      <w:r w:rsidRPr="00013AED">
        <w:rPr>
          <w:rStyle w:val="Textoennegrita"/>
          <w:rFonts w:ascii="Arial" w:eastAsia="Times New Roman" w:hAnsi="Arial" w:cs="Arial"/>
          <w:b/>
          <w:bCs/>
          <w:sz w:val="28"/>
          <w:szCs w:val="28"/>
          <w:lang w:val="es-ES"/>
        </w:rPr>
        <w:t>compromisoria.—</w:t>
      </w:r>
      <w:proofErr w:type="gramEnd"/>
      <w:r w:rsidRPr="00013AED">
        <w:rPr>
          <w:rFonts w:ascii="Arial" w:eastAsia="Times New Roman" w:hAnsi="Arial" w:cs="Arial"/>
          <w:b w:val="0"/>
          <w:bCs w:val="0"/>
          <w:sz w:val="28"/>
          <w:szCs w:val="28"/>
          <w:lang w:val="es-ES"/>
        </w:rPr>
        <w:t>Esta cláusula es opcional, dado que si las partes deciden dirimir sus diferencias ante la jurisdicción ordinaria, pueden hacer</w:t>
      </w:r>
      <w:r w:rsidRPr="00013AED">
        <w:rPr>
          <w:rFonts w:ascii="Arial" w:eastAsia="Times New Roman" w:hAnsi="Arial" w:cs="Arial"/>
          <w:b w:val="0"/>
          <w:bCs w:val="0"/>
          <w:sz w:val="28"/>
          <w:szCs w:val="28"/>
          <w:lang w:val="es-ES"/>
        </w:rPr>
        <w:t xml:space="preserve">lo. Así mismo, si esta cláusula no es pactada y con posterioridad a la celebración del contrato, las partes deciden someter </w:t>
      </w:r>
      <w:r w:rsidRPr="00013AED">
        <w:rPr>
          <w:rFonts w:ascii="Arial" w:eastAsia="Times New Roman" w:hAnsi="Arial" w:cs="Arial"/>
          <w:b w:val="0"/>
          <w:bCs w:val="0"/>
          <w:sz w:val="28"/>
          <w:szCs w:val="28"/>
          <w:lang w:val="es-ES"/>
        </w:rPr>
        <w:lastRenderedPageBreak/>
        <w:t>las diferencias que han surgido con ocasión de este contrato ante un tribunal arbitral, pueden realizar un compromiso.</w:t>
      </w:r>
    </w:p>
    <w:p w14:paraId="4B22BF93"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La cláusula c</w:t>
      </w:r>
      <w:r w:rsidRPr="00013AED">
        <w:rPr>
          <w:rFonts w:ascii="Arial" w:hAnsi="Arial" w:cs="Arial"/>
          <w:sz w:val="28"/>
          <w:szCs w:val="28"/>
          <w:lang w:val="es-ES"/>
        </w:rPr>
        <w:t>ompromisoria, podrá formar parte de un contrato o constar en documento separado inequívocamente referido a él.</w:t>
      </w:r>
    </w:p>
    <w:p w14:paraId="0F1C4957"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La cláusula compromisoria que se pacte en documento separado del contrato, para producir efectos jurídicos deberá expresar el nombre de las parte</w:t>
      </w:r>
      <w:r w:rsidRPr="00013AED">
        <w:rPr>
          <w:rFonts w:ascii="Arial" w:hAnsi="Arial" w:cs="Arial"/>
          <w:sz w:val="28"/>
          <w:szCs w:val="28"/>
          <w:lang w:val="es-ES"/>
        </w:rPr>
        <w:t>s e indicar en forma precisa el contrato a que se refiere (L. 1653/2012, art. 4º).</w:t>
      </w:r>
    </w:p>
    <w:p w14:paraId="4B364767" w14:textId="77777777" w:rsidR="00000000" w:rsidRPr="00013AED" w:rsidRDefault="007D1B72">
      <w:pPr>
        <w:pStyle w:val="Ttulo2"/>
        <w:spacing w:before="180" w:beforeAutospacing="0"/>
        <w:jc w:val="both"/>
        <w:divId w:val="1894392717"/>
        <w:rPr>
          <w:rFonts w:ascii="Arial" w:eastAsia="Times New Roman" w:hAnsi="Arial" w:cs="Arial"/>
          <w:b w:val="0"/>
          <w:bCs w:val="0"/>
          <w:sz w:val="28"/>
          <w:szCs w:val="28"/>
          <w:lang w:val="es-ES"/>
        </w:rPr>
      </w:pPr>
      <w:r w:rsidRPr="00013AED">
        <w:rPr>
          <w:rStyle w:val="Textoennegrita"/>
          <w:rFonts w:ascii="Arial" w:eastAsia="Times New Roman" w:hAnsi="Arial" w:cs="Arial"/>
          <w:b/>
          <w:bCs/>
          <w:sz w:val="28"/>
          <w:szCs w:val="28"/>
          <w:lang w:val="es-ES"/>
        </w:rPr>
        <w:t xml:space="preserve">Autonomía de la cláusula </w:t>
      </w:r>
      <w:proofErr w:type="gramStart"/>
      <w:r w:rsidRPr="00013AED">
        <w:rPr>
          <w:rStyle w:val="Textoennegrita"/>
          <w:rFonts w:ascii="Arial" w:eastAsia="Times New Roman" w:hAnsi="Arial" w:cs="Arial"/>
          <w:b/>
          <w:bCs/>
          <w:sz w:val="28"/>
          <w:szCs w:val="28"/>
          <w:lang w:val="es-ES"/>
        </w:rPr>
        <w:t>compromisoria.—</w:t>
      </w:r>
      <w:proofErr w:type="gramEnd"/>
      <w:r w:rsidRPr="00013AED">
        <w:rPr>
          <w:rFonts w:ascii="Arial" w:eastAsia="Times New Roman" w:hAnsi="Arial" w:cs="Arial"/>
          <w:b w:val="0"/>
          <w:bCs w:val="0"/>
          <w:sz w:val="28"/>
          <w:szCs w:val="28"/>
          <w:lang w:val="es-ES"/>
        </w:rPr>
        <w:t>La inexistencia, ineficacia o invalidez del contrato no afecta la cláusula compromisoria. En consecuencia, podrán someterse a arbitra</w:t>
      </w:r>
      <w:r w:rsidRPr="00013AED">
        <w:rPr>
          <w:rFonts w:ascii="Arial" w:eastAsia="Times New Roman" w:hAnsi="Arial" w:cs="Arial"/>
          <w:b w:val="0"/>
          <w:bCs w:val="0"/>
          <w:sz w:val="28"/>
          <w:szCs w:val="28"/>
          <w:lang w:val="es-ES"/>
        </w:rPr>
        <w:t xml:space="preserve">je las controversias en las que se debata la existencia, eficacia o validez del contrato y la decisión del tribunal será </w:t>
      </w:r>
      <w:proofErr w:type="gramStart"/>
      <w:r w:rsidRPr="00013AED">
        <w:rPr>
          <w:rFonts w:ascii="Arial" w:eastAsia="Times New Roman" w:hAnsi="Arial" w:cs="Arial"/>
          <w:b w:val="0"/>
          <w:bCs w:val="0"/>
          <w:sz w:val="28"/>
          <w:szCs w:val="28"/>
          <w:lang w:val="es-ES"/>
        </w:rPr>
        <w:t>conducente</w:t>
      </w:r>
      <w:proofErr w:type="gramEnd"/>
      <w:r w:rsidRPr="00013AED">
        <w:rPr>
          <w:rFonts w:ascii="Arial" w:eastAsia="Times New Roman" w:hAnsi="Arial" w:cs="Arial"/>
          <w:b w:val="0"/>
          <w:bCs w:val="0"/>
          <w:sz w:val="28"/>
          <w:szCs w:val="28"/>
          <w:lang w:val="es-ES"/>
        </w:rPr>
        <w:t xml:space="preserve"> aunque el contrato sea inexistente, ineficaz o inválido.</w:t>
      </w:r>
    </w:p>
    <w:p w14:paraId="7C5E081E"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La cesión de un contrato que contenga pacto arbitral, comporta la c</w:t>
      </w:r>
      <w:r w:rsidRPr="00013AED">
        <w:rPr>
          <w:rFonts w:ascii="Arial" w:hAnsi="Arial" w:cs="Arial"/>
          <w:sz w:val="28"/>
          <w:szCs w:val="28"/>
          <w:lang w:val="es-ES"/>
        </w:rPr>
        <w:t>esión de la cláusula compromisoria (L. 1653/2012, art. 5º).</w:t>
      </w:r>
    </w:p>
    <w:p w14:paraId="3E6A4E9A" w14:textId="77777777" w:rsidR="00000000" w:rsidRPr="00013AED" w:rsidRDefault="007D1B72">
      <w:pPr>
        <w:pStyle w:val="Ttulo2"/>
        <w:spacing w:before="180" w:beforeAutospacing="0"/>
        <w:jc w:val="both"/>
        <w:divId w:val="1894392717"/>
        <w:rPr>
          <w:rFonts w:ascii="Arial" w:eastAsia="Times New Roman" w:hAnsi="Arial" w:cs="Arial"/>
          <w:b w:val="0"/>
          <w:bCs w:val="0"/>
          <w:sz w:val="28"/>
          <w:szCs w:val="28"/>
          <w:lang w:val="es-ES"/>
        </w:rPr>
      </w:pPr>
      <w:proofErr w:type="gramStart"/>
      <w:r w:rsidRPr="00013AED">
        <w:rPr>
          <w:rStyle w:val="Textoennegrita"/>
          <w:rFonts w:ascii="Arial" w:eastAsia="Times New Roman" w:hAnsi="Arial" w:cs="Arial"/>
          <w:b/>
          <w:bCs/>
          <w:sz w:val="28"/>
          <w:szCs w:val="28"/>
          <w:lang w:val="es-ES"/>
        </w:rPr>
        <w:t>Compromiso.—</w:t>
      </w:r>
      <w:proofErr w:type="gramEnd"/>
      <w:r w:rsidRPr="00013AED">
        <w:rPr>
          <w:rFonts w:ascii="Arial" w:eastAsia="Times New Roman" w:hAnsi="Arial" w:cs="Arial"/>
          <w:b w:val="0"/>
          <w:bCs w:val="0"/>
          <w:sz w:val="28"/>
          <w:szCs w:val="28"/>
          <w:lang w:val="es-ES"/>
        </w:rPr>
        <w:t>El compromiso es un negocio jurídico, por medio del cual las partes involucradas en un conflicto presente y determinado, convienen resolverlo a través de un tribunal arbitral, podrá co</w:t>
      </w:r>
      <w:r w:rsidRPr="00013AED">
        <w:rPr>
          <w:rFonts w:ascii="Arial" w:eastAsia="Times New Roman" w:hAnsi="Arial" w:cs="Arial"/>
          <w:b w:val="0"/>
          <w:bCs w:val="0"/>
          <w:sz w:val="28"/>
          <w:szCs w:val="28"/>
          <w:lang w:val="es-ES"/>
        </w:rPr>
        <w:t>nstar en cualquier documento, que contenga:</w:t>
      </w:r>
    </w:p>
    <w:p w14:paraId="0F562C69"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1. Los nombres de las partes.</w:t>
      </w:r>
    </w:p>
    <w:p w14:paraId="77F2700A"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2. La indicación de las controversias que se someten al arbitraje.</w:t>
      </w:r>
    </w:p>
    <w:p w14:paraId="2AC11CCE"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3. La indicación del proceso en curso, cuando a ello hubiere lugar. En este caso las partes podrán ampliar o restri</w:t>
      </w:r>
      <w:r w:rsidRPr="00013AED">
        <w:rPr>
          <w:rFonts w:ascii="Arial" w:hAnsi="Arial" w:cs="Arial"/>
          <w:sz w:val="28"/>
          <w:szCs w:val="28"/>
          <w:lang w:val="es-ES"/>
        </w:rPr>
        <w:t>ngir las pretensiones aducidas en aquel (L.1653/2012, art. 6º).</w:t>
      </w:r>
    </w:p>
    <w:p w14:paraId="4D7AD756" w14:textId="77777777" w:rsidR="00000000" w:rsidRPr="00013AED" w:rsidRDefault="007D1B72">
      <w:pPr>
        <w:pStyle w:val="Ttulo2"/>
        <w:spacing w:before="180" w:beforeAutospacing="0"/>
        <w:jc w:val="both"/>
        <w:divId w:val="1894392717"/>
        <w:rPr>
          <w:rFonts w:ascii="Arial" w:eastAsia="Times New Roman" w:hAnsi="Arial" w:cs="Arial"/>
          <w:b w:val="0"/>
          <w:bCs w:val="0"/>
          <w:sz w:val="28"/>
          <w:szCs w:val="28"/>
          <w:lang w:val="es-ES"/>
        </w:rPr>
      </w:pPr>
      <w:r w:rsidRPr="00013AED">
        <w:rPr>
          <w:rStyle w:val="Textoennegrita"/>
          <w:rFonts w:ascii="Arial" w:eastAsia="Times New Roman" w:hAnsi="Arial" w:cs="Arial"/>
          <w:b/>
          <w:bCs/>
          <w:sz w:val="28"/>
          <w:szCs w:val="28"/>
          <w:lang w:val="es-ES"/>
        </w:rPr>
        <w:t xml:space="preserve">Definición de arbitraje, modalidades y </w:t>
      </w:r>
      <w:proofErr w:type="gramStart"/>
      <w:r w:rsidRPr="00013AED">
        <w:rPr>
          <w:rStyle w:val="Textoennegrita"/>
          <w:rFonts w:ascii="Arial" w:eastAsia="Times New Roman" w:hAnsi="Arial" w:cs="Arial"/>
          <w:b/>
          <w:bCs/>
          <w:sz w:val="28"/>
          <w:szCs w:val="28"/>
          <w:lang w:val="es-ES"/>
        </w:rPr>
        <w:t>principios.—</w:t>
      </w:r>
      <w:proofErr w:type="gramEnd"/>
      <w:r w:rsidRPr="00013AED">
        <w:rPr>
          <w:rFonts w:ascii="Arial" w:eastAsia="Times New Roman" w:hAnsi="Arial" w:cs="Arial"/>
          <w:b w:val="0"/>
          <w:bCs w:val="0"/>
          <w:sz w:val="28"/>
          <w:szCs w:val="28"/>
          <w:lang w:val="es-ES"/>
        </w:rPr>
        <w:t>El arbitraje es un mecanismo alternativo de solución de conflictos mediante el cual las partes defieren a árbitros la solución de una controv</w:t>
      </w:r>
      <w:r w:rsidRPr="00013AED">
        <w:rPr>
          <w:rFonts w:ascii="Arial" w:eastAsia="Times New Roman" w:hAnsi="Arial" w:cs="Arial"/>
          <w:b w:val="0"/>
          <w:bCs w:val="0"/>
          <w:sz w:val="28"/>
          <w:szCs w:val="28"/>
          <w:lang w:val="es-ES"/>
        </w:rPr>
        <w:t>ersia relativa a asuntos de libre disposición o aquellos que la ley autorice.</w:t>
      </w:r>
    </w:p>
    <w:p w14:paraId="7CA3E989"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El arbitraje se rige por los principios y reglas de imparcialidad, idoneidad, celeridad, igualdad, oralidad, publicidad y contradicción.</w:t>
      </w:r>
    </w:p>
    <w:p w14:paraId="3743312B"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lastRenderedPageBreak/>
        <w:t>El laudo arbitral es la sentencia que pro</w:t>
      </w:r>
      <w:r w:rsidRPr="00013AED">
        <w:rPr>
          <w:rFonts w:ascii="Arial" w:hAnsi="Arial" w:cs="Arial"/>
          <w:sz w:val="28"/>
          <w:szCs w:val="28"/>
          <w:lang w:val="es-ES"/>
        </w:rPr>
        <w:t>fiere el tribunal de arbitraje. El laudo puede ser en derecho, en equidad o técnico (L. 1653/2012, art. 1º).</w:t>
      </w:r>
    </w:p>
    <w:p w14:paraId="27C216F7"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El arbitraje en derecho es aquel en el cual los árbitros fundamentan su decisión en el derecho positivo vigente. El arbitraje en equidad es aquel e</w:t>
      </w:r>
      <w:r w:rsidRPr="00013AED">
        <w:rPr>
          <w:rFonts w:ascii="Arial" w:hAnsi="Arial" w:cs="Arial"/>
          <w:sz w:val="28"/>
          <w:szCs w:val="28"/>
          <w:lang w:val="es-ES"/>
        </w:rPr>
        <w:t>n que los árbitros deciden según el sentido común y la equidad. Cuando los árbitros pronuncian su fallo en razón de sus específicos conocimientos en una determinada ciencia, arte u oficio, el arbitraje es técnico.</w:t>
      </w:r>
    </w:p>
    <w:p w14:paraId="5BF7BB20"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En los tribunales en que intervenga una en</w:t>
      </w:r>
      <w:r w:rsidRPr="00013AED">
        <w:rPr>
          <w:rFonts w:ascii="Arial" w:hAnsi="Arial" w:cs="Arial"/>
          <w:sz w:val="28"/>
          <w:szCs w:val="28"/>
          <w:lang w:val="es-ES"/>
        </w:rPr>
        <w:t>tidad pública o quien desempeñe funciones administrativas, si las controversias han surgido por causa o con ocasión de la celebración, desarrollo, ejecución, interpretación, terminación y liquidación de contratos estatales, incluyendo las consecuencias eco</w:t>
      </w:r>
      <w:r w:rsidRPr="00013AED">
        <w:rPr>
          <w:rFonts w:ascii="Arial" w:hAnsi="Arial" w:cs="Arial"/>
          <w:sz w:val="28"/>
          <w:szCs w:val="28"/>
          <w:lang w:val="es-ES"/>
        </w:rPr>
        <w:t>nómicas de los actos administrativos expedidos en ejercicio de facultades excepcionales, el laudo deberá proferirse en derecho (L.1653/2012, art. 1º).</w:t>
      </w:r>
    </w:p>
    <w:p w14:paraId="49D299B5" w14:textId="77777777" w:rsidR="00000000" w:rsidRPr="00013AED" w:rsidRDefault="007D1B72">
      <w:pPr>
        <w:pStyle w:val="Ttulo2"/>
        <w:spacing w:before="180" w:beforeAutospacing="0"/>
        <w:jc w:val="both"/>
        <w:divId w:val="1894392717"/>
        <w:rPr>
          <w:rFonts w:ascii="Arial" w:eastAsia="Times New Roman" w:hAnsi="Arial" w:cs="Arial"/>
          <w:b w:val="0"/>
          <w:bCs w:val="0"/>
          <w:sz w:val="28"/>
          <w:szCs w:val="28"/>
          <w:lang w:val="es-ES"/>
        </w:rPr>
      </w:pPr>
      <w:r w:rsidRPr="00013AED">
        <w:rPr>
          <w:rStyle w:val="Textoennegrita"/>
          <w:rFonts w:ascii="Arial" w:eastAsia="Times New Roman" w:hAnsi="Arial" w:cs="Arial"/>
          <w:b/>
          <w:bCs/>
          <w:sz w:val="28"/>
          <w:szCs w:val="28"/>
          <w:lang w:val="es-ES"/>
        </w:rPr>
        <w:t xml:space="preserve">Clases de </w:t>
      </w:r>
      <w:proofErr w:type="gramStart"/>
      <w:r w:rsidRPr="00013AED">
        <w:rPr>
          <w:rStyle w:val="Textoennegrita"/>
          <w:rFonts w:ascii="Arial" w:eastAsia="Times New Roman" w:hAnsi="Arial" w:cs="Arial"/>
          <w:b/>
          <w:bCs/>
          <w:sz w:val="28"/>
          <w:szCs w:val="28"/>
          <w:lang w:val="es-ES"/>
        </w:rPr>
        <w:t>arbitraje.—</w:t>
      </w:r>
      <w:proofErr w:type="gramEnd"/>
      <w:r w:rsidRPr="00013AED">
        <w:rPr>
          <w:rFonts w:ascii="Arial" w:eastAsia="Times New Roman" w:hAnsi="Arial" w:cs="Arial"/>
          <w:b w:val="0"/>
          <w:bCs w:val="0"/>
          <w:sz w:val="28"/>
          <w:szCs w:val="28"/>
          <w:lang w:val="es-ES"/>
        </w:rPr>
        <w:t>El arbitraje será ad hoc, si es conducido directamente por los árbitros, o instituci</w:t>
      </w:r>
      <w:r w:rsidRPr="00013AED">
        <w:rPr>
          <w:rFonts w:ascii="Arial" w:eastAsia="Times New Roman" w:hAnsi="Arial" w:cs="Arial"/>
          <w:b w:val="0"/>
          <w:bCs w:val="0"/>
          <w:sz w:val="28"/>
          <w:szCs w:val="28"/>
          <w:lang w:val="es-ES"/>
        </w:rPr>
        <w:t>onal, si es administrado por un centro de arbitraje. A falta de acuerdo respecto de su naturaleza y cuando en el pacto arbitral las partes guarden silencio, el arbitraje será institucional. Cuando la controversia verse sobre contratos celebrados por una en</w:t>
      </w:r>
      <w:r w:rsidRPr="00013AED">
        <w:rPr>
          <w:rFonts w:ascii="Arial" w:eastAsia="Times New Roman" w:hAnsi="Arial" w:cs="Arial"/>
          <w:b w:val="0"/>
          <w:bCs w:val="0"/>
          <w:sz w:val="28"/>
          <w:szCs w:val="28"/>
          <w:lang w:val="es-ES"/>
        </w:rPr>
        <w:t>tidad pública o quien desempeñe funciones administrativas, el proceso se regirá por las reglas señaladas en la presente ley para el arbitraje institucional.</w:t>
      </w:r>
    </w:p>
    <w:p w14:paraId="2F5FA1DA"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Los procesos arbitrales son de mayor cuantía cuando versen sobre pretensiones patrimoniales superio</w:t>
      </w:r>
      <w:r w:rsidRPr="00013AED">
        <w:rPr>
          <w:rFonts w:ascii="Arial" w:hAnsi="Arial" w:cs="Arial"/>
          <w:sz w:val="28"/>
          <w:szCs w:val="28"/>
          <w:lang w:val="es-ES"/>
        </w:rPr>
        <w:t xml:space="preserve">res a cuatrocientos salarios mínimos legales mensuales vigentes (400 </w:t>
      </w:r>
      <w:proofErr w:type="spellStart"/>
      <w:r w:rsidRPr="00013AED">
        <w:rPr>
          <w:rFonts w:ascii="Arial" w:hAnsi="Arial" w:cs="Arial"/>
          <w:sz w:val="28"/>
          <w:szCs w:val="28"/>
          <w:lang w:val="es-ES"/>
        </w:rPr>
        <w:t>smlmv</w:t>
      </w:r>
      <w:proofErr w:type="spellEnd"/>
      <w:r w:rsidRPr="00013AED">
        <w:rPr>
          <w:rFonts w:ascii="Arial" w:hAnsi="Arial" w:cs="Arial"/>
          <w:sz w:val="28"/>
          <w:szCs w:val="28"/>
          <w:lang w:val="es-ES"/>
        </w:rPr>
        <w:t>) y de menor cuantía, los demás.</w:t>
      </w:r>
    </w:p>
    <w:p w14:paraId="02D0EDA8"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Cuando por razón de la cuantía o de la naturaleza del asunto no se requiera de abogado ante los jueces ordinarios, las partes podrán intervenir direc</w:t>
      </w:r>
      <w:r w:rsidRPr="00013AED">
        <w:rPr>
          <w:rFonts w:ascii="Arial" w:hAnsi="Arial" w:cs="Arial"/>
          <w:sz w:val="28"/>
          <w:szCs w:val="28"/>
          <w:lang w:val="es-ES"/>
        </w:rPr>
        <w:t>tamente en el arbitraje (L.1653/2012, art. 1º).</w:t>
      </w:r>
    </w:p>
    <w:p w14:paraId="243A081F" w14:textId="77777777" w:rsidR="00000000" w:rsidRPr="00013AED" w:rsidRDefault="007D1B72">
      <w:pPr>
        <w:pStyle w:val="Ttulo2"/>
        <w:spacing w:before="180" w:beforeAutospacing="0"/>
        <w:jc w:val="both"/>
        <w:divId w:val="1894392717"/>
        <w:rPr>
          <w:rFonts w:ascii="Arial" w:eastAsia="Times New Roman" w:hAnsi="Arial" w:cs="Arial"/>
          <w:b w:val="0"/>
          <w:bCs w:val="0"/>
          <w:sz w:val="28"/>
          <w:szCs w:val="28"/>
          <w:lang w:val="es-ES"/>
        </w:rPr>
      </w:pPr>
      <w:r w:rsidRPr="00013AED">
        <w:rPr>
          <w:rStyle w:val="Textoennegrita"/>
          <w:rFonts w:ascii="Arial" w:eastAsia="Times New Roman" w:hAnsi="Arial" w:cs="Arial"/>
          <w:b/>
          <w:bCs/>
          <w:sz w:val="28"/>
          <w:szCs w:val="28"/>
          <w:lang w:val="es-ES"/>
        </w:rPr>
        <w:t xml:space="preserve">Centros de </w:t>
      </w:r>
      <w:proofErr w:type="gramStart"/>
      <w:r w:rsidRPr="00013AED">
        <w:rPr>
          <w:rStyle w:val="Textoennegrita"/>
          <w:rFonts w:ascii="Arial" w:eastAsia="Times New Roman" w:hAnsi="Arial" w:cs="Arial"/>
          <w:b/>
          <w:bCs/>
          <w:sz w:val="28"/>
          <w:szCs w:val="28"/>
          <w:lang w:val="es-ES"/>
        </w:rPr>
        <w:t>arbitraje.—</w:t>
      </w:r>
      <w:proofErr w:type="gramEnd"/>
      <w:r w:rsidRPr="00013AED">
        <w:rPr>
          <w:rFonts w:ascii="Arial" w:eastAsia="Times New Roman" w:hAnsi="Arial" w:cs="Arial"/>
          <w:b w:val="0"/>
          <w:bCs w:val="0"/>
          <w:sz w:val="28"/>
          <w:szCs w:val="28"/>
          <w:lang w:val="es-ES"/>
        </w:rPr>
        <w:t>Las entidades públicas y las personas jurídicas sin ánimo de lucro podrán crear centros de arbitraje con autorización del Ministerio de Justicia y del Derecho, previo cumplimiento de los</w:t>
      </w:r>
      <w:r w:rsidRPr="00013AED">
        <w:rPr>
          <w:rFonts w:ascii="Arial" w:eastAsia="Times New Roman" w:hAnsi="Arial" w:cs="Arial"/>
          <w:b w:val="0"/>
          <w:bCs w:val="0"/>
          <w:sz w:val="28"/>
          <w:szCs w:val="28"/>
          <w:lang w:val="es-ES"/>
        </w:rPr>
        <w:t xml:space="preserve"> siguientes requisitos:</w:t>
      </w:r>
    </w:p>
    <w:p w14:paraId="615648AE"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lastRenderedPageBreak/>
        <w:t>1. Estudio de factibilidad desarrollado de acuerdo con la metodología que para el efecto determine el ministerio.</w:t>
      </w:r>
    </w:p>
    <w:p w14:paraId="462F2DA0" w14:textId="77777777" w:rsidR="00000000" w:rsidRPr="00013AED" w:rsidRDefault="007D1B72">
      <w:pPr>
        <w:pStyle w:val="nueve"/>
        <w:divId w:val="1894392717"/>
        <w:rPr>
          <w:rFonts w:ascii="Arial" w:hAnsi="Arial" w:cs="Arial"/>
          <w:sz w:val="28"/>
          <w:szCs w:val="28"/>
          <w:lang w:val="es-ES"/>
        </w:rPr>
      </w:pPr>
      <w:r w:rsidRPr="00013AED">
        <w:rPr>
          <w:rFonts w:ascii="Arial" w:hAnsi="Arial" w:cs="Arial"/>
          <w:sz w:val="28"/>
          <w:szCs w:val="28"/>
          <w:lang w:val="es-ES"/>
        </w:rPr>
        <w:t>2. Acreditar suficiencia de recursos administrativos y financieros (L. 1653/2012, art. 50).</w:t>
      </w:r>
    </w:p>
    <w:p w14:paraId="1AF63AFA" w14:textId="77777777" w:rsidR="007D1B72" w:rsidRPr="00013AED" w:rsidRDefault="007D1B72">
      <w:pPr>
        <w:rPr>
          <w:rFonts w:ascii="Arial" w:eastAsia="Times New Roman" w:hAnsi="Arial" w:cs="Arial"/>
          <w:sz w:val="28"/>
          <w:szCs w:val="28"/>
        </w:rPr>
      </w:pPr>
      <w:r w:rsidRPr="00013AED">
        <w:rPr>
          <w:rFonts w:ascii="Arial" w:hAnsi="Arial" w:cs="Arial"/>
          <w:sz w:val="28"/>
          <w:szCs w:val="28"/>
          <w:lang w:val="es-ES"/>
        </w:rPr>
        <w:pict w14:anchorId="73415937"/>
      </w:r>
    </w:p>
    <w:sectPr w:rsidR="007D1B72" w:rsidRPr="00013A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3AED"/>
    <w:rsid w:val="00013AED"/>
    <w:rsid w:val="007D1B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70AA58"/>
  <w15:chartTrackingRefBased/>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tooltip">
    <w:name w:val="tooltip"/>
    <w:basedOn w:val="Normal"/>
    <w:pPr>
      <w:spacing w:before="100" w:beforeAutospacing="1" w:after="100" w:afterAutospacing="1"/>
    </w:pPr>
    <w:rPr>
      <w:vanish/>
    </w:rPr>
  </w:style>
  <w:style w:type="paragraph" w:customStyle="1" w:styleId="celda">
    <w:name w:val="celda"/>
    <w:basedOn w:val="Normal"/>
    <w:pPr>
      <w:spacing w:before="100" w:beforeAutospacing="1" w:after="100" w:afterAutospacing="1"/>
    </w:pPr>
    <w:rPr>
      <w:rFonts w:ascii="Arial" w:hAnsi="Arial" w:cs="Arial"/>
      <w:sz w:val="26"/>
      <w:szCs w:val="26"/>
    </w:rPr>
  </w:style>
  <w:style w:type="paragraph" w:customStyle="1" w:styleId="codigo-7">
    <w:name w:val="codigo-7"/>
    <w:basedOn w:val="Normal"/>
    <w:pPr>
      <w:spacing w:before="180" w:after="100" w:afterAutospacing="1"/>
    </w:pPr>
    <w:rPr>
      <w:rFonts w:ascii="Open Sans" w:hAnsi="Open Sans" w:cs="Open Sans"/>
      <w:sz w:val="26"/>
      <w:szCs w:val="26"/>
    </w:rPr>
  </w:style>
  <w:style w:type="paragraph" w:customStyle="1" w:styleId="codigo-9">
    <w:name w:val="codigo-9"/>
    <w:basedOn w:val="Normal"/>
    <w:pPr>
      <w:spacing w:before="180" w:after="100" w:afterAutospacing="1"/>
    </w:pPr>
    <w:rPr>
      <w:rFonts w:ascii="Open Sans" w:hAnsi="Open Sans" w:cs="Open Sans"/>
      <w:sz w:val="32"/>
      <w:szCs w:val="32"/>
    </w:rPr>
  </w:style>
  <w:style w:type="paragraph" w:customStyle="1" w:styleId="concordancia">
    <w:name w:val="concordancia"/>
    <w:basedOn w:val="Normal"/>
    <w:pPr>
      <w:spacing w:before="100" w:beforeAutospacing="1" w:after="100" w:afterAutospacing="1"/>
      <w:ind w:firstLine="280"/>
      <w:jc w:val="both"/>
    </w:pPr>
    <w:rPr>
      <w:rFonts w:ascii="Open Sans" w:hAnsi="Open Sans" w:cs="Open Sans"/>
      <w:i/>
      <w:iCs/>
      <w:sz w:val="26"/>
      <w:szCs w:val="26"/>
    </w:rPr>
  </w:style>
  <w:style w:type="paragraph" w:customStyle="1" w:styleId="cuadro">
    <w:name w:val="cuadro"/>
    <w:basedOn w:val="Normal"/>
    <w:pPr>
      <w:spacing w:before="140" w:after="100" w:afterAutospacing="1"/>
      <w:jc w:val="both"/>
    </w:pPr>
    <w:rPr>
      <w:rFonts w:ascii="Open Sans" w:hAnsi="Open Sans" w:cs="Open Sans"/>
      <w:sz w:val="26"/>
      <w:szCs w:val="26"/>
    </w:rPr>
  </w:style>
  <w:style w:type="paragraph" w:customStyle="1" w:styleId="cuerpo">
    <w:name w:val="cuerpo"/>
    <w:basedOn w:val="Normal"/>
    <w:pPr>
      <w:spacing w:before="180" w:after="100" w:afterAutospacing="1"/>
      <w:ind w:firstLine="280"/>
      <w:jc w:val="both"/>
    </w:pPr>
    <w:rPr>
      <w:rFonts w:ascii="Open Sans" w:hAnsi="Open Sans" w:cs="Open Sans"/>
      <w:sz w:val="26"/>
      <w:szCs w:val="26"/>
    </w:rPr>
  </w:style>
  <w:style w:type="paragraph" w:customStyle="1" w:styleId="bordev">
    <w:name w:val="bordev"/>
    <w:basedOn w:val="Normal"/>
    <w:pPr>
      <w:pBdr>
        <w:left w:val="single" w:sz="6" w:space="2" w:color="000000"/>
      </w:pBdr>
      <w:spacing w:before="180" w:after="100" w:afterAutospacing="1"/>
      <w:ind w:firstLine="280"/>
      <w:jc w:val="both"/>
    </w:pPr>
    <w:rPr>
      <w:rFonts w:ascii="Arial" w:hAnsi="Arial" w:cs="Arial"/>
      <w:sz w:val="26"/>
      <w:szCs w:val="26"/>
    </w:rPr>
  </w:style>
  <w:style w:type="paragraph" w:customStyle="1" w:styleId="cuerpo-negra">
    <w:name w:val="cuerpo-negra"/>
    <w:basedOn w:val="Normal"/>
    <w:pPr>
      <w:spacing w:before="180" w:after="100" w:afterAutospacing="1"/>
      <w:ind w:firstLine="280"/>
      <w:jc w:val="both"/>
    </w:pPr>
    <w:rPr>
      <w:rFonts w:ascii="Open Sans" w:hAnsi="Open Sans" w:cs="Open Sans"/>
      <w:b/>
      <w:bCs/>
      <w:sz w:val="26"/>
      <w:szCs w:val="26"/>
    </w:rPr>
  </w:style>
  <w:style w:type="paragraph" w:customStyle="1" w:styleId="cuerpo-titulo">
    <w:name w:val="cuerpo-titulo"/>
    <w:basedOn w:val="Normal"/>
    <w:pPr>
      <w:spacing w:before="180" w:after="100" w:afterAutospacing="1"/>
      <w:jc w:val="center"/>
    </w:pPr>
    <w:rPr>
      <w:rFonts w:ascii="Open Sans" w:hAnsi="Open Sans" w:cs="Open Sans"/>
      <w:sz w:val="26"/>
      <w:szCs w:val="26"/>
    </w:rPr>
  </w:style>
  <w:style w:type="paragraph" w:customStyle="1" w:styleId="cuerpo-titulo-negra">
    <w:name w:val="cuerpo-titulo-negra"/>
    <w:basedOn w:val="Normal"/>
    <w:pPr>
      <w:spacing w:before="180" w:after="100" w:afterAutospacing="1"/>
      <w:jc w:val="center"/>
    </w:pPr>
    <w:rPr>
      <w:rFonts w:ascii="Open Sans" w:hAnsi="Open Sans" w:cs="Open Sans"/>
      <w:b/>
      <w:bCs/>
      <w:sz w:val="26"/>
      <w:szCs w:val="26"/>
    </w:rPr>
  </w:style>
  <w:style w:type="paragraph" w:customStyle="1" w:styleId="jurisprudencia">
    <w:name w:val="jurisprudencia"/>
    <w:basedOn w:val="Normal"/>
    <w:pPr>
      <w:spacing w:before="180" w:after="100" w:afterAutospacing="1"/>
      <w:ind w:firstLine="280"/>
      <w:jc w:val="both"/>
    </w:pPr>
    <w:rPr>
      <w:rFonts w:ascii="Open Sans" w:hAnsi="Open Sans" w:cs="Open Sans"/>
      <w:i/>
      <w:iCs/>
      <w:sz w:val="28"/>
      <w:szCs w:val="28"/>
    </w:rPr>
  </w:style>
  <w:style w:type="paragraph" w:customStyle="1" w:styleId="nivel-1">
    <w:name w:val="nivel-1"/>
    <w:basedOn w:val="Normal"/>
    <w:pPr>
      <w:spacing w:before="560" w:after="560"/>
    </w:pPr>
    <w:rPr>
      <w:rFonts w:ascii="Open Sans" w:hAnsi="Open Sans" w:cs="Open Sans"/>
      <w:b/>
      <w:bCs/>
      <w:sz w:val="48"/>
      <w:szCs w:val="48"/>
    </w:rPr>
  </w:style>
  <w:style w:type="paragraph" w:customStyle="1" w:styleId="nivel-1-2">
    <w:name w:val="nivel-1-2"/>
    <w:basedOn w:val="Normal"/>
    <w:pPr>
      <w:spacing w:before="240" w:after="240"/>
      <w:jc w:val="center"/>
    </w:pPr>
    <w:rPr>
      <w:rFonts w:ascii="Open Sans" w:hAnsi="Open Sans" w:cs="Open Sans"/>
      <w:b/>
      <w:bCs/>
      <w:sz w:val="64"/>
      <w:szCs w:val="64"/>
    </w:rPr>
  </w:style>
  <w:style w:type="paragraph" w:customStyle="1" w:styleId="nivel-2">
    <w:name w:val="nivel-2"/>
    <w:basedOn w:val="Normal"/>
    <w:pPr>
      <w:spacing w:before="120" w:after="120"/>
    </w:pPr>
    <w:rPr>
      <w:rFonts w:ascii="Open Sans" w:hAnsi="Open Sans" w:cs="Open Sans"/>
      <w:b/>
      <w:bCs/>
      <w:sz w:val="56"/>
      <w:szCs w:val="56"/>
    </w:rPr>
  </w:style>
  <w:style w:type="paragraph" w:customStyle="1" w:styleId="nivel-3">
    <w:name w:val="nivel-3"/>
    <w:basedOn w:val="Normal"/>
    <w:pPr>
      <w:spacing w:before="400" w:after="400"/>
    </w:pPr>
    <w:rPr>
      <w:rFonts w:ascii="Open Sans" w:hAnsi="Open Sans" w:cs="Open Sans"/>
      <w:b/>
      <w:bCs/>
      <w:sz w:val="44"/>
      <w:szCs w:val="44"/>
    </w:rPr>
  </w:style>
  <w:style w:type="paragraph" w:customStyle="1" w:styleId="nivel-3-4">
    <w:name w:val="nivel-3-4"/>
    <w:basedOn w:val="Normal"/>
    <w:pPr>
      <w:spacing w:before="180" w:after="100" w:afterAutospacing="1"/>
    </w:pPr>
    <w:rPr>
      <w:rFonts w:ascii="Open Sans" w:hAnsi="Open Sans" w:cs="Open Sans"/>
      <w:b/>
      <w:bCs/>
      <w:sz w:val="42"/>
      <w:szCs w:val="42"/>
    </w:rPr>
  </w:style>
  <w:style w:type="paragraph" w:customStyle="1" w:styleId="nivel-4">
    <w:name w:val="nivel-4"/>
    <w:basedOn w:val="Normal"/>
    <w:pPr>
      <w:spacing w:before="180" w:after="180"/>
    </w:pPr>
    <w:rPr>
      <w:rFonts w:ascii="Open Sans" w:hAnsi="Open Sans" w:cs="Open Sans"/>
      <w:b/>
      <w:bCs/>
      <w:sz w:val="40"/>
      <w:szCs w:val="40"/>
    </w:rPr>
  </w:style>
  <w:style w:type="paragraph" w:customStyle="1" w:styleId="nivel-5">
    <w:name w:val="nivel-5"/>
    <w:basedOn w:val="Normal"/>
    <w:pPr>
      <w:spacing w:before="120" w:after="120"/>
    </w:pPr>
    <w:rPr>
      <w:rFonts w:ascii="Open Sans" w:hAnsi="Open Sans" w:cs="Open Sans"/>
      <w:b/>
      <w:bCs/>
      <w:sz w:val="36"/>
      <w:szCs w:val="36"/>
    </w:rPr>
  </w:style>
  <w:style w:type="paragraph" w:customStyle="1" w:styleId="nivel-5-6">
    <w:name w:val="nivel-5-6"/>
    <w:basedOn w:val="Normal"/>
    <w:pPr>
      <w:spacing w:before="120" w:after="120"/>
    </w:pPr>
    <w:rPr>
      <w:rFonts w:ascii="Open Sans" w:hAnsi="Open Sans" w:cs="Open Sans"/>
      <w:sz w:val="28"/>
      <w:szCs w:val="28"/>
    </w:rPr>
  </w:style>
  <w:style w:type="paragraph" w:customStyle="1" w:styleId="nivel-6">
    <w:name w:val="nivel-6"/>
    <w:basedOn w:val="Normal"/>
    <w:pPr>
      <w:spacing w:before="180" w:after="100" w:afterAutospacing="1"/>
    </w:pPr>
    <w:rPr>
      <w:rFonts w:ascii="Open Sans" w:hAnsi="Open Sans" w:cs="Open Sans"/>
      <w:b/>
      <w:bCs/>
      <w:sz w:val="34"/>
      <w:szCs w:val="34"/>
    </w:rPr>
  </w:style>
  <w:style w:type="paragraph" w:customStyle="1" w:styleId="nivel-7">
    <w:name w:val="nivel-7"/>
    <w:basedOn w:val="Normal"/>
    <w:pPr>
      <w:spacing w:before="120" w:after="120"/>
    </w:pPr>
    <w:rPr>
      <w:rFonts w:ascii="Open Sans" w:hAnsi="Open Sans" w:cs="Open Sans"/>
      <w:b/>
      <w:bCs/>
      <w:sz w:val="32"/>
      <w:szCs w:val="32"/>
    </w:rPr>
  </w:style>
  <w:style w:type="paragraph" w:customStyle="1" w:styleId="nueve">
    <w:name w:val="nueve"/>
    <w:basedOn w:val="Normal"/>
    <w:pPr>
      <w:spacing w:before="180" w:after="100" w:afterAutospacing="1"/>
      <w:jc w:val="both"/>
    </w:pPr>
    <w:rPr>
      <w:rFonts w:ascii="Open Sans" w:hAnsi="Open Sans" w:cs="Open Sans"/>
      <w:sz w:val="32"/>
      <w:szCs w:val="32"/>
    </w:rPr>
  </w:style>
  <w:style w:type="paragraph" w:customStyle="1" w:styleId="nueve-negra">
    <w:name w:val="nueve-negra"/>
    <w:basedOn w:val="Normal"/>
    <w:pPr>
      <w:spacing w:before="180" w:after="100" w:afterAutospacing="1"/>
      <w:jc w:val="both"/>
    </w:pPr>
    <w:rPr>
      <w:rFonts w:ascii="Open Sans" w:hAnsi="Open Sans" w:cs="Open Sans"/>
      <w:b/>
      <w:bCs/>
      <w:sz w:val="32"/>
      <w:szCs w:val="32"/>
    </w:rPr>
  </w:style>
  <w:style w:type="paragraph" w:customStyle="1" w:styleId="nueve-titulo">
    <w:name w:val="nueve-titulo"/>
    <w:basedOn w:val="Normal"/>
    <w:pPr>
      <w:spacing w:before="300" w:after="100" w:afterAutospacing="1"/>
    </w:pPr>
    <w:rPr>
      <w:rFonts w:ascii="Open Sans" w:hAnsi="Open Sans" w:cs="Open Sans"/>
      <w:sz w:val="32"/>
      <w:szCs w:val="32"/>
    </w:rPr>
  </w:style>
  <w:style w:type="paragraph" w:customStyle="1" w:styleId="sangria">
    <w:name w:val="sangria"/>
    <w:basedOn w:val="Normal"/>
    <w:pPr>
      <w:spacing w:before="100" w:beforeAutospacing="1" w:after="100" w:afterAutospacing="1"/>
      <w:ind w:left="560"/>
      <w:jc w:val="both"/>
    </w:pPr>
    <w:rPr>
      <w:rFonts w:ascii="Open Sans" w:hAnsi="Open Sans" w:cs="Open Sans"/>
      <w:sz w:val="32"/>
      <w:szCs w:val="32"/>
    </w:rPr>
  </w:style>
  <w:style w:type="paragraph" w:customStyle="1" w:styleId="sintesis">
    <w:name w:val="sintesis"/>
    <w:basedOn w:val="Normal"/>
    <w:pPr>
      <w:spacing w:before="180" w:after="180"/>
      <w:jc w:val="both"/>
    </w:pPr>
    <w:rPr>
      <w:rFonts w:ascii="Open Sans" w:hAnsi="Open Sans" w:cs="Open Sans"/>
      <w:sz w:val="36"/>
      <w:szCs w:val="36"/>
    </w:rPr>
  </w:style>
  <w:style w:type="paragraph" w:customStyle="1" w:styleId="sintesis-negra">
    <w:name w:val="sintesis-negra"/>
    <w:basedOn w:val="Normal"/>
    <w:pPr>
      <w:spacing w:before="180" w:after="180"/>
      <w:jc w:val="both"/>
    </w:pPr>
    <w:rPr>
      <w:rFonts w:ascii="Open Sans" w:hAnsi="Open Sans" w:cs="Open Sans"/>
      <w:b/>
      <w:bCs/>
      <w:sz w:val="36"/>
      <w:szCs w:val="36"/>
    </w:rPr>
  </w:style>
  <w:style w:type="paragraph" w:customStyle="1" w:styleId="sin-uso">
    <w:name w:val="sin-uso"/>
    <w:basedOn w:val="Normal"/>
    <w:pPr>
      <w:spacing w:before="60" w:after="100" w:afterAutospacing="1"/>
      <w:ind w:firstLine="100"/>
      <w:jc w:val="right"/>
    </w:pPr>
    <w:rPr>
      <w:rFonts w:ascii="Open Sans" w:hAnsi="Open Sans" w:cs="Open Sans"/>
      <w:b/>
      <w:bCs/>
      <w:sz w:val="36"/>
      <w:szCs w:val="36"/>
    </w:rPr>
  </w:style>
  <w:style w:type="paragraph" w:customStyle="1" w:styleId="unico">
    <w:name w:val="unico"/>
    <w:basedOn w:val="Normal"/>
    <w:pPr>
      <w:spacing w:before="180" w:after="100" w:afterAutospacing="1"/>
      <w:jc w:val="both"/>
    </w:pPr>
    <w:rPr>
      <w:rFonts w:ascii="Open Sans" w:hAnsi="Open Sans" w:cs="Open Sans"/>
      <w:sz w:val="32"/>
      <w:szCs w:val="32"/>
    </w:rPr>
  </w:style>
  <w:style w:type="paragraph" w:customStyle="1" w:styleId="novigente">
    <w:name w:val="novigente"/>
    <w:basedOn w:val="Normal"/>
    <w:pPr>
      <w:spacing w:before="40" w:after="40"/>
      <w:jc w:val="both"/>
    </w:pPr>
    <w:rPr>
      <w:rFonts w:ascii="Open Sans" w:hAnsi="Open Sans" w:cs="Open Sans"/>
      <w:color w:val="800000"/>
      <w:sz w:val="32"/>
      <w:szCs w:val="32"/>
    </w:rPr>
  </w:style>
  <w:style w:type="paragraph" w:customStyle="1" w:styleId="novigenteconraya">
    <w:name w:val="novigente_con_raya"/>
    <w:basedOn w:val="Normal"/>
    <w:pPr>
      <w:pBdr>
        <w:left w:val="single" w:sz="6" w:space="0" w:color="000000"/>
      </w:pBdr>
      <w:spacing w:before="40" w:after="40"/>
      <w:jc w:val="both"/>
    </w:pPr>
    <w:rPr>
      <w:rFonts w:ascii="Open Sans" w:hAnsi="Open Sans" w:cs="Open Sans"/>
      <w:color w:val="800000"/>
      <w:sz w:val="32"/>
      <w:szCs w:val="32"/>
    </w:rPr>
  </w:style>
  <w:style w:type="paragraph" w:customStyle="1" w:styleId="sinestilo">
    <w:name w:val="sinestilo"/>
    <w:basedOn w:val="Normal"/>
    <w:pPr>
      <w:spacing w:before="40" w:after="40"/>
      <w:jc w:val="both"/>
    </w:pPr>
    <w:rPr>
      <w:rFonts w:ascii="Open Sans" w:hAnsi="Open Sans" w:cs="Open Sans"/>
      <w:sz w:val="32"/>
      <w:szCs w:val="32"/>
    </w:rPr>
  </w:style>
  <w:style w:type="paragraph" w:customStyle="1" w:styleId="codint">
    <w:name w:val="codint"/>
    <w:basedOn w:val="Normal"/>
    <w:pPr>
      <w:spacing w:before="100" w:beforeAutospacing="1" w:after="150"/>
      <w:jc w:val="right"/>
    </w:pPr>
    <w:rPr>
      <w:rFonts w:ascii="Arial" w:hAnsi="Arial" w:cs="Arial"/>
      <w:b/>
      <w:bCs/>
    </w:rPr>
  </w:style>
  <w:style w:type="paragraph" w:customStyle="1" w:styleId="genpresentacion">
    <w:name w:val="gen_presentacion"/>
    <w:basedOn w:val="Normal"/>
    <w:pPr>
      <w:spacing w:before="100" w:beforeAutospacing="1" w:after="100" w:afterAutospacing="1"/>
      <w:jc w:val="center"/>
    </w:pPr>
    <w:rPr>
      <w:rFonts w:ascii="Open Sans" w:hAnsi="Open Sans" w:cs="Open Sans"/>
      <w:b/>
      <w:bCs/>
      <w:sz w:val="72"/>
      <w:szCs w:val="72"/>
    </w:rPr>
  </w:style>
  <w:style w:type="paragraph" w:customStyle="1" w:styleId="gentitulo">
    <w:name w:val="gen_titulo"/>
    <w:basedOn w:val="Normal"/>
    <w:pPr>
      <w:spacing w:before="100" w:beforeAutospacing="1" w:after="100" w:afterAutospacing="1"/>
      <w:jc w:val="center"/>
    </w:pPr>
    <w:rPr>
      <w:rFonts w:ascii="Open Sans" w:hAnsi="Open Sans" w:cs="Open Sans"/>
      <w:sz w:val="26"/>
      <w:szCs w:val="26"/>
    </w:rPr>
  </w:style>
  <w:style w:type="paragraph" w:customStyle="1" w:styleId="gentextitulo">
    <w:name w:val="gen_textitulo"/>
    <w:basedOn w:val="Normal"/>
    <w:pPr>
      <w:spacing w:before="100" w:beforeAutospacing="1" w:after="100" w:afterAutospacing="1"/>
      <w:jc w:val="center"/>
    </w:pPr>
    <w:rPr>
      <w:rFonts w:ascii="Open Sans" w:hAnsi="Open Sans" w:cs="Open Sans"/>
      <w:sz w:val="26"/>
      <w:szCs w:val="26"/>
    </w:rPr>
  </w:style>
  <w:style w:type="paragraph" w:customStyle="1" w:styleId="gentexcapitulo">
    <w:name w:val="gen_texcapitulo"/>
    <w:basedOn w:val="Normal"/>
    <w:pPr>
      <w:spacing w:before="100" w:beforeAutospacing="1" w:after="100" w:afterAutospacing="1"/>
      <w:jc w:val="center"/>
    </w:pPr>
    <w:rPr>
      <w:rFonts w:ascii="Open Sans" w:hAnsi="Open Sans" w:cs="Open Sans"/>
      <w:sz w:val="26"/>
      <w:szCs w:val="26"/>
    </w:rPr>
  </w:style>
  <w:style w:type="paragraph" w:customStyle="1" w:styleId="codigointerno">
    <w:name w:val="codigointerno"/>
    <w:basedOn w:val="Normal"/>
    <w:pPr>
      <w:spacing w:before="100" w:beforeAutospacing="1" w:after="100" w:afterAutospacing="1"/>
      <w:jc w:val="right"/>
    </w:pPr>
    <w:rPr>
      <w:b/>
      <w:bCs/>
    </w:rPr>
  </w:style>
  <w:style w:type="paragraph" w:customStyle="1" w:styleId="norma-principal">
    <w:name w:val="norma-principal"/>
    <w:basedOn w:val="Normal"/>
    <w:pPr>
      <w:spacing w:before="75" w:after="100" w:afterAutospacing="1"/>
    </w:pPr>
  </w:style>
  <w:style w:type="paragraph" w:customStyle="1" w:styleId="historico-normas">
    <w:name w:val="historico-normas"/>
    <w:basedOn w:val="Normal"/>
    <w:pPr>
      <w:spacing w:before="100" w:beforeAutospacing="1" w:after="100" w:afterAutospacing="1"/>
    </w:pPr>
  </w:style>
  <w:style w:type="paragraph" w:customStyle="1" w:styleId="plantilla">
    <w:name w:val="plantilla"/>
    <w:basedOn w:val="Normal"/>
    <w:pPr>
      <w:spacing w:before="100" w:beforeAutospacing="1" w:after="100" w:afterAutospacing="1"/>
    </w:pPr>
    <w:rPr>
      <w:rFonts w:ascii="Arial" w:hAnsi="Arial" w:cs="Arial"/>
      <w:b/>
      <w:bCs/>
      <w:sz w:val="26"/>
      <w:szCs w:val="26"/>
    </w:rPr>
  </w:style>
  <w:style w:type="paragraph" w:customStyle="1" w:styleId="captiontable">
    <w:name w:val="captiontable"/>
    <w:basedOn w:val="Normal"/>
    <w:pPr>
      <w:spacing w:before="100" w:beforeAutospacing="1" w:after="100" w:afterAutospacing="1"/>
    </w:pPr>
    <w:rPr>
      <w:rFonts w:ascii="Arial" w:hAnsi="Arial" w:cs="Arial"/>
      <w:b/>
      <w:bCs/>
      <w:color w:val="000000"/>
      <w:sz w:val="20"/>
      <w:szCs w:val="20"/>
    </w:rPr>
  </w:style>
  <w:style w:type="paragraph" w:customStyle="1" w:styleId="inclinada">
    <w:name w:val="inclinada"/>
    <w:basedOn w:val="Normal"/>
    <w:pPr>
      <w:spacing w:before="100" w:beforeAutospacing="1" w:after="100" w:afterAutospacing="1"/>
    </w:pPr>
    <w:rPr>
      <w:i/>
      <w:iCs/>
    </w:rPr>
  </w:style>
  <w:style w:type="paragraph" w:customStyle="1" w:styleId="tabulador">
    <w:name w:val="tabulador"/>
    <w:basedOn w:val="Normal"/>
    <w:pPr>
      <w:spacing w:before="100" w:beforeAutospacing="1" w:after="100" w:afterAutospacing="1"/>
    </w:pPr>
    <w:rPr>
      <w:rFonts w:ascii="Courier New" w:hAnsi="Courier New" w:cs="Courier New"/>
      <w:sz w:val="18"/>
      <w:szCs w:val="18"/>
    </w:rPr>
  </w:style>
  <w:style w:type="paragraph" w:customStyle="1" w:styleId="tachado">
    <w:name w:val="tachado"/>
    <w:basedOn w:val="Normal"/>
    <w:pPr>
      <w:spacing w:before="100" w:beforeAutospacing="1" w:after="100" w:afterAutospacing="1"/>
    </w:pPr>
    <w:rPr>
      <w:strike/>
    </w:rPr>
  </w:style>
  <w:style w:type="paragraph" w:customStyle="1" w:styleId="medio">
    <w:name w:val="medio"/>
    <w:basedOn w:val="Normal"/>
    <w:pPr>
      <w:spacing w:before="100" w:beforeAutospacing="1" w:after="100" w:afterAutospacing="1"/>
    </w:pPr>
    <w:rPr>
      <w:color w:val="800080"/>
      <w:u w:val="single"/>
    </w:rPr>
  </w:style>
  <w:style w:type="paragraph" w:customStyle="1" w:styleId="linkpopup">
    <w:name w:val="linkpopup"/>
    <w:basedOn w:val="Normal"/>
    <w:pPr>
      <w:spacing w:before="100" w:beforeAutospacing="1" w:after="100" w:afterAutospacing="1"/>
    </w:pPr>
    <w:rPr>
      <w:color w:val="FF0000"/>
    </w:rPr>
  </w:style>
  <w:style w:type="paragraph" w:customStyle="1" w:styleId="subscript">
    <w:name w:val="subscript"/>
    <w:basedOn w:val="Normal"/>
    <w:pPr>
      <w:spacing w:before="100" w:beforeAutospacing="1" w:after="100" w:afterAutospacing="1"/>
    </w:pPr>
    <w:rPr>
      <w:sz w:val="20"/>
      <w:szCs w:val="20"/>
      <w:vertAlign w:val="subscript"/>
    </w:rPr>
  </w:style>
  <w:style w:type="paragraph" w:customStyle="1" w:styleId="superscript">
    <w:name w:val="superscript"/>
    <w:basedOn w:val="Normal"/>
    <w:pPr>
      <w:spacing w:before="100" w:beforeAutospacing="1" w:after="100" w:afterAutospacing="1"/>
    </w:pPr>
    <w:rPr>
      <w:sz w:val="20"/>
      <w:szCs w:val="20"/>
      <w:vertAlign w:val="superscript"/>
    </w:rPr>
  </w:style>
  <w:style w:type="paragraph" w:customStyle="1" w:styleId="tableall">
    <w:name w:val="tableall"/>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dall">
    <w:name w:val="tdall"/>
    <w:basedOn w:val="Normal"/>
    <w:pPr>
      <w:spacing w:before="100" w:beforeAutospacing="1" w:after="100" w:afterAutospacing="1"/>
    </w:pPr>
    <w:rPr>
      <w:rFonts w:ascii="Arial" w:hAnsi="Arial" w:cs="Arial"/>
      <w:color w:val="000000"/>
      <w:sz w:val="19"/>
      <w:szCs w:val="19"/>
    </w:rPr>
  </w:style>
  <w:style w:type="paragraph" w:customStyle="1" w:styleId="thall">
    <w:name w:val="thall"/>
    <w:basedOn w:val="Normal"/>
    <w:pPr>
      <w:pBdr>
        <w:top w:val="single" w:sz="6" w:space="0" w:color="000000"/>
        <w:left w:val="single" w:sz="6" w:space="0" w:color="000000"/>
        <w:bottom w:val="single" w:sz="6" w:space="0" w:color="000000"/>
        <w:right w:val="single" w:sz="6" w:space="0" w:color="000000"/>
      </w:pBdr>
      <w:shd w:val="clear" w:color="auto" w:fill="C0C0C0"/>
      <w:spacing w:before="100" w:beforeAutospacing="1" w:after="100" w:afterAutospacing="1"/>
    </w:pPr>
    <w:rPr>
      <w:b/>
      <w:bCs/>
      <w:sz w:val="19"/>
      <w:szCs w:val="19"/>
    </w:rPr>
  </w:style>
  <w:style w:type="paragraph" w:customStyle="1" w:styleId="concordancias">
    <w:name w:val="concordancias"/>
    <w:basedOn w:val="Normal"/>
    <w:pPr>
      <w:spacing w:before="100" w:beforeAutospacing="1" w:after="100" w:afterAutospacing="1"/>
    </w:pPr>
  </w:style>
  <w:style w:type="paragraph" w:customStyle="1" w:styleId="temas">
    <w:name w:val="temas"/>
    <w:basedOn w:val="Normal"/>
    <w:pPr>
      <w:shd w:val="clear" w:color="auto" w:fill="C0C0C0"/>
      <w:spacing w:before="100" w:beforeAutospacing="1" w:after="100" w:afterAutospacing="1"/>
    </w:pPr>
  </w:style>
  <w:style w:type="paragraph" w:customStyle="1" w:styleId="tab">
    <w:name w:val="tab"/>
    <w:basedOn w:val="Normal"/>
    <w:pPr>
      <w:spacing w:before="100" w:beforeAutospacing="1" w:after="100" w:afterAutospacing="1"/>
    </w:pPr>
  </w:style>
  <w:style w:type="paragraph" w:customStyle="1" w:styleId="doctrina">
    <w:name w:val="doctrina"/>
    <w:basedOn w:val="Normal"/>
    <w:pPr>
      <w:spacing w:before="100" w:beforeAutospacing="1" w:after="150"/>
      <w:jc w:val="both"/>
    </w:pPr>
    <w:rPr>
      <w:rFonts w:ascii="Arial" w:hAnsi="Arial" w:cs="Arial"/>
      <w:i/>
      <w:iCs/>
      <w:color w:val="000000"/>
    </w:rPr>
  </w:style>
  <w:style w:type="paragraph" w:customStyle="1" w:styleId="linkgroup">
    <w:name w:val="link_group"/>
    <w:basedOn w:val="Normal"/>
    <w:pPr>
      <w:shd w:val="clear" w:color="auto" w:fill="176CFF"/>
      <w:spacing w:before="100" w:beforeAutospacing="1" w:after="100" w:afterAutospacing="1"/>
    </w:pPr>
    <w:rPr>
      <w:rFonts w:ascii="Open Sans" w:hAnsi="Open Sans" w:cs="Open Sans"/>
      <w:b/>
      <w:bCs/>
      <w:color w:val="FFFFFF"/>
      <w:sz w:val="18"/>
      <w:szCs w:val="18"/>
    </w:rPr>
  </w:style>
  <w:style w:type="paragraph" w:customStyle="1" w:styleId="header">
    <w:name w:val="header"/>
    <w:basedOn w:val="Normal"/>
    <w:pPr>
      <w:spacing w:before="100" w:beforeAutospacing="1" w:after="100" w:afterAutospacing="1"/>
    </w:pPr>
    <w:rPr>
      <w:b/>
      <w:bCs/>
    </w:rPr>
  </w:style>
  <w:style w:type="paragraph" w:customStyle="1" w:styleId="panel">
    <w:name w:val="panel"/>
    <w:basedOn w:val="Normal"/>
    <w:pPr>
      <w:spacing w:before="30" w:after="30"/>
      <w:ind w:left="30" w:right="30"/>
    </w:pPr>
  </w:style>
  <w:style w:type="paragraph" w:customStyle="1" w:styleId="container">
    <w:name w:val="container"/>
    <w:basedOn w:val="Normal"/>
    <w:pPr>
      <w:shd w:val="clear" w:color="auto" w:fill="FFFFFF"/>
      <w:spacing w:before="100" w:beforeAutospacing="1" w:after="100" w:afterAutospacing="1"/>
    </w:pPr>
    <w:rPr>
      <w:vanish/>
    </w:rPr>
  </w:style>
  <w:style w:type="paragraph" w:customStyle="1" w:styleId="popup">
    <w:name w:val="popup"/>
    <w:basedOn w:val="Normal"/>
    <w:pPr>
      <w:pBdr>
        <w:left w:val="single" w:sz="24" w:space="0" w:color="CCCCCC"/>
      </w:pBdr>
      <w:spacing w:before="75"/>
      <w:ind w:left="75" w:right="75"/>
    </w:pPr>
  </w:style>
  <w:style w:type="paragraph" w:customStyle="1" w:styleId="tabcont">
    <w:name w:val="tabcont"/>
    <w:basedOn w:val="Normal"/>
    <w:pPr>
      <w:spacing w:before="100" w:beforeAutospacing="1" w:after="100" w:afterAutospacing="1"/>
    </w:pPr>
  </w:style>
  <w:style w:type="paragraph" w:customStyle="1" w:styleId="closebutton">
    <w:name w:val="close_button"/>
    <w:basedOn w:val="Normal"/>
    <w:pPr>
      <w:spacing w:before="100" w:beforeAutospacing="1" w:after="100" w:afterAutospacing="1"/>
    </w:pPr>
    <w:rPr>
      <w:vanish/>
    </w:rPr>
  </w:style>
  <w:style w:type="paragraph" w:customStyle="1" w:styleId="tabs">
    <w:name w:val="tabs"/>
    <w:basedOn w:val="Normal"/>
    <w:pPr>
      <w:spacing w:before="100" w:beforeAutospacing="1" w:after="100" w:afterAutospacing="1"/>
    </w:pPr>
  </w:style>
  <w:style w:type="paragraph" w:customStyle="1" w:styleId="keepbounds">
    <w:name w:val="keepbounds"/>
    <w:basedOn w:val="Normal"/>
    <w:pPr>
      <w:spacing w:before="100" w:beforeAutospacing="1" w:after="100" w:afterAutospacing="1"/>
    </w:pPr>
  </w:style>
  <w:style w:type="paragraph" w:customStyle="1" w:styleId="tablein">
    <w:name w:val="tablein"/>
    <w:basedOn w:val="Normal"/>
    <w:pPr>
      <w:spacing w:before="100" w:beforeAutospacing="1" w:after="100" w:afterAutospacing="1"/>
    </w:pPr>
  </w:style>
  <w:style w:type="paragraph" w:customStyle="1" w:styleId="tablenormal">
    <w:name w:val="tablenormal"/>
    <w:basedOn w:val="Normal"/>
    <w:pPr>
      <w:spacing w:before="100" w:beforeAutospacing="1" w:after="100" w:afterAutospacing="1"/>
    </w:pPr>
  </w:style>
  <w:style w:type="paragraph" w:customStyle="1" w:styleId="cuerpotable">
    <w:name w:val="cuerpo&gt;table"/>
    <w:basedOn w:val="Normal"/>
    <w:pPr>
      <w:spacing w:before="100" w:beforeAutospacing="1" w:after="100" w:afterAutospacing="1"/>
    </w:pPr>
  </w:style>
  <w:style w:type="paragraph" w:customStyle="1" w:styleId="cuadropopup">
    <w:name w:val="cuadro_popup"/>
    <w:basedOn w:val="Normal"/>
    <w:pPr>
      <w:pBdr>
        <w:top w:val="single" w:sz="6" w:space="0" w:color="D6D6D6"/>
        <w:left w:val="single" w:sz="6" w:space="0" w:color="D6D6D6"/>
        <w:bottom w:val="single" w:sz="6" w:space="0" w:color="D6D6D6"/>
        <w:right w:val="single" w:sz="6" w:space="0" w:color="D6D6D6"/>
      </w:pBdr>
      <w:spacing w:before="100" w:beforeAutospacing="1" w:after="100" w:afterAutospacing="1"/>
    </w:pPr>
  </w:style>
  <w:style w:type="paragraph" w:customStyle="1" w:styleId="cuadropopupspanclassclosebtn">
    <w:name w:val="cuadro_popup&gt;span[class=closebtn]"/>
    <w:basedOn w:val="Normal"/>
    <w:pPr>
      <w:spacing w:before="100" w:beforeAutospacing="1" w:after="100" w:afterAutospacing="1"/>
    </w:pPr>
  </w:style>
  <w:style w:type="paragraph" w:customStyle="1" w:styleId="cropimage">
    <w:name w:val="cropimage"/>
    <w:basedOn w:val="Normal"/>
    <w:pPr>
      <w:spacing w:before="100" w:beforeAutospacing="1" w:after="100" w:afterAutospacing="1"/>
    </w:pPr>
  </w:style>
  <w:style w:type="paragraph" w:customStyle="1" w:styleId="cropimagespan">
    <w:name w:val="cropimage&gt;span"/>
    <w:basedOn w:val="Normal"/>
    <w:pPr>
      <w:spacing w:before="100" w:beforeAutospacing="1" w:after="100" w:afterAutospacing="1"/>
    </w:pPr>
    <w:rPr>
      <w:vanish/>
    </w:rPr>
  </w:style>
  <w:style w:type="paragraph" w:customStyle="1" w:styleId="imagen">
    <w:name w:val="imagen"/>
    <w:basedOn w:val="Normal"/>
    <w:pPr>
      <w:spacing w:before="100" w:beforeAutospacing="1" w:after="100" w:afterAutospacing="1"/>
    </w:pPr>
  </w:style>
  <w:style w:type="paragraph" w:customStyle="1" w:styleId="tableinspan">
    <w:name w:val="tablein&gt;span"/>
    <w:basedOn w:val="Normal"/>
    <w:pPr>
      <w:spacing w:before="100" w:beforeAutospacing="1" w:after="100" w:afterAutospacing="1"/>
    </w:pPr>
    <w:rPr>
      <w:vanish/>
    </w:rPr>
  </w:style>
  <w:style w:type="paragraph" w:customStyle="1" w:styleId="closebtn">
    <w:name w:val="closebtn"/>
    <w:basedOn w:val="Normal"/>
    <w:pPr>
      <w:shd w:val="clear" w:color="auto" w:fill="0000FF"/>
      <w:spacing w:before="100" w:beforeAutospacing="1" w:after="100" w:afterAutospacing="1" w:line="375" w:lineRule="atLeast"/>
      <w:jc w:val="center"/>
    </w:pPr>
    <w:rPr>
      <w:rFonts w:ascii="Arial" w:hAnsi="Arial" w:cs="Arial"/>
      <w:color w:val="F5F5F5"/>
      <w:sz w:val="35"/>
      <w:szCs w:val="35"/>
    </w:rPr>
  </w:style>
  <w:style w:type="paragraph" w:customStyle="1" w:styleId="tooltiplink">
    <w:name w:val="tooltip_link"/>
    <w:basedOn w:val="Normal"/>
    <w:pPr>
      <w:shd w:val="clear" w:color="auto" w:fill="D9EDF7"/>
      <w:spacing w:before="100" w:beforeAutospacing="1" w:after="100" w:afterAutospacing="1"/>
      <w:ind w:left="75"/>
    </w:pPr>
    <w:rPr>
      <w:sz w:val="18"/>
      <w:szCs w:val="18"/>
    </w:rPr>
  </w:style>
  <w:style w:type="paragraph" w:customStyle="1" w:styleId="focus">
    <w:name w:val="focus"/>
    <w:basedOn w:val="Normal"/>
    <w:pPr>
      <w:pBdr>
        <w:top w:val="single" w:sz="6" w:space="7" w:color="337AB7"/>
        <w:left w:val="single" w:sz="6" w:space="7" w:color="337AB7"/>
        <w:bottom w:val="single" w:sz="6" w:space="7" w:color="337AB7"/>
        <w:right w:val="single" w:sz="6" w:space="7" w:color="337AB7"/>
      </w:pBdr>
      <w:shd w:val="clear" w:color="auto" w:fill="337AB7"/>
      <w:spacing w:before="100" w:beforeAutospacing="1" w:after="100" w:afterAutospacing="1"/>
    </w:pPr>
  </w:style>
  <w:style w:type="paragraph" w:customStyle="1" w:styleId="body">
    <w:name w:val="body"/>
    <w:basedOn w:val="Normal"/>
    <w:pPr>
      <w:spacing w:before="100" w:beforeAutospacing="1" w:after="100" w:afterAutospacing="1"/>
      <w:ind w:left="150"/>
    </w:pPr>
  </w:style>
  <w:style w:type="paragraph" w:customStyle="1" w:styleId="video-wrapper">
    <w:name w:val="video-wrapper"/>
    <w:basedOn w:val="Normal"/>
    <w:pPr>
      <w:spacing w:before="100" w:beforeAutospacing="1" w:after="100" w:afterAutospacing="1"/>
    </w:pPr>
  </w:style>
  <w:style w:type="paragraph" w:customStyle="1" w:styleId="mark">
    <w:name w:val="mark"/>
    <w:basedOn w:val="Normal"/>
    <w:pPr>
      <w:spacing w:before="100" w:beforeAutospacing="1" w:after="100" w:afterAutospacing="1"/>
    </w:pPr>
  </w:style>
  <w:style w:type="paragraph" w:customStyle="1" w:styleId="note">
    <w:name w:val="note"/>
    <w:basedOn w:val="Normal"/>
    <w:pPr>
      <w:spacing w:before="100" w:beforeAutospacing="1" w:after="100" w:afterAutospacing="1"/>
    </w:pPr>
  </w:style>
  <w:style w:type="paragraph" w:customStyle="1" w:styleId="noteimg">
    <w:name w:val="note&gt;img"/>
    <w:basedOn w:val="Normal"/>
    <w:pPr>
      <w:spacing w:before="100" w:beforeAutospacing="1" w:after="100" w:afterAutospacing="1"/>
    </w:pPr>
  </w:style>
  <w:style w:type="paragraph" w:customStyle="1" w:styleId="is--open">
    <w:name w:val="is--open"/>
    <w:basedOn w:val="Normal"/>
    <w:pPr>
      <w:spacing w:before="100" w:beforeAutospacing="1" w:after="100" w:afterAutospacing="1"/>
    </w:pPr>
  </w:style>
  <w:style w:type="paragraph" w:customStyle="1" w:styleId="containerpag">
    <w:name w:val="containerpag"/>
    <w:basedOn w:val="Normal"/>
    <w:pPr>
      <w:spacing w:before="100" w:beforeAutospacing="1" w:after="100" w:afterAutospacing="1"/>
      <w:jc w:val="center"/>
    </w:pPr>
  </w:style>
  <w:style w:type="paragraph" w:customStyle="1" w:styleId="containerpaga">
    <w:name w:val="containerpag&gt;a"/>
    <w:basedOn w:val="Normal"/>
    <w:pPr>
      <w:spacing w:before="100" w:beforeAutospacing="1" w:after="100" w:afterAutospacing="1" w:line="540" w:lineRule="atLeast"/>
    </w:pPr>
    <w:rPr>
      <w:color w:val="FFFFFF"/>
      <w:sz w:val="21"/>
      <w:szCs w:val="21"/>
    </w:rPr>
  </w:style>
  <w:style w:type="paragraph" w:customStyle="1" w:styleId="video-embeded">
    <w:name w:val="video-embeded"/>
    <w:basedOn w:val="Normal"/>
    <w:pPr>
      <w:spacing w:before="100" w:beforeAutospacing="1" w:after="100" w:afterAutospacing="1"/>
    </w:pPr>
  </w:style>
  <w:style w:type="paragraph" w:customStyle="1" w:styleId="video-title">
    <w:name w:val="video-title"/>
    <w:basedOn w:val="Normal"/>
    <w:pPr>
      <w:spacing w:before="100" w:beforeAutospacing="1" w:after="100" w:afterAutospacing="1"/>
    </w:pPr>
  </w:style>
  <w:style w:type="paragraph" w:customStyle="1" w:styleId="divscroll">
    <w:name w:val="divscroll"/>
    <w:basedOn w:val="Normal"/>
    <w:pPr>
      <w:spacing w:before="100" w:beforeAutospacing="1" w:after="100" w:afterAutospacing="1"/>
    </w:pPr>
  </w:style>
  <w:style w:type="paragraph" w:customStyle="1" w:styleId="content">
    <w:name w:val="content"/>
    <w:basedOn w:val="Normal"/>
    <w:pPr>
      <w:spacing w:before="100" w:beforeAutospacing="1" w:after="100" w:afterAutospacing="1"/>
    </w:pPr>
  </w:style>
  <w:style w:type="paragraph" w:customStyle="1" w:styleId="close">
    <w:name w:val="close"/>
    <w:basedOn w:val="Normal"/>
    <w:pPr>
      <w:spacing w:before="100" w:beforeAutospacing="1" w:after="100" w:afterAutospacing="1"/>
    </w:pPr>
  </w:style>
  <w:style w:type="paragraph" w:customStyle="1" w:styleId="player">
    <w:name w:val="player"/>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mark-rose">
    <w:name w:val="mark-rose"/>
    <w:basedOn w:val="Normal"/>
    <w:pPr>
      <w:shd w:val="clear" w:color="auto" w:fill="E89393"/>
      <w:spacing w:before="100" w:beforeAutospacing="1" w:after="100" w:afterAutospacing="1"/>
    </w:pPr>
  </w:style>
  <w:style w:type="paragraph" w:customStyle="1" w:styleId="mark-orange">
    <w:name w:val="mark-orange"/>
    <w:basedOn w:val="Normal"/>
    <w:pPr>
      <w:shd w:val="clear" w:color="auto" w:fill="FFFF00"/>
      <w:spacing w:before="100" w:beforeAutospacing="1" w:after="100" w:afterAutospacing="1"/>
    </w:pPr>
  </w:style>
  <w:style w:type="paragraph" w:customStyle="1" w:styleId="mark-green">
    <w:name w:val="mark-green"/>
    <w:basedOn w:val="Normal"/>
    <w:pPr>
      <w:shd w:val="clear" w:color="auto" w:fill="96EC9D"/>
      <w:spacing w:before="100" w:beforeAutospacing="1" w:after="100" w:afterAutospacing="1"/>
    </w:pPr>
  </w:style>
  <w:style w:type="paragraph" w:customStyle="1" w:styleId="mark-blue">
    <w:name w:val="mark-blue"/>
    <w:basedOn w:val="Normal"/>
    <w:pPr>
      <w:shd w:val="clear" w:color="auto" w:fill="A3D7F5"/>
      <w:spacing w:before="100" w:beforeAutospacing="1" w:after="100" w:afterAutospacing="1"/>
    </w:pPr>
  </w:style>
  <w:style w:type="paragraph" w:customStyle="1" w:styleId="containerpagtabdisabled">
    <w:name w:val="containerpagtabdisabled"/>
    <w:basedOn w:val="Normal"/>
    <w:pPr>
      <w:shd w:val="clear" w:color="auto" w:fill="DDDDDD"/>
      <w:spacing w:before="100" w:beforeAutospacing="1" w:after="100" w:afterAutospacing="1"/>
    </w:pPr>
    <w:rPr>
      <w:color w:val="000000"/>
    </w:rPr>
  </w:style>
  <w:style w:type="character" w:customStyle="1" w:styleId="anchor">
    <w:name w:val="anchor"/>
    <w:basedOn w:val="Fuentedeprrafopredeter"/>
    <w:rPr>
      <w:u w:val="single"/>
    </w:rPr>
  </w:style>
  <w:style w:type="character" w:customStyle="1" w:styleId="separator">
    <w:name w:val="separator"/>
    <w:basedOn w:val="Fuentedeprrafopredeter"/>
  </w:style>
  <w:style w:type="paragraph" w:customStyle="1" w:styleId="active">
    <w:name w:val="active"/>
    <w:basedOn w:val="Normal"/>
    <w:pPr>
      <w:spacing w:before="100" w:beforeAutospacing="1" w:after="100" w:afterAutospacing="1"/>
    </w:pPr>
  </w:style>
  <w:style w:type="paragraph" w:customStyle="1" w:styleId="container1">
    <w:name w:val="container1"/>
    <w:basedOn w:val="Normal"/>
    <w:pPr>
      <w:shd w:val="clear" w:color="auto" w:fill="FFFFFF"/>
      <w:spacing w:before="100" w:beforeAutospacing="1" w:after="100" w:afterAutospacing="1"/>
    </w:pPr>
    <w:rPr>
      <w:vanish/>
    </w:rPr>
  </w:style>
  <w:style w:type="paragraph" w:customStyle="1" w:styleId="closebutton1">
    <w:name w:val="close_button1"/>
    <w:basedOn w:val="Normal"/>
    <w:pPr>
      <w:spacing w:before="100" w:beforeAutospacing="1" w:after="100" w:afterAutospacing="1"/>
    </w:pPr>
    <w:rPr>
      <w:vanish/>
    </w:rPr>
  </w:style>
  <w:style w:type="paragraph" w:customStyle="1" w:styleId="panel1">
    <w:name w:val="panel1"/>
    <w:basedOn w:val="Normal"/>
  </w:style>
  <w:style w:type="paragraph" w:customStyle="1" w:styleId="header1">
    <w:name w:val="header1"/>
    <w:basedOn w:val="Normal"/>
    <w:pPr>
      <w:spacing w:before="100" w:beforeAutospacing="1" w:after="100" w:afterAutospacing="1"/>
    </w:pPr>
    <w:rPr>
      <w:b/>
      <w:bCs/>
      <w:vanish/>
    </w:rPr>
  </w:style>
  <w:style w:type="paragraph" w:customStyle="1" w:styleId="tabcont1">
    <w:name w:val="tabcont1"/>
    <w:basedOn w:val="Normal"/>
    <w:pPr>
      <w:spacing w:before="100" w:beforeAutospacing="1" w:after="100" w:afterAutospacing="1"/>
    </w:pPr>
  </w:style>
  <w:style w:type="paragraph" w:customStyle="1" w:styleId="popup1">
    <w:name w:val="popup1"/>
    <w:basedOn w:val="Normal"/>
    <w:pPr>
      <w:pBdr>
        <w:left w:val="single" w:sz="24" w:space="0" w:color="CCCCCC"/>
      </w:pBdr>
      <w:spacing w:before="75"/>
      <w:ind w:left="75" w:right="75"/>
    </w:pPr>
  </w:style>
  <w:style w:type="paragraph" w:customStyle="1" w:styleId="body1">
    <w:name w:val="body1"/>
    <w:basedOn w:val="Normal"/>
    <w:pPr>
      <w:spacing w:before="100" w:beforeAutospacing="1" w:after="100" w:afterAutospacing="1"/>
      <w:ind w:left="150"/>
    </w:pPr>
  </w:style>
  <w:style w:type="paragraph" w:customStyle="1" w:styleId="body2">
    <w:name w:val="body2"/>
    <w:basedOn w:val="Normal"/>
    <w:pPr>
      <w:spacing w:before="100" w:beforeAutospacing="1"/>
      <w:ind w:left="150"/>
    </w:pPr>
  </w:style>
  <w:style w:type="paragraph" w:customStyle="1" w:styleId="tabcont2">
    <w:name w:val="tabcont2"/>
    <w:basedOn w:val="Normal"/>
    <w:pPr>
      <w:spacing w:before="100" w:beforeAutospacing="1" w:after="100" w:afterAutospacing="1"/>
    </w:pPr>
    <w:rPr>
      <w:vanish/>
    </w:rPr>
  </w:style>
  <w:style w:type="paragraph" w:customStyle="1" w:styleId="tabcont3">
    <w:name w:val="tabcont3"/>
    <w:basedOn w:val="Normal"/>
    <w:pPr>
      <w:spacing w:before="100" w:beforeAutospacing="1" w:after="100" w:afterAutospacing="1"/>
    </w:pPr>
    <w:rPr>
      <w:vanish/>
    </w:rPr>
  </w:style>
  <w:style w:type="paragraph" w:customStyle="1" w:styleId="tabcont4">
    <w:name w:val="tabcont4"/>
    <w:basedOn w:val="Normal"/>
    <w:pPr>
      <w:spacing w:before="100" w:beforeAutospacing="1" w:after="225"/>
      <w:ind w:left="-15"/>
    </w:pPr>
  </w:style>
  <w:style w:type="paragraph" w:customStyle="1" w:styleId="closebutton2">
    <w:name w:val="close_button2"/>
    <w:basedOn w:val="Normal"/>
    <w:pPr>
      <w:spacing w:before="100" w:beforeAutospacing="1" w:after="100" w:afterAutospacing="1"/>
    </w:pPr>
  </w:style>
  <w:style w:type="paragraph" w:customStyle="1" w:styleId="divscroll1">
    <w:name w:val="divscroll1"/>
    <w:basedOn w:val="Normal"/>
    <w:pPr>
      <w:spacing w:before="100" w:beforeAutospacing="1" w:after="100" w:afterAutospacing="1"/>
    </w:pPr>
  </w:style>
  <w:style w:type="paragraph" w:customStyle="1" w:styleId="active1">
    <w:name w:val="active1"/>
    <w:basedOn w:val="Normal"/>
    <w:pPr>
      <w:spacing w:after="100" w:afterAutospacing="1"/>
      <w:ind w:right="120"/>
    </w:pPr>
  </w:style>
  <w:style w:type="paragraph" w:customStyle="1" w:styleId="video-embeded1">
    <w:name w:val="video-embeded1"/>
    <w:basedOn w:val="Normal"/>
    <w:pPr>
      <w:spacing w:before="100" w:beforeAutospacing="1" w:after="100" w:afterAutospacing="1"/>
    </w:pPr>
  </w:style>
  <w:style w:type="paragraph" w:customStyle="1" w:styleId="video-title1">
    <w:name w:val="video-title1"/>
    <w:basedOn w:val="Normal"/>
    <w:pPr>
      <w:spacing w:before="100" w:beforeAutospacing="1" w:after="100" w:afterAutospacing="1"/>
    </w:pPr>
    <w:rPr>
      <w:b/>
      <w:bCs/>
    </w:rPr>
  </w:style>
  <w:style w:type="paragraph" w:customStyle="1" w:styleId="content1">
    <w:name w:val="content1"/>
    <w:basedOn w:val="Normal"/>
    <w:pPr>
      <w:spacing w:before="100" w:beforeAutospacing="1" w:after="100" w:afterAutospacing="1"/>
    </w:pPr>
  </w:style>
  <w:style w:type="paragraph" w:customStyle="1" w:styleId="player1">
    <w:name w:val="player1"/>
    <w:basedOn w:val="Normal"/>
    <w:pPr>
      <w:spacing w:before="100" w:beforeAutospacing="1" w:after="100" w:afterAutospacing="1"/>
    </w:pPr>
  </w:style>
  <w:style w:type="paragraph" w:customStyle="1" w:styleId="title1">
    <w:name w:val="title1"/>
    <w:basedOn w:val="Normal"/>
    <w:pPr>
      <w:shd w:val="clear" w:color="auto" w:fill="007BFF"/>
      <w:spacing w:line="345" w:lineRule="atLeast"/>
      <w:jc w:val="center"/>
    </w:pPr>
    <w:rPr>
      <w:vanish/>
      <w:color w:val="FFFFFF"/>
      <w:sz w:val="39"/>
      <w:szCs w:val="39"/>
    </w:rPr>
  </w:style>
  <w:style w:type="paragraph" w:customStyle="1" w:styleId="close1">
    <w:name w:val="close1"/>
    <w:basedOn w:val="Normal"/>
    <w:pPr>
      <w:shd w:val="clear" w:color="auto" w:fill="336666"/>
      <w:spacing w:before="100" w:beforeAutospacing="1" w:after="100" w:afterAutospacing="1" w:line="525" w:lineRule="atLeast"/>
      <w:jc w:val="center"/>
    </w:pPr>
    <w:rPr>
      <w:b/>
      <w:bCs/>
      <w:color w:val="FFFFFF"/>
      <w:sz w:val="39"/>
      <w:szCs w:val="39"/>
    </w:rPr>
  </w:style>
  <w:style w:type="paragraph" w:customStyle="1" w:styleId="closebutton3">
    <w:name w:val="close_button3"/>
    <w:basedOn w:val="Normal"/>
    <w:pPr>
      <w:spacing w:before="100" w:beforeAutospacing="1" w:after="100" w:afterAutospacing="1"/>
    </w:pPr>
  </w:style>
  <w:style w:type="paragraph" w:customStyle="1" w:styleId="cuadropopup1">
    <w:name w:val="cuadro_popup1"/>
    <w:basedOn w:val="Normal"/>
    <w:pPr>
      <w:pBdr>
        <w:top w:val="single" w:sz="6" w:space="0" w:color="D6D6D6"/>
        <w:left w:val="single" w:sz="6" w:space="0" w:color="D6D6D6"/>
        <w:bottom w:val="single" w:sz="6" w:space="0" w:color="D6D6D6"/>
        <w:right w:val="single" w:sz="6" w:space="0" w:color="D6D6D6"/>
      </w:pBdr>
      <w:spacing w:before="345" w:after="100" w:afterAutospacing="1"/>
    </w:pPr>
  </w:style>
  <w:style w:type="paragraph" w:customStyle="1" w:styleId="active2">
    <w:name w:val="active2"/>
    <w:basedOn w:val="Normal"/>
    <w:pPr>
      <w:spacing w:after="100" w:afterAutospacing="1"/>
      <w:ind w:right="120"/>
    </w:pPr>
  </w:style>
  <w:style w:type="paragraph" w:styleId="NormalWeb">
    <w:name w:val="Normal (Web)"/>
    <w:basedOn w:val="Normal"/>
    <w:uiPriority w:val="99"/>
    <w:semiHidden/>
    <w:unhideWhenUsed/>
    <w:pPr>
      <w:spacing w:before="100" w:beforeAutospacing="1" w:after="100" w:afterAutospacing="1"/>
    </w:p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codigointerno1">
    <w:name w:val="codigointerno1"/>
    <w:basedOn w:val="Fuentedeprrafopredeter"/>
    <w:rPr>
      <w:b/>
      <w:bCs/>
      <w:i w:val="0"/>
      <w:iCs w:val="0"/>
    </w:rPr>
  </w:style>
  <w:style w:type="character" w:styleId="Textoennegrita">
    <w:name w:val="Strong"/>
    <w:basedOn w:val="Fuentedeprrafopredeter"/>
    <w:uiPriority w:val="22"/>
    <w:qFormat/>
    <w:rPr>
      <w:b/>
      <w:bCs/>
    </w:rPr>
  </w:style>
  <w:style w:type="character" w:customStyle="1" w:styleId="inclinada1">
    <w:name w:val="inclinada1"/>
    <w:basedOn w:val="Fuentedeprrafopredeter"/>
    <w:rPr>
      <w:i/>
      <w:iCs/>
    </w:rPr>
  </w:style>
  <w:style w:type="character" w:customStyle="1" w:styleId="plantilla1">
    <w:name w:val="plantilla1"/>
    <w:basedOn w:val="Fuentedeprrafopredeter"/>
    <w:rPr>
      <w:rFonts w:ascii="Arial" w:hAnsi="Arial" w:cs="Arial" w:hint="default"/>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392717">
      <w:marLeft w:val="0"/>
      <w:marRight w:val="0"/>
      <w:marTop w:val="75"/>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3</TotalTime>
  <Pages>10</Pages>
  <Words>3134</Words>
  <Characters>17243</Characters>
  <Application>Microsoft Office Word</Application>
  <DocSecurity>0</DocSecurity>
  <Lines>143</Lines>
  <Paragraphs>40</Paragraphs>
  <ScaleCrop>false</ScaleCrop>
  <Company/>
  <LinksUpToDate>false</LinksUpToDate>
  <CharactersWithSpaces>20337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2023-09-12T22:26:00Z</dcterms:created>
  <dcterms:modified xsi:type="dcterms:W3CDTF">2023-09-12T22:26:00Z</dcterms:modified>
</cp:coreProperties>
</file>