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DCD12" w14:textId="77777777" w:rsidR="00A20E10" w:rsidRDefault="00A20E10">
      <w:pPr>
        <w:pBdr>
          <w:top w:val="nil"/>
          <w:left w:val="nil"/>
          <w:bottom w:val="nil"/>
          <w:right w:val="nil"/>
          <w:between w:val="nil"/>
        </w:pBdr>
        <w:shd w:val="clear" w:color="auto" w:fill="FFFFFF"/>
        <w:spacing w:after="280" w:line="240" w:lineRule="auto"/>
        <w:rPr>
          <w:rFonts w:ascii="Arial" w:eastAsia="Arial" w:hAnsi="Arial" w:cs="Arial"/>
          <w:color w:val="FF0000"/>
          <w:sz w:val="24"/>
          <w:szCs w:val="24"/>
        </w:rPr>
      </w:pPr>
    </w:p>
    <w:p w14:paraId="2D20F831" w14:textId="77777777" w:rsidR="00A20E10" w:rsidRDefault="00741E3C">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Ciudad, fecha (día, mes y año).</w:t>
      </w:r>
    </w:p>
    <w:p w14:paraId="64DE42AB" w14:textId="77777777" w:rsidR="00A20E10" w:rsidRDefault="00741E3C">
      <w:pPr>
        <w:pBdr>
          <w:top w:val="nil"/>
          <w:left w:val="nil"/>
          <w:bottom w:val="nil"/>
          <w:right w:val="nil"/>
          <w:between w:val="nil"/>
        </w:pBdr>
        <w:spacing w:after="0" w:line="240" w:lineRule="auto"/>
        <w:rPr>
          <w:color w:val="FF9900"/>
          <w:sz w:val="28"/>
          <w:szCs w:val="28"/>
        </w:rPr>
      </w:pPr>
      <w:r>
        <w:rPr>
          <w:color w:val="FF9900"/>
          <w:sz w:val="28"/>
          <w:szCs w:val="28"/>
        </w:rPr>
        <w:t>Señores</w:t>
      </w:r>
      <w:r>
        <w:rPr>
          <w:color w:val="FF9900"/>
          <w:sz w:val="28"/>
          <w:szCs w:val="28"/>
        </w:rPr>
        <w:br/>
      </w:r>
      <w:r>
        <w:rPr>
          <w:b/>
          <w:color w:val="FF9900"/>
          <w:sz w:val="28"/>
          <w:szCs w:val="28"/>
        </w:rPr>
        <w:t>SECRETARÍA DE MOVILIDAD DE</w:t>
      </w:r>
      <w:r>
        <w:rPr>
          <w:color w:val="FF9900"/>
          <w:sz w:val="28"/>
          <w:szCs w:val="28"/>
        </w:rPr>
        <w:t> __________________</w:t>
      </w:r>
    </w:p>
    <w:p w14:paraId="3DB09647" w14:textId="77777777" w:rsidR="00A20E10" w:rsidRDefault="00741E3C">
      <w:pPr>
        <w:pBdr>
          <w:top w:val="nil"/>
          <w:left w:val="nil"/>
          <w:bottom w:val="nil"/>
          <w:right w:val="nil"/>
          <w:between w:val="nil"/>
        </w:pBdr>
        <w:spacing w:after="0" w:line="240" w:lineRule="auto"/>
        <w:rPr>
          <w:color w:val="FF9900"/>
          <w:sz w:val="28"/>
          <w:szCs w:val="28"/>
        </w:rPr>
      </w:pPr>
      <w:r>
        <w:rPr>
          <w:color w:val="FF9900"/>
          <w:sz w:val="28"/>
          <w:szCs w:val="28"/>
        </w:rPr>
        <w:t>Dirección y Ciudad</w:t>
      </w:r>
    </w:p>
    <w:p w14:paraId="3A81FACF" w14:textId="77777777" w:rsidR="00A20E10" w:rsidRDefault="00741E3C">
      <w:pPr>
        <w:pBdr>
          <w:top w:val="nil"/>
          <w:left w:val="nil"/>
          <w:bottom w:val="nil"/>
          <w:right w:val="nil"/>
          <w:between w:val="nil"/>
        </w:pBdr>
        <w:spacing w:after="0" w:line="240" w:lineRule="auto"/>
        <w:rPr>
          <w:color w:val="FF9900"/>
          <w:sz w:val="28"/>
          <w:szCs w:val="28"/>
        </w:rPr>
      </w:pPr>
      <w:r>
        <w:rPr>
          <w:color w:val="FF9900"/>
          <w:sz w:val="28"/>
          <w:szCs w:val="28"/>
        </w:rPr>
        <w:t>Teléfono</w:t>
      </w:r>
    </w:p>
    <w:p w14:paraId="277FA8F3" w14:textId="77777777" w:rsidR="00A20E10" w:rsidRDefault="00741E3C">
      <w:pPr>
        <w:pBdr>
          <w:top w:val="nil"/>
          <w:left w:val="nil"/>
          <w:bottom w:val="nil"/>
          <w:right w:val="nil"/>
          <w:between w:val="nil"/>
        </w:pBdr>
        <w:spacing w:after="0" w:line="240" w:lineRule="auto"/>
        <w:rPr>
          <w:color w:val="FF9900"/>
          <w:sz w:val="28"/>
          <w:szCs w:val="28"/>
        </w:rPr>
      </w:pPr>
      <w:r>
        <w:rPr>
          <w:color w:val="FF9900"/>
          <w:sz w:val="28"/>
          <w:szCs w:val="28"/>
        </w:rPr>
        <w:t>Correo electrónico</w:t>
      </w:r>
    </w:p>
    <w:p w14:paraId="67812C45" w14:textId="77777777" w:rsidR="00A20E10" w:rsidRDefault="00741E3C">
      <w:pPr>
        <w:pBdr>
          <w:top w:val="nil"/>
          <w:left w:val="nil"/>
          <w:bottom w:val="nil"/>
          <w:right w:val="nil"/>
          <w:between w:val="nil"/>
        </w:pBdr>
        <w:shd w:val="clear" w:color="auto" w:fill="FFFFFF"/>
        <w:spacing w:line="240" w:lineRule="auto"/>
        <w:rPr>
          <w:rFonts w:ascii="Roboto" w:eastAsia="Roboto" w:hAnsi="Roboto" w:cs="Roboto"/>
          <w:color w:val="362108"/>
          <w:sz w:val="24"/>
          <w:szCs w:val="24"/>
        </w:rPr>
      </w:pPr>
      <w:r>
        <w:rPr>
          <w:rFonts w:ascii="Roboto" w:eastAsia="Roboto" w:hAnsi="Roboto" w:cs="Roboto"/>
          <w:color w:val="362108"/>
          <w:sz w:val="24"/>
          <w:szCs w:val="24"/>
        </w:rPr>
        <w:t>E.S.D.</w:t>
      </w:r>
    </w:p>
    <w:p w14:paraId="618C4388" w14:textId="77777777" w:rsidR="00A20E10" w:rsidRDefault="00A20E10">
      <w:pPr>
        <w:spacing w:after="0"/>
        <w:rPr>
          <w:rFonts w:ascii="Arial" w:eastAsia="Arial" w:hAnsi="Arial" w:cs="Arial"/>
          <w:i/>
          <w:color w:val="7030A0"/>
          <w:sz w:val="24"/>
          <w:szCs w:val="24"/>
          <w:u w:val="single"/>
        </w:rPr>
      </w:pPr>
    </w:p>
    <w:p w14:paraId="5D07AAE5" w14:textId="77777777" w:rsidR="00A20E10" w:rsidRDefault="00741E3C">
      <w:pPr>
        <w:rPr>
          <w:b/>
          <w:i/>
          <w:sz w:val="23"/>
          <w:szCs w:val="23"/>
        </w:rPr>
      </w:pPr>
      <w:r>
        <w:rPr>
          <w:rFonts w:ascii="Arial" w:eastAsia="Arial" w:hAnsi="Arial" w:cs="Arial"/>
          <w:b/>
          <w:sz w:val="24"/>
          <w:szCs w:val="24"/>
        </w:rPr>
        <w:t xml:space="preserve">Asunto: </w:t>
      </w:r>
      <w:r>
        <w:rPr>
          <w:rFonts w:ascii="Arial" w:eastAsia="Arial" w:hAnsi="Arial" w:cs="Arial"/>
          <w:sz w:val="24"/>
          <w:szCs w:val="24"/>
        </w:rPr>
        <w:t>Excepción de caducidad y pérdida de fuerza ejecutoria de acto administrativo.</w:t>
      </w:r>
    </w:p>
    <w:p w14:paraId="0A340204" w14:textId="77777777" w:rsidR="00A20E10" w:rsidRDefault="00A20E10">
      <w:pPr>
        <w:rPr>
          <w:rFonts w:ascii="Arial" w:eastAsia="Arial" w:hAnsi="Arial" w:cs="Arial"/>
          <w:sz w:val="24"/>
          <w:szCs w:val="24"/>
        </w:rPr>
      </w:pPr>
    </w:p>
    <w:p w14:paraId="083DF95F" w14:textId="77777777" w:rsidR="00A20E10" w:rsidRDefault="00741E3C">
      <w:pPr>
        <w:rPr>
          <w:rFonts w:ascii="Arial" w:eastAsia="Arial" w:hAnsi="Arial" w:cs="Arial"/>
          <w:sz w:val="24"/>
          <w:szCs w:val="24"/>
        </w:rPr>
      </w:pPr>
      <w:r>
        <w:rPr>
          <w:rFonts w:ascii="Arial" w:eastAsia="Arial" w:hAnsi="Arial" w:cs="Arial"/>
          <w:sz w:val="24"/>
          <w:szCs w:val="24"/>
        </w:rPr>
        <w:t xml:space="preserve">Cordial saludo, </w:t>
      </w:r>
    </w:p>
    <w:p w14:paraId="4C94618A" w14:textId="77777777" w:rsidR="00A20E10" w:rsidRDefault="00741E3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Yo, </w:t>
      </w:r>
      <w:r>
        <w:rPr>
          <w:rFonts w:ascii="Arial" w:eastAsia="Arial" w:hAnsi="Arial" w:cs="Arial"/>
          <w:color w:val="FF9900"/>
          <w:sz w:val="24"/>
          <w:szCs w:val="24"/>
        </w:rPr>
        <w:t xml:space="preserve">(Nombre completo y apellidos de quien presenta solicitud) </w:t>
      </w:r>
      <w:r>
        <w:rPr>
          <w:rFonts w:ascii="Arial" w:eastAsia="Arial" w:hAnsi="Arial" w:cs="Arial"/>
          <w:color w:val="000000"/>
          <w:sz w:val="24"/>
          <w:szCs w:val="24"/>
        </w:rPr>
        <w:t xml:space="preserve">con número de cédula de ciudadanía </w:t>
      </w:r>
      <w:r>
        <w:rPr>
          <w:rFonts w:ascii="Arial" w:eastAsia="Arial" w:hAnsi="Arial" w:cs="Arial"/>
          <w:color w:val="FF0000"/>
          <w:sz w:val="24"/>
          <w:szCs w:val="24"/>
        </w:rPr>
        <w:t>________________</w:t>
      </w:r>
      <w:r>
        <w:rPr>
          <w:rFonts w:ascii="Arial" w:eastAsia="Arial" w:hAnsi="Arial" w:cs="Arial"/>
          <w:color w:val="000000"/>
          <w:sz w:val="24"/>
          <w:szCs w:val="24"/>
        </w:rPr>
        <w:t xml:space="preserve"> de </w:t>
      </w:r>
      <w:r>
        <w:rPr>
          <w:rFonts w:ascii="Arial" w:eastAsia="Arial" w:hAnsi="Arial" w:cs="Arial"/>
          <w:color w:val="FF0000"/>
          <w:sz w:val="24"/>
          <w:szCs w:val="24"/>
        </w:rPr>
        <w:t>___________,</w:t>
      </w:r>
      <w:r>
        <w:rPr>
          <w:rFonts w:ascii="Arial" w:eastAsia="Arial" w:hAnsi="Arial" w:cs="Arial"/>
          <w:color w:val="000000"/>
          <w:sz w:val="24"/>
          <w:szCs w:val="24"/>
        </w:rPr>
        <w:t xml:space="preserve"> haciendo uso del derecho de petición amparado </w:t>
      </w:r>
      <w:r>
        <w:rPr>
          <w:rFonts w:ascii="Arial" w:eastAsia="Arial" w:hAnsi="Arial" w:cs="Arial"/>
          <w:color w:val="000000"/>
          <w:sz w:val="23"/>
          <w:szCs w:val="23"/>
        </w:rPr>
        <w:t>en el artículo 23 de la Constitución Política de Colombia y 5 SS, el artículo 13 y SS de la ley 1437 de 2011 (código de procedimiento administrativo y de lo contencioso administrativo) y con el lleno de los re</w:t>
      </w:r>
      <w:r>
        <w:rPr>
          <w:rFonts w:ascii="Arial" w:eastAsia="Arial" w:hAnsi="Arial" w:cs="Arial"/>
          <w:color w:val="000000"/>
          <w:sz w:val="23"/>
          <w:szCs w:val="23"/>
        </w:rPr>
        <w:t>quisitos contemplados en la 1755 del 2015, el artículo 10 como también el inciso primero del artículo 161 de la Ley 769 de 2002 este último modificado por el artículo 11 de la Ley 1843 de 2017 me dirijo a ustedes con el fin de formular la siguiente petició</w:t>
      </w:r>
      <w:r>
        <w:rPr>
          <w:rFonts w:ascii="Arial" w:eastAsia="Arial" w:hAnsi="Arial" w:cs="Arial"/>
          <w:color w:val="000000"/>
          <w:sz w:val="23"/>
          <w:szCs w:val="23"/>
        </w:rPr>
        <w:t xml:space="preserve">n: </w:t>
      </w:r>
      <w:r>
        <w:rPr>
          <w:rFonts w:ascii="Arial" w:eastAsia="Arial" w:hAnsi="Arial" w:cs="Arial"/>
          <w:color w:val="000000"/>
          <w:sz w:val="24"/>
          <w:szCs w:val="24"/>
        </w:rPr>
        <w:t>me dirijo respetuosamente a ustedes para presentar esta solicitud, sustentada en los siguientes argumentos.</w:t>
      </w:r>
    </w:p>
    <w:p w14:paraId="736ED587" w14:textId="77777777" w:rsidR="00A20E10" w:rsidRDefault="00A20E10">
      <w:pPr>
        <w:pBdr>
          <w:top w:val="nil"/>
          <w:left w:val="nil"/>
          <w:bottom w:val="nil"/>
          <w:right w:val="nil"/>
          <w:between w:val="nil"/>
        </w:pBdr>
        <w:spacing w:after="0" w:line="240" w:lineRule="auto"/>
        <w:jc w:val="both"/>
        <w:rPr>
          <w:rFonts w:ascii="Arial" w:eastAsia="Arial" w:hAnsi="Arial" w:cs="Arial"/>
          <w:color w:val="000000"/>
          <w:sz w:val="24"/>
          <w:szCs w:val="24"/>
        </w:rPr>
      </w:pPr>
    </w:p>
    <w:p w14:paraId="7E02998B" w14:textId="77777777" w:rsidR="00A20E10" w:rsidRDefault="00A20E10">
      <w:pPr>
        <w:pBdr>
          <w:top w:val="nil"/>
          <w:left w:val="nil"/>
          <w:bottom w:val="nil"/>
          <w:right w:val="nil"/>
          <w:between w:val="nil"/>
        </w:pBdr>
        <w:spacing w:after="0" w:line="240" w:lineRule="auto"/>
        <w:jc w:val="both"/>
        <w:rPr>
          <w:rFonts w:ascii="Arial" w:eastAsia="Arial" w:hAnsi="Arial" w:cs="Arial"/>
          <w:color w:val="000000"/>
          <w:sz w:val="24"/>
          <w:szCs w:val="24"/>
        </w:rPr>
      </w:pPr>
    </w:p>
    <w:p w14:paraId="44C9734A" w14:textId="77777777" w:rsidR="00A20E10" w:rsidRDefault="00741E3C">
      <w:pPr>
        <w:numPr>
          <w:ilvl w:val="0"/>
          <w:numId w:val="1"/>
        </w:numPr>
        <w:pBdr>
          <w:top w:val="nil"/>
          <w:left w:val="nil"/>
          <w:bottom w:val="nil"/>
          <w:right w:val="nil"/>
          <w:between w:val="nil"/>
        </w:pBdr>
        <w:spacing w:line="360" w:lineRule="auto"/>
        <w:jc w:val="center"/>
        <w:rPr>
          <w:rFonts w:ascii="Arial" w:eastAsia="Arial" w:hAnsi="Arial" w:cs="Arial"/>
          <w:b/>
          <w:color w:val="000000"/>
          <w:sz w:val="24"/>
          <w:szCs w:val="24"/>
        </w:rPr>
      </w:pPr>
      <w:r>
        <w:rPr>
          <w:rFonts w:ascii="Arial" w:eastAsia="Arial" w:hAnsi="Arial" w:cs="Arial"/>
          <w:b/>
          <w:color w:val="000000"/>
          <w:sz w:val="24"/>
          <w:szCs w:val="24"/>
        </w:rPr>
        <w:t>HECHOS</w:t>
      </w:r>
    </w:p>
    <w:p w14:paraId="7F58B938"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1. Presento con el siguiente número y la fecha de </w:t>
      </w:r>
      <w:r>
        <w:rPr>
          <w:rFonts w:ascii="Arial" w:eastAsia="Arial" w:hAnsi="Arial" w:cs="Arial"/>
          <w:color w:val="FF0000"/>
          <w:sz w:val="24"/>
          <w:szCs w:val="24"/>
        </w:rPr>
        <w:t xml:space="preserve">(cada) (la) </w:t>
      </w:r>
      <w:r>
        <w:rPr>
          <w:rFonts w:ascii="Arial" w:eastAsia="Arial" w:hAnsi="Arial" w:cs="Arial"/>
          <w:sz w:val="24"/>
          <w:szCs w:val="24"/>
        </w:rPr>
        <w:t>orden</w:t>
      </w:r>
      <w:r>
        <w:rPr>
          <w:rFonts w:ascii="Arial" w:eastAsia="Arial" w:hAnsi="Arial" w:cs="Arial"/>
          <w:color w:val="FF0000"/>
          <w:sz w:val="24"/>
          <w:szCs w:val="24"/>
        </w:rPr>
        <w:t xml:space="preserve">(es) </w:t>
      </w:r>
      <w:r>
        <w:rPr>
          <w:rFonts w:ascii="Arial" w:eastAsia="Arial" w:hAnsi="Arial" w:cs="Arial"/>
          <w:sz w:val="24"/>
          <w:szCs w:val="24"/>
        </w:rPr>
        <w:t xml:space="preserve">de comparendo emitido: </w:t>
      </w:r>
      <w:r>
        <w:rPr>
          <w:rFonts w:ascii="Arial" w:eastAsia="Arial" w:hAnsi="Arial" w:cs="Arial"/>
          <w:color w:val="FF0000"/>
          <w:sz w:val="24"/>
          <w:szCs w:val="24"/>
        </w:rPr>
        <w:t>(Por ejemplo, C24000213 del 1 de mayo de 2023)</w:t>
      </w:r>
      <w:r>
        <w:rPr>
          <w:rFonts w:ascii="Arial" w:eastAsia="Arial" w:hAnsi="Arial" w:cs="Arial"/>
          <w:sz w:val="24"/>
          <w:szCs w:val="24"/>
        </w:rPr>
        <w:t xml:space="preserve">, </w:t>
      </w:r>
      <w:r>
        <w:rPr>
          <w:rFonts w:ascii="Arial" w:eastAsia="Arial" w:hAnsi="Arial" w:cs="Arial"/>
          <w:color w:val="FF0000"/>
          <w:sz w:val="24"/>
          <w:szCs w:val="24"/>
        </w:rPr>
        <w:t>el/los</w:t>
      </w:r>
      <w:r>
        <w:rPr>
          <w:rFonts w:ascii="Arial" w:eastAsia="Arial" w:hAnsi="Arial" w:cs="Arial"/>
          <w:sz w:val="24"/>
          <w:szCs w:val="24"/>
        </w:rPr>
        <w:t xml:space="preserve"> relacionado</w:t>
      </w:r>
      <w:r>
        <w:rPr>
          <w:rFonts w:ascii="Arial" w:eastAsia="Arial" w:hAnsi="Arial" w:cs="Arial"/>
          <w:color w:val="FF0000"/>
          <w:sz w:val="24"/>
          <w:szCs w:val="24"/>
        </w:rPr>
        <w:t>(s)</w:t>
      </w:r>
      <w:r>
        <w:rPr>
          <w:rFonts w:ascii="Arial" w:eastAsia="Arial" w:hAnsi="Arial" w:cs="Arial"/>
          <w:sz w:val="24"/>
          <w:szCs w:val="24"/>
        </w:rPr>
        <w:t xml:space="preserve"> con mi número de cédula de ciudadanía.</w:t>
      </w:r>
    </w:p>
    <w:p w14:paraId="09C6834C"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2. Hasta la fecha de esta solicitud, no se ha emitido una resolución  sancionatoria que confirme mi responsabilidad en relación con lo mencionado e</w:t>
      </w:r>
      <w:r>
        <w:rPr>
          <w:rFonts w:ascii="Arial" w:eastAsia="Arial" w:hAnsi="Arial" w:cs="Arial"/>
          <w:sz w:val="24"/>
          <w:szCs w:val="24"/>
        </w:rPr>
        <w:t>n el primer numeral de los hechos.</w:t>
      </w:r>
    </w:p>
    <w:p w14:paraId="1FA7A818"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3. Por lo anterior, con el ánimo de llegar a una solución definitiva, haciendo uso del derecho que me confiere la Constitución Política en su artículo 23, solicito mediante derecho de petición </w:t>
      </w:r>
      <w:r>
        <w:rPr>
          <w:rFonts w:ascii="Arial" w:eastAsia="Arial" w:hAnsi="Arial" w:cs="Arial"/>
          <w:b/>
          <w:i/>
          <w:sz w:val="24"/>
          <w:szCs w:val="24"/>
        </w:rPr>
        <w:t>que se pronuncien con acto a</w:t>
      </w:r>
      <w:r>
        <w:rPr>
          <w:rFonts w:ascii="Arial" w:eastAsia="Arial" w:hAnsi="Arial" w:cs="Arial"/>
          <w:b/>
          <w:i/>
          <w:sz w:val="24"/>
          <w:szCs w:val="24"/>
        </w:rPr>
        <w:t xml:space="preserve">dministrativo que resuelva la </w:t>
      </w:r>
      <w:r>
        <w:rPr>
          <w:rFonts w:ascii="Arial" w:eastAsia="Arial" w:hAnsi="Arial" w:cs="Arial"/>
          <w:b/>
          <w:i/>
          <w:sz w:val="24"/>
          <w:szCs w:val="24"/>
        </w:rPr>
        <w:lastRenderedPageBreak/>
        <w:t>solicitud de excepción de caducidad y pérdida de fuerza ejecutoria de acto administrativo por atentar contra la Constitución y la Ley , sobre la infracción de tránsito que se dará a conocer seguidamente</w:t>
      </w:r>
      <w:r>
        <w:rPr>
          <w:rFonts w:ascii="Arial" w:eastAsia="Arial" w:hAnsi="Arial" w:cs="Arial"/>
          <w:sz w:val="24"/>
          <w:szCs w:val="24"/>
        </w:rPr>
        <w:t xml:space="preserve">, logrando con ello que </w:t>
      </w:r>
      <w:r>
        <w:rPr>
          <w:rFonts w:ascii="Arial" w:eastAsia="Arial" w:hAnsi="Arial" w:cs="Arial"/>
          <w:sz w:val="24"/>
          <w:szCs w:val="24"/>
        </w:rPr>
        <w:t>se manifiesten a mi favor y decreten la caducidad del derecho a ejercer la acción de cobro en mi contra, de un comparendo que al día de hoy aparecen sin resolución sancionatoria según se evidencia en el aplicativo -SIMIT-RUNT, que por virtud de la Ley debe</w:t>
      </w:r>
      <w:r>
        <w:rPr>
          <w:rFonts w:ascii="Arial" w:eastAsia="Arial" w:hAnsi="Arial" w:cs="Arial"/>
          <w:sz w:val="24"/>
          <w:szCs w:val="24"/>
        </w:rPr>
        <w:t xml:space="preserve"> estar reflejada la situación de cada individuo y actualizada, lo cual es obligatorio para ustedes, y desde acá se pueden obtener aspectos procesales y de publicidad que permiten tener la certeza de la caducidad:</w:t>
      </w:r>
      <w:r>
        <w:rPr>
          <w:sz w:val="23"/>
          <w:szCs w:val="23"/>
        </w:rPr>
        <w:t xml:space="preserve"> </w:t>
      </w:r>
    </w:p>
    <w:p w14:paraId="7DE85E02"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Pantallazo del SIMIT, que evidencia que aú</w:t>
      </w:r>
      <w:r>
        <w:rPr>
          <w:rFonts w:ascii="Arial" w:eastAsia="Arial" w:hAnsi="Arial" w:cs="Arial"/>
          <w:sz w:val="24"/>
          <w:szCs w:val="24"/>
        </w:rPr>
        <w:t>n no es resolución:</w:t>
      </w:r>
    </w:p>
    <w:p w14:paraId="566B62E5" w14:textId="77777777" w:rsidR="00A20E10" w:rsidRDefault="00A20E10">
      <w:pPr>
        <w:pBdr>
          <w:top w:val="nil"/>
          <w:left w:val="nil"/>
          <w:bottom w:val="nil"/>
          <w:right w:val="nil"/>
          <w:between w:val="nil"/>
        </w:pBdr>
        <w:shd w:val="clear" w:color="auto" w:fill="FFFFFF"/>
        <w:spacing w:after="280" w:line="240" w:lineRule="auto"/>
        <w:jc w:val="both"/>
        <w:rPr>
          <w:rFonts w:ascii="Arial" w:eastAsia="Arial" w:hAnsi="Arial" w:cs="Arial"/>
          <w:color w:val="FF0000"/>
          <w:sz w:val="24"/>
          <w:szCs w:val="24"/>
        </w:rPr>
      </w:pPr>
    </w:p>
    <w:p w14:paraId="70BDC1E1" w14:textId="77777777" w:rsidR="00A20E10" w:rsidRDefault="00741E3C">
      <w:pPr>
        <w:spacing w:line="360" w:lineRule="auto"/>
        <w:jc w:val="both"/>
        <w:rPr>
          <w:rFonts w:ascii="Arial" w:eastAsia="Arial" w:hAnsi="Arial" w:cs="Arial"/>
          <w:sz w:val="24"/>
          <w:szCs w:val="24"/>
        </w:rPr>
      </w:pPr>
      <w:r>
        <w:rPr>
          <w:rFonts w:ascii="Arial" w:eastAsia="Arial" w:hAnsi="Arial" w:cs="Arial"/>
          <w:noProof/>
          <w:sz w:val="24"/>
          <w:szCs w:val="24"/>
        </w:rPr>
        <w:drawing>
          <wp:inline distT="0" distB="0" distL="0" distR="0" wp14:anchorId="511BA28B" wp14:editId="2C37960C">
            <wp:extent cx="5612130" cy="2472690"/>
            <wp:effectExtent l="0" t="0" r="0" b="0"/>
            <wp:docPr id="6671573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612130" cy="2472690"/>
                    </a:xfrm>
                    <a:prstGeom prst="rect">
                      <a:avLst/>
                    </a:prstGeom>
                    <a:ln/>
                  </pic:spPr>
                </pic:pic>
              </a:graphicData>
            </a:graphic>
          </wp:inline>
        </w:drawing>
      </w:r>
    </w:p>
    <w:p w14:paraId="3AC3DB03"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4. Por lo anterior, al realizar el ejercicio procesal sobre la caducidad se puede evidenciar que:</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A20E10" w14:paraId="54250CBB" w14:textId="77777777">
        <w:trPr>
          <w:trHeight w:val="274"/>
        </w:trPr>
        <w:tc>
          <w:tcPr>
            <w:tcW w:w="8828" w:type="dxa"/>
            <w:gridSpan w:val="3"/>
          </w:tcPr>
          <w:p w14:paraId="06B5C8C0"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b/>
                <w:color w:val="000000"/>
                <w:sz w:val="20"/>
                <w:szCs w:val="20"/>
              </w:rPr>
              <w:t>COMPARENDOS</w:t>
            </w:r>
          </w:p>
          <w:p w14:paraId="06E32C3E" w14:textId="77777777" w:rsidR="00A20E10" w:rsidRDefault="00A20E10">
            <w:pPr>
              <w:spacing w:line="360" w:lineRule="auto"/>
              <w:jc w:val="both"/>
              <w:rPr>
                <w:rFonts w:ascii="Arial" w:eastAsia="Arial" w:hAnsi="Arial" w:cs="Arial"/>
                <w:color w:val="7030A0"/>
                <w:sz w:val="24"/>
                <w:szCs w:val="24"/>
              </w:rPr>
            </w:pPr>
          </w:p>
        </w:tc>
      </w:tr>
      <w:tr w:rsidR="00A20E10" w14:paraId="776D8E2E" w14:textId="77777777">
        <w:tc>
          <w:tcPr>
            <w:tcW w:w="2942" w:type="dxa"/>
          </w:tcPr>
          <w:p w14:paraId="2C664358"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b/>
                <w:color w:val="000000"/>
                <w:sz w:val="20"/>
                <w:szCs w:val="20"/>
              </w:rPr>
              <w:t>COMPARENDO</w:t>
            </w:r>
          </w:p>
          <w:p w14:paraId="6A323F8A" w14:textId="77777777" w:rsidR="00A20E10" w:rsidRDefault="00A20E10">
            <w:pPr>
              <w:spacing w:line="360" w:lineRule="auto"/>
              <w:jc w:val="center"/>
              <w:rPr>
                <w:rFonts w:ascii="Arial" w:eastAsia="Arial" w:hAnsi="Arial" w:cs="Arial"/>
                <w:color w:val="7030A0"/>
                <w:sz w:val="24"/>
                <w:szCs w:val="24"/>
              </w:rPr>
            </w:pPr>
          </w:p>
        </w:tc>
        <w:tc>
          <w:tcPr>
            <w:tcW w:w="2943" w:type="dxa"/>
          </w:tcPr>
          <w:p w14:paraId="24BC704B"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b/>
                <w:color w:val="000000"/>
                <w:sz w:val="20"/>
                <w:szCs w:val="20"/>
              </w:rPr>
              <w:t>FECHA DE COMPARENDO</w:t>
            </w:r>
          </w:p>
          <w:p w14:paraId="6C2CBAF2" w14:textId="77777777" w:rsidR="00A20E10" w:rsidRDefault="00A20E10">
            <w:pPr>
              <w:spacing w:line="360" w:lineRule="auto"/>
              <w:jc w:val="center"/>
              <w:rPr>
                <w:rFonts w:ascii="Arial" w:eastAsia="Arial" w:hAnsi="Arial" w:cs="Arial"/>
                <w:color w:val="7030A0"/>
                <w:sz w:val="24"/>
                <w:szCs w:val="24"/>
              </w:rPr>
            </w:pPr>
          </w:p>
        </w:tc>
        <w:tc>
          <w:tcPr>
            <w:tcW w:w="2943" w:type="dxa"/>
          </w:tcPr>
          <w:p w14:paraId="0B0CBD9E"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20"/>
                <w:szCs w:val="20"/>
              </w:rPr>
              <w:t>FECHA DE CADUCIDAD</w:t>
            </w:r>
          </w:p>
          <w:p w14:paraId="02D318DD" w14:textId="77777777" w:rsidR="00A20E10" w:rsidRDefault="00741E3C">
            <w:pPr>
              <w:spacing w:line="360" w:lineRule="auto"/>
              <w:jc w:val="center"/>
              <w:rPr>
                <w:rFonts w:ascii="Arial" w:eastAsia="Arial" w:hAnsi="Arial" w:cs="Arial"/>
                <w:color w:val="7030A0"/>
                <w:sz w:val="24"/>
                <w:szCs w:val="24"/>
              </w:rPr>
            </w:pPr>
            <w:r>
              <w:rPr>
                <w:b/>
                <w:sz w:val="20"/>
                <w:szCs w:val="20"/>
              </w:rPr>
              <w:t>(1) años</w:t>
            </w:r>
          </w:p>
        </w:tc>
      </w:tr>
      <w:tr w:rsidR="00A20E10" w14:paraId="35C75E8C" w14:textId="77777777">
        <w:tc>
          <w:tcPr>
            <w:tcW w:w="2942" w:type="dxa"/>
          </w:tcPr>
          <w:p w14:paraId="40F467E2" w14:textId="77777777" w:rsidR="00A20E10" w:rsidRDefault="00741E3C">
            <w:pPr>
              <w:pBdr>
                <w:top w:val="nil"/>
                <w:left w:val="nil"/>
                <w:bottom w:val="nil"/>
                <w:right w:val="nil"/>
                <w:between w:val="nil"/>
              </w:pBdr>
              <w:spacing w:after="0" w:line="240" w:lineRule="auto"/>
              <w:jc w:val="center"/>
              <w:rPr>
                <w:rFonts w:ascii="Arial" w:eastAsia="Arial" w:hAnsi="Arial" w:cs="Arial"/>
                <w:color w:val="FF0000"/>
              </w:rPr>
            </w:pPr>
            <w:r>
              <w:rPr>
                <w:rFonts w:ascii="Arial" w:eastAsia="Arial" w:hAnsi="Arial" w:cs="Arial"/>
                <w:color w:val="FF0000"/>
              </w:rPr>
              <w:t>1100100000001234567890</w:t>
            </w:r>
          </w:p>
          <w:p w14:paraId="7B422C87" w14:textId="77777777" w:rsidR="00A20E10" w:rsidRDefault="00A20E10">
            <w:pPr>
              <w:spacing w:line="360" w:lineRule="auto"/>
              <w:jc w:val="center"/>
              <w:rPr>
                <w:rFonts w:ascii="Arial" w:eastAsia="Arial" w:hAnsi="Arial" w:cs="Arial"/>
                <w:color w:val="FF0000"/>
                <w:sz w:val="24"/>
                <w:szCs w:val="24"/>
              </w:rPr>
            </w:pPr>
          </w:p>
        </w:tc>
        <w:tc>
          <w:tcPr>
            <w:tcW w:w="2943" w:type="dxa"/>
          </w:tcPr>
          <w:p w14:paraId="34B338AC" w14:textId="77777777" w:rsidR="00A20E10" w:rsidRDefault="00741E3C">
            <w:pPr>
              <w:pBdr>
                <w:top w:val="nil"/>
                <w:left w:val="nil"/>
                <w:bottom w:val="nil"/>
                <w:right w:val="nil"/>
                <w:between w:val="nil"/>
              </w:pBdr>
              <w:spacing w:after="0" w:line="240" w:lineRule="auto"/>
              <w:jc w:val="center"/>
              <w:rPr>
                <w:rFonts w:ascii="Arial" w:eastAsia="Arial" w:hAnsi="Arial" w:cs="Arial"/>
                <w:color w:val="FF0000"/>
                <w:sz w:val="23"/>
                <w:szCs w:val="23"/>
              </w:rPr>
            </w:pPr>
            <w:r>
              <w:rPr>
                <w:rFonts w:ascii="Arial" w:eastAsia="Arial" w:hAnsi="Arial" w:cs="Arial"/>
                <w:color w:val="FF0000"/>
                <w:sz w:val="23"/>
                <w:szCs w:val="23"/>
              </w:rPr>
              <w:t>01/01/2022</w:t>
            </w:r>
          </w:p>
          <w:p w14:paraId="5A91DB40" w14:textId="77777777" w:rsidR="00A20E10" w:rsidRDefault="00A20E10">
            <w:pPr>
              <w:spacing w:line="360" w:lineRule="auto"/>
              <w:jc w:val="center"/>
              <w:rPr>
                <w:rFonts w:ascii="Arial" w:eastAsia="Arial" w:hAnsi="Arial" w:cs="Arial"/>
                <w:color w:val="FF0000"/>
                <w:sz w:val="24"/>
                <w:szCs w:val="24"/>
              </w:rPr>
            </w:pPr>
          </w:p>
        </w:tc>
        <w:tc>
          <w:tcPr>
            <w:tcW w:w="2943" w:type="dxa"/>
          </w:tcPr>
          <w:p w14:paraId="28950C01" w14:textId="77777777" w:rsidR="00A20E10" w:rsidRDefault="00741E3C">
            <w:pPr>
              <w:pBdr>
                <w:top w:val="nil"/>
                <w:left w:val="nil"/>
                <w:bottom w:val="nil"/>
                <w:right w:val="nil"/>
                <w:between w:val="nil"/>
              </w:pBdr>
              <w:spacing w:after="0" w:line="240" w:lineRule="auto"/>
              <w:jc w:val="center"/>
              <w:rPr>
                <w:rFonts w:ascii="Arial" w:eastAsia="Arial" w:hAnsi="Arial" w:cs="Arial"/>
                <w:color w:val="FF0000"/>
                <w:sz w:val="23"/>
                <w:szCs w:val="23"/>
              </w:rPr>
            </w:pPr>
            <w:r>
              <w:rPr>
                <w:rFonts w:ascii="Arial" w:eastAsia="Arial" w:hAnsi="Arial" w:cs="Arial"/>
                <w:color w:val="FF0000"/>
                <w:sz w:val="23"/>
                <w:szCs w:val="23"/>
              </w:rPr>
              <w:t>02/01/2023</w:t>
            </w:r>
          </w:p>
          <w:p w14:paraId="78FA4F76" w14:textId="77777777" w:rsidR="00A20E10" w:rsidRDefault="00A20E10">
            <w:pPr>
              <w:spacing w:line="360" w:lineRule="auto"/>
              <w:jc w:val="center"/>
              <w:rPr>
                <w:rFonts w:ascii="Arial" w:eastAsia="Arial" w:hAnsi="Arial" w:cs="Arial"/>
                <w:color w:val="FF0000"/>
                <w:sz w:val="24"/>
                <w:szCs w:val="24"/>
              </w:rPr>
            </w:pPr>
          </w:p>
        </w:tc>
      </w:tr>
    </w:tbl>
    <w:p w14:paraId="3C83044A" w14:textId="77777777" w:rsidR="00A20E10" w:rsidRDefault="00741E3C">
      <w:pPr>
        <w:spacing w:line="360" w:lineRule="auto"/>
        <w:jc w:val="both"/>
        <w:rPr>
          <w:rFonts w:ascii="Arial" w:eastAsia="Arial" w:hAnsi="Arial" w:cs="Arial"/>
          <w:i/>
          <w:sz w:val="24"/>
          <w:szCs w:val="24"/>
        </w:rPr>
      </w:pPr>
      <w:r>
        <w:rPr>
          <w:rFonts w:ascii="Arial" w:eastAsia="Arial" w:hAnsi="Arial" w:cs="Arial"/>
          <w:i/>
          <w:sz w:val="24"/>
          <w:szCs w:val="24"/>
        </w:rPr>
        <w:lastRenderedPageBreak/>
        <w:t xml:space="preserve">Nótese que la fecha en que recaudan el comparendo, al término de esta petición, ya ha pasado </w:t>
      </w:r>
      <w:r>
        <w:rPr>
          <w:rFonts w:ascii="Arial" w:eastAsia="Arial" w:hAnsi="Arial" w:cs="Arial"/>
          <w:i/>
          <w:color w:val="FF0000"/>
          <w:sz w:val="24"/>
          <w:szCs w:val="24"/>
        </w:rPr>
        <w:t xml:space="preserve">(XXXX) </w:t>
      </w:r>
      <w:r>
        <w:rPr>
          <w:rFonts w:ascii="Arial" w:eastAsia="Arial" w:hAnsi="Arial" w:cs="Arial"/>
          <w:i/>
          <w:sz w:val="24"/>
          <w:szCs w:val="24"/>
        </w:rPr>
        <w:t>meses lo cual es un largo tiempo donde ha operado la figura de la caducidad siendo un acto irregular, en caso de no estar reflejado la actuación en el SIMIT</w:t>
      </w:r>
      <w:r>
        <w:rPr>
          <w:rFonts w:ascii="Arial" w:eastAsia="Arial" w:hAnsi="Arial" w:cs="Arial"/>
          <w:i/>
          <w:sz w:val="24"/>
          <w:szCs w:val="24"/>
        </w:rPr>
        <w:t xml:space="preserve"> así como de existir sanción antes de la fecha de notificación o después de 1 año de cometido la infracción.</w:t>
      </w:r>
    </w:p>
    <w:p w14:paraId="09486626" w14:textId="77777777" w:rsidR="00A20E10" w:rsidRDefault="00A20E10">
      <w:pPr>
        <w:spacing w:line="360" w:lineRule="auto"/>
        <w:jc w:val="both"/>
        <w:rPr>
          <w:rFonts w:ascii="Arial" w:eastAsia="Arial" w:hAnsi="Arial" w:cs="Arial"/>
          <w:color w:val="7030A0"/>
          <w:sz w:val="24"/>
          <w:szCs w:val="24"/>
        </w:rPr>
      </w:pPr>
    </w:p>
    <w:p w14:paraId="39837C6C" w14:textId="77777777" w:rsidR="00A20E10" w:rsidRDefault="00741E3C">
      <w:pPr>
        <w:numPr>
          <w:ilvl w:val="0"/>
          <w:numId w:val="1"/>
        </w:numPr>
        <w:pBdr>
          <w:top w:val="nil"/>
          <w:left w:val="nil"/>
          <w:bottom w:val="nil"/>
          <w:right w:val="nil"/>
          <w:between w:val="nil"/>
        </w:pBdr>
        <w:spacing w:line="360" w:lineRule="auto"/>
        <w:jc w:val="center"/>
        <w:rPr>
          <w:rFonts w:ascii="Arial" w:eastAsia="Arial" w:hAnsi="Arial" w:cs="Arial"/>
          <w:b/>
          <w:color w:val="000000"/>
          <w:sz w:val="24"/>
          <w:szCs w:val="24"/>
        </w:rPr>
      </w:pPr>
      <w:r>
        <w:rPr>
          <w:rFonts w:ascii="Arial" w:eastAsia="Arial" w:hAnsi="Arial" w:cs="Arial"/>
          <w:b/>
          <w:color w:val="000000"/>
          <w:sz w:val="24"/>
          <w:szCs w:val="24"/>
        </w:rPr>
        <w:t>FUNDAMENTOS DE DERECHO</w:t>
      </w:r>
    </w:p>
    <w:p w14:paraId="0449130E"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La caducidad es entendida como un fenómeno jurídico cuya consecuencia es la </w:t>
      </w:r>
      <w:r>
        <w:rPr>
          <w:rFonts w:ascii="Arial" w:eastAsia="Arial" w:hAnsi="Arial" w:cs="Arial"/>
          <w:i/>
          <w:sz w:val="24"/>
          <w:szCs w:val="24"/>
        </w:rPr>
        <w:t xml:space="preserve">“expiración del término perentorio fijado en la ley para el ejercicio de ciertas acciones, cuando por un acto, hecho, omisión u operación administrativa por parte de una autoridad </w:t>
      </w:r>
      <w:r>
        <w:rPr>
          <w:rFonts w:ascii="Arial" w:eastAsia="Arial" w:hAnsi="Arial" w:cs="Arial"/>
          <w:i/>
          <w:sz w:val="24"/>
          <w:szCs w:val="24"/>
        </w:rPr>
        <w:t>pública, se lesiona un derecho particular”</w:t>
      </w:r>
      <w:r>
        <w:rPr>
          <w:rFonts w:ascii="Arial" w:eastAsia="Arial" w:hAnsi="Arial" w:cs="Arial"/>
          <w:sz w:val="24"/>
          <w:szCs w:val="24"/>
        </w:rPr>
        <w:t>.</w:t>
      </w:r>
      <w:r>
        <w:rPr>
          <w:rFonts w:ascii="Arial" w:eastAsia="Arial" w:hAnsi="Arial" w:cs="Arial"/>
          <w:i/>
          <w:sz w:val="24"/>
          <w:szCs w:val="24"/>
          <w:vertAlign w:val="superscript"/>
        </w:rPr>
        <w:footnoteReference w:id="1"/>
      </w:r>
      <w:r>
        <w:rPr>
          <w:rFonts w:ascii="Arial" w:eastAsia="Arial" w:hAnsi="Arial" w:cs="Arial"/>
          <w:i/>
          <w:sz w:val="24"/>
          <w:szCs w:val="24"/>
        </w:rPr>
        <w:t xml:space="preserve"> </w:t>
      </w:r>
      <w:r>
        <w:rPr>
          <w:rFonts w:ascii="Arial" w:eastAsia="Arial" w:hAnsi="Arial" w:cs="Arial"/>
          <w:sz w:val="24"/>
          <w:szCs w:val="24"/>
        </w:rPr>
        <w:t>Así las cosas, el artículo 136 del Código Contencioso Administrativo, subrogado por el artículo 44 de la Ley 446 de 1998, establece el ejercicio de las acciones contencioso administrativas,  lo que genera que a</w:t>
      </w:r>
      <w:r>
        <w:rPr>
          <w:rFonts w:ascii="Arial" w:eastAsia="Arial" w:hAnsi="Arial" w:cs="Arial"/>
          <w:sz w:val="24"/>
          <w:szCs w:val="24"/>
        </w:rPr>
        <w:t xml:space="preserve">l no promoverse la acción dentro del término allí estipulado, se produce la caducidad. Por esa razón se ha entendido entonces que estos plazos constituyen una garantía tanto para la seguridad jurídica como el interés general, toda vez que </w:t>
      </w:r>
      <w:r>
        <w:rPr>
          <w:rFonts w:ascii="Arial" w:eastAsia="Arial" w:hAnsi="Arial" w:cs="Arial"/>
          <w:i/>
          <w:sz w:val="24"/>
          <w:szCs w:val="24"/>
        </w:rPr>
        <w:t>“la actitud negli</w:t>
      </w:r>
      <w:r>
        <w:rPr>
          <w:rFonts w:ascii="Arial" w:eastAsia="Arial" w:hAnsi="Arial" w:cs="Arial"/>
          <w:i/>
          <w:sz w:val="24"/>
          <w:szCs w:val="24"/>
        </w:rPr>
        <w:t>gente de quien estuvo legitimado en la causa no puede ser objeto de protección, pues es un hecho cierto que quien, dentro de las oportunidades procesales fijadas por la ley ejerce sus derechos, no se verá expuesto a perderlos por la ocurrencia del fenómeno</w:t>
      </w:r>
      <w:r>
        <w:rPr>
          <w:rFonts w:ascii="Arial" w:eastAsia="Arial" w:hAnsi="Arial" w:cs="Arial"/>
          <w:i/>
          <w:sz w:val="24"/>
          <w:szCs w:val="24"/>
        </w:rPr>
        <w:t xml:space="preserve"> indicado”</w:t>
      </w:r>
      <w:r>
        <w:rPr>
          <w:rFonts w:ascii="Arial" w:eastAsia="Arial" w:hAnsi="Arial" w:cs="Arial"/>
          <w:i/>
          <w:sz w:val="24"/>
          <w:szCs w:val="24"/>
          <w:vertAlign w:val="superscript"/>
        </w:rPr>
        <w:footnoteReference w:id="2"/>
      </w:r>
      <w:r>
        <w:rPr>
          <w:rFonts w:ascii="Arial" w:eastAsia="Arial" w:hAnsi="Arial" w:cs="Arial"/>
          <w:sz w:val="24"/>
          <w:szCs w:val="24"/>
        </w:rPr>
        <w:t xml:space="preserve">. </w:t>
      </w:r>
    </w:p>
    <w:p w14:paraId="026CAF12"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Es por lo anterior, que el establecimiento de los términos de caducidad, responde a la necesidad </w:t>
      </w:r>
      <w:r>
        <w:rPr>
          <w:rFonts w:ascii="Arial" w:eastAsia="Arial" w:hAnsi="Arial" w:cs="Arial"/>
          <w:i/>
          <w:sz w:val="24"/>
          <w:szCs w:val="24"/>
        </w:rPr>
        <w:t>“de otorgar certeza jurídica al accionante y a la comunidad en general, así como para brindarle estabilidad a las situaciones debidamente consol</w:t>
      </w:r>
      <w:r>
        <w:rPr>
          <w:rFonts w:ascii="Arial" w:eastAsia="Arial" w:hAnsi="Arial" w:cs="Arial"/>
          <w:i/>
          <w:sz w:val="24"/>
          <w:szCs w:val="24"/>
        </w:rPr>
        <w:t>idadas en el tiempo, así como a los actos administrativos no impugnados dentro de las oportunidades legales”</w:t>
      </w:r>
      <w:r>
        <w:rPr>
          <w:rFonts w:ascii="Arial" w:eastAsia="Arial" w:hAnsi="Arial" w:cs="Arial"/>
          <w:i/>
          <w:sz w:val="24"/>
          <w:szCs w:val="24"/>
          <w:vertAlign w:val="superscript"/>
        </w:rPr>
        <w:footnoteReference w:id="3"/>
      </w:r>
      <w:r>
        <w:rPr>
          <w:rFonts w:ascii="Arial" w:eastAsia="Arial" w:hAnsi="Arial" w:cs="Arial"/>
          <w:sz w:val="24"/>
          <w:szCs w:val="24"/>
        </w:rPr>
        <w:t>.</w:t>
      </w:r>
    </w:p>
    <w:p w14:paraId="1E84F4BF"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lastRenderedPageBreak/>
        <w:t>En concordancia con lo precedente, el Consejo de Estado ha entendido que la caducidad de una acción tiene como fundamento lo consagrado en el ar</w:t>
      </w:r>
      <w:r>
        <w:rPr>
          <w:rFonts w:ascii="Arial" w:eastAsia="Arial" w:hAnsi="Arial" w:cs="Arial"/>
          <w:sz w:val="24"/>
          <w:szCs w:val="24"/>
        </w:rPr>
        <w:t xml:space="preserve">tículo 228 de la Constitución Política, en donde se establece lo siguiente: </w:t>
      </w:r>
    </w:p>
    <w:p w14:paraId="6DAE077F" w14:textId="77777777" w:rsidR="00A20E10" w:rsidRDefault="00741E3C">
      <w:pPr>
        <w:spacing w:line="360" w:lineRule="auto"/>
        <w:ind w:left="720"/>
        <w:jc w:val="both"/>
        <w:rPr>
          <w:rFonts w:ascii="Arial" w:eastAsia="Arial" w:hAnsi="Arial" w:cs="Arial"/>
          <w:sz w:val="24"/>
          <w:szCs w:val="24"/>
        </w:rPr>
      </w:pPr>
      <w:r>
        <w:rPr>
          <w:rFonts w:ascii="Arial" w:eastAsia="Arial" w:hAnsi="Arial" w:cs="Arial"/>
          <w:b/>
          <w:i/>
          <w:sz w:val="24"/>
          <w:szCs w:val="24"/>
        </w:rPr>
        <w:t>ARTICULO 228.</w:t>
      </w:r>
      <w:r>
        <w:rPr>
          <w:rFonts w:ascii="Arial" w:eastAsia="Arial" w:hAnsi="Arial" w:cs="Arial"/>
          <w:i/>
          <w:sz w:val="24"/>
          <w:szCs w:val="24"/>
        </w:rPr>
        <w:t xml:space="preserve"> La Administración de Justicia es función pública. Sus decisiones son independientes. Las actuaciones serán públicas y permanentes con las excepciones que establezca </w:t>
      </w:r>
      <w:r>
        <w:rPr>
          <w:rFonts w:ascii="Arial" w:eastAsia="Arial" w:hAnsi="Arial" w:cs="Arial"/>
          <w:i/>
          <w:sz w:val="24"/>
          <w:szCs w:val="24"/>
        </w:rPr>
        <w:t>la ley y en ellas prevalecerá el derecho sustancial. Los términos procesales se observarán con diligencia y su incumplimiento será sancionado. Su funcionamiento será desconcentrado y autónomo.</w:t>
      </w:r>
    </w:p>
    <w:p w14:paraId="48628840"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Esto determina entonces </w:t>
      </w:r>
      <w:r>
        <w:rPr>
          <w:rFonts w:ascii="Arial" w:eastAsia="Arial" w:hAnsi="Arial" w:cs="Arial"/>
          <w:i/>
          <w:sz w:val="24"/>
          <w:szCs w:val="24"/>
        </w:rPr>
        <w:t>“la aplicación de los términos procesal</w:t>
      </w:r>
      <w:r>
        <w:rPr>
          <w:rFonts w:ascii="Arial" w:eastAsia="Arial" w:hAnsi="Arial" w:cs="Arial"/>
          <w:i/>
          <w:sz w:val="24"/>
          <w:szCs w:val="24"/>
        </w:rPr>
        <w:t>es en el ordenamiento jurídico, buscando ante todo la protección material de los derechos y la resolución definitiva de los conflictos que surgen a diario en el complejo tejido social, garantizando el derecho de acceso a la administración de justicia dentr</w:t>
      </w:r>
      <w:r>
        <w:rPr>
          <w:rFonts w:ascii="Arial" w:eastAsia="Arial" w:hAnsi="Arial" w:cs="Arial"/>
          <w:i/>
          <w:sz w:val="24"/>
          <w:szCs w:val="24"/>
        </w:rPr>
        <w:t>o de los límites de su ejercicio razonable y proporcional”</w:t>
      </w:r>
      <w:r>
        <w:rPr>
          <w:rFonts w:ascii="Arial" w:eastAsia="Arial" w:hAnsi="Arial" w:cs="Arial"/>
          <w:i/>
          <w:sz w:val="24"/>
          <w:szCs w:val="24"/>
          <w:vertAlign w:val="superscript"/>
        </w:rPr>
        <w:footnoteReference w:id="4"/>
      </w:r>
      <w:r>
        <w:rPr>
          <w:rFonts w:ascii="Arial" w:eastAsia="Arial" w:hAnsi="Arial" w:cs="Arial"/>
          <w:sz w:val="24"/>
          <w:szCs w:val="24"/>
        </w:rPr>
        <w:t xml:space="preserve">. </w:t>
      </w:r>
    </w:p>
    <w:p w14:paraId="0711D57F"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Así las cosas, al realizar un análisis del caso en concreto, teniendo en cuenta lo mencionado hasta el momento, y además las normas aplicables a la situación puntual, se observa que el artículo</w:t>
      </w:r>
      <w:r>
        <w:rPr>
          <w:rFonts w:ascii="Arial" w:eastAsia="Arial" w:hAnsi="Arial" w:cs="Arial"/>
          <w:sz w:val="24"/>
          <w:szCs w:val="24"/>
        </w:rPr>
        <w:t xml:space="preserve"> 161 del Código Nacional de Tránsito consagra lo siguiente para las órdenes de comparendo que fueron emitidas antes del 14 de julio de 2017: </w:t>
      </w:r>
    </w:p>
    <w:p w14:paraId="52381F3C" w14:textId="77777777" w:rsidR="00A20E10" w:rsidRDefault="00741E3C">
      <w:pPr>
        <w:spacing w:line="360" w:lineRule="auto"/>
        <w:ind w:left="720"/>
        <w:jc w:val="both"/>
        <w:rPr>
          <w:rFonts w:ascii="Arial" w:eastAsia="Arial" w:hAnsi="Arial" w:cs="Arial"/>
          <w:sz w:val="24"/>
          <w:szCs w:val="24"/>
        </w:rPr>
      </w:pPr>
      <w:r>
        <w:rPr>
          <w:rFonts w:ascii="Arial" w:eastAsia="Arial" w:hAnsi="Arial" w:cs="Arial"/>
          <w:b/>
          <w:i/>
          <w:sz w:val="24"/>
          <w:szCs w:val="24"/>
        </w:rPr>
        <w:t>ARTÍCULO 161.</w:t>
      </w:r>
      <w:r>
        <w:rPr>
          <w:rFonts w:ascii="Arial" w:eastAsia="Arial" w:hAnsi="Arial" w:cs="Arial"/>
          <w:i/>
          <w:sz w:val="24"/>
          <w:szCs w:val="24"/>
        </w:rPr>
        <w:t xml:space="preserve"> La acción o contravención de las normas de tránsito </w:t>
      </w:r>
      <w:r>
        <w:rPr>
          <w:rFonts w:ascii="Arial" w:eastAsia="Arial" w:hAnsi="Arial" w:cs="Arial"/>
          <w:b/>
          <w:i/>
          <w:sz w:val="24"/>
          <w:szCs w:val="24"/>
          <w:u w:val="single"/>
        </w:rPr>
        <w:t>caduca a los seis (6) meses</w:t>
      </w:r>
      <w:r>
        <w:rPr>
          <w:rFonts w:ascii="Arial" w:eastAsia="Arial" w:hAnsi="Arial" w:cs="Arial"/>
          <w:i/>
          <w:sz w:val="24"/>
          <w:szCs w:val="24"/>
        </w:rPr>
        <w:t>, contados a partir d</w:t>
      </w:r>
      <w:r>
        <w:rPr>
          <w:rFonts w:ascii="Arial" w:eastAsia="Arial" w:hAnsi="Arial" w:cs="Arial"/>
          <w:i/>
          <w:sz w:val="24"/>
          <w:szCs w:val="24"/>
        </w:rPr>
        <w:t>e la ocurrencia de los hechos que dieron origen a ella y se interrumpe con la celebración efectiva de la audiencia. El no cumplimiento por parte del funcionario con este término será causal de mala conducta.</w:t>
      </w:r>
      <w:r>
        <w:rPr>
          <w:rFonts w:ascii="Arial" w:eastAsia="Arial" w:hAnsi="Arial" w:cs="Arial"/>
          <w:sz w:val="24"/>
          <w:szCs w:val="24"/>
        </w:rPr>
        <w:t xml:space="preserve"> (subrayado y negrilla fuera del texto).</w:t>
      </w:r>
    </w:p>
    <w:p w14:paraId="4E13202E"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Por otra</w:t>
      </w:r>
      <w:r>
        <w:rPr>
          <w:rFonts w:ascii="Arial" w:eastAsia="Arial" w:hAnsi="Arial" w:cs="Arial"/>
          <w:sz w:val="24"/>
          <w:szCs w:val="24"/>
        </w:rPr>
        <w:t xml:space="preserve"> parte, el artículo 11 de la Ley 1843 de 2017, establece que las órdenes de comparendo que sean emitidas de manera posterior al 14 de julio de 2017, se regirán por su texto, indicándose entonces que el término de caducidad es de un </w:t>
      </w:r>
      <w:r>
        <w:rPr>
          <w:rFonts w:ascii="Arial" w:eastAsia="Arial" w:hAnsi="Arial" w:cs="Arial"/>
          <w:sz w:val="24"/>
          <w:szCs w:val="24"/>
        </w:rPr>
        <w:lastRenderedPageBreak/>
        <w:t>(01) año contado a parti</w:t>
      </w:r>
      <w:r>
        <w:rPr>
          <w:rFonts w:ascii="Arial" w:eastAsia="Arial" w:hAnsi="Arial" w:cs="Arial"/>
          <w:sz w:val="24"/>
          <w:szCs w:val="24"/>
        </w:rPr>
        <w:t xml:space="preserve">r de la ocurrencia de los hechos, tal y como se muestra a continuación: </w:t>
      </w:r>
    </w:p>
    <w:p w14:paraId="4EC66751" w14:textId="77777777" w:rsidR="00A20E10" w:rsidRDefault="00741E3C">
      <w:pPr>
        <w:spacing w:line="360" w:lineRule="auto"/>
        <w:ind w:left="720"/>
        <w:jc w:val="both"/>
        <w:rPr>
          <w:rFonts w:ascii="Arial" w:eastAsia="Arial" w:hAnsi="Arial" w:cs="Arial"/>
          <w:i/>
          <w:sz w:val="24"/>
          <w:szCs w:val="24"/>
        </w:rPr>
      </w:pPr>
      <w:r>
        <w:rPr>
          <w:rFonts w:ascii="Arial" w:eastAsia="Arial" w:hAnsi="Arial" w:cs="Arial"/>
          <w:b/>
          <w:i/>
          <w:sz w:val="24"/>
          <w:szCs w:val="24"/>
        </w:rPr>
        <w:t xml:space="preserve">ARTÍCULO 11. CADUCIDAD. </w:t>
      </w:r>
      <w:r>
        <w:rPr>
          <w:rFonts w:ascii="Arial" w:eastAsia="Arial" w:hAnsi="Arial" w:cs="Arial"/>
          <w:i/>
          <w:sz w:val="24"/>
          <w:szCs w:val="24"/>
        </w:rPr>
        <w:t>El artículo 161 de la Ley 769 de 2002 quedará así:</w:t>
      </w:r>
    </w:p>
    <w:p w14:paraId="2C7669C4" w14:textId="77777777" w:rsidR="00A20E10" w:rsidRDefault="00741E3C">
      <w:pPr>
        <w:spacing w:line="360" w:lineRule="auto"/>
        <w:ind w:left="720"/>
        <w:jc w:val="both"/>
        <w:rPr>
          <w:rFonts w:ascii="Arial" w:eastAsia="Arial" w:hAnsi="Arial" w:cs="Arial"/>
          <w:i/>
          <w:sz w:val="24"/>
          <w:szCs w:val="24"/>
        </w:rPr>
      </w:pPr>
      <w:r>
        <w:rPr>
          <w:rFonts w:ascii="Arial" w:eastAsia="Arial" w:hAnsi="Arial" w:cs="Arial"/>
          <w:b/>
          <w:i/>
          <w:sz w:val="24"/>
          <w:szCs w:val="24"/>
        </w:rPr>
        <w:t>Artículo 161. Caducidad.</w:t>
      </w:r>
      <w:r>
        <w:rPr>
          <w:rFonts w:ascii="Arial" w:eastAsia="Arial" w:hAnsi="Arial" w:cs="Arial"/>
          <w:i/>
          <w:sz w:val="24"/>
          <w:szCs w:val="24"/>
        </w:rPr>
        <w:t xml:space="preserve"> La acción por contravención de las normas de tránsito, </w:t>
      </w:r>
      <w:r>
        <w:rPr>
          <w:rFonts w:ascii="Arial" w:eastAsia="Arial" w:hAnsi="Arial" w:cs="Arial"/>
          <w:b/>
          <w:i/>
          <w:sz w:val="24"/>
          <w:szCs w:val="24"/>
          <w:u w:val="single"/>
        </w:rPr>
        <w:t>caduca al año (1), contado a</w:t>
      </w:r>
      <w:r>
        <w:rPr>
          <w:rFonts w:ascii="Arial" w:eastAsia="Arial" w:hAnsi="Arial" w:cs="Arial"/>
          <w:b/>
          <w:i/>
          <w:sz w:val="24"/>
          <w:szCs w:val="24"/>
          <w:u w:val="single"/>
        </w:rPr>
        <w:t xml:space="preserve"> partir de la ocurrencia de los hechos que dieron origen a ella</w:t>
      </w:r>
      <w:r>
        <w:rPr>
          <w:rFonts w:ascii="Arial" w:eastAsia="Arial" w:hAnsi="Arial" w:cs="Arial"/>
          <w:i/>
          <w:sz w:val="24"/>
          <w:szCs w:val="24"/>
        </w:rPr>
        <w:t>. En consecuencia, durante este término se deberá decidir sobre la imposición de la sanción, en tal momento se entenderá realizada efectivamente la audiencia e interrumpida la caducidad (…).</w:t>
      </w:r>
      <w:r>
        <w:rPr>
          <w:rFonts w:ascii="Arial" w:eastAsia="Arial" w:hAnsi="Arial" w:cs="Arial"/>
          <w:sz w:val="24"/>
          <w:szCs w:val="24"/>
        </w:rPr>
        <w:t xml:space="preserve"> (s</w:t>
      </w:r>
      <w:r>
        <w:rPr>
          <w:rFonts w:ascii="Arial" w:eastAsia="Arial" w:hAnsi="Arial" w:cs="Arial"/>
          <w:sz w:val="24"/>
          <w:szCs w:val="24"/>
        </w:rPr>
        <w:t>ubraya y negrilla fuera del texto)</w:t>
      </w:r>
      <w:r>
        <w:rPr>
          <w:rFonts w:ascii="Arial" w:eastAsia="Arial" w:hAnsi="Arial" w:cs="Arial"/>
          <w:i/>
          <w:sz w:val="24"/>
          <w:szCs w:val="24"/>
        </w:rPr>
        <w:t>.</w:t>
      </w:r>
    </w:p>
    <w:p w14:paraId="55C447CA" w14:textId="77777777" w:rsidR="00A20E10" w:rsidRDefault="00A20E10">
      <w:pPr>
        <w:spacing w:line="360" w:lineRule="auto"/>
        <w:ind w:left="720"/>
        <w:jc w:val="both"/>
        <w:rPr>
          <w:rFonts w:ascii="Arial" w:eastAsia="Arial" w:hAnsi="Arial" w:cs="Arial"/>
          <w:i/>
          <w:sz w:val="24"/>
          <w:szCs w:val="24"/>
        </w:rPr>
      </w:pPr>
    </w:p>
    <w:p w14:paraId="6602E413" w14:textId="77777777" w:rsidR="00A20E10" w:rsidRDefault="00741E3C">
      <w:pPr>
        <w:spacing w:line="360" w:lineRule="auto"/>
        <w:jc w:val="both"/>
        <w:rPr>
          <w:rFonts w:ascii="Arial" w:eastAsia="Arial" w:hAnsi="Arial" w:cs="Arial"/>
          <w:sz w:val="24"/>
          <w:szCs w:val="24"/>
        </w:rPr>
      </w:pPr>
      <w:r>
        <w:rPr>
          <w:rFonts w:ascii="Arial" w:eastAsia="Arial" w:hAnsi="Arial" w:cs="Arial"/>
          <w:b/>
          <w:sz w:val="24"/>
          <w:szCs w:val="24"/>
        </w:rPr>
        <w:t>Por lo anterior, hay que traer a colación que la Ley 769 del 2002 en su   ARTÍCULO 2o. DEFINICIONES.</w:t>
      </w:r>
      <w:r>
        <w:rPr>
          <w:rFonts w:ascii="Arial" w:eastAsia="Arial" w:hAnsi="Arial" w:cs="Arial"/>
          <w:sz w:val="24"/>
          <w:szCs w:val="24"/>
        </w:rPr>
        <w:t xml:space="preserve"> Para la aplicación e interpretación este código, se tendrán en cuenta las siguientes definiciones:</w:t>
      </w:r>
    </w:p>
    <w:p w14:paraId="17F4A8FD"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w:t>
      </w:r>
    </w:p>
    <w:p w14:paraId="20039D98" w14:textId="77777777" w:rsidR="00A20E10" w:rsidRDefault="00741E3C">
      <w:pPr>
        <w:spacing w:line="360" w:lineRule="auto"/>
        <w:jc w:val="both"/>
        <w:rPr>
          <w:rFonts w:ascii="Arial" w:eastAsia="Arial" w:hAnsi="Arial" w:cs="Arial"/>
          <w:sz w:val="24"/>
          <w:szCs w:val="24"/>
        </w:rPr>
      </w:pPr>
      <w:r>
        <w:rPr>
          <w:rFonts w:ascii="Arial" w:eastAsia="Arial" w:hAnsi="Arial" w:cs="Arial"/>
          <w:b/>
          <w:sz w:val="24"/>
          <w:szCs w:val="24"/>
        </w:rPr>
        <w:t>Comparendo:</w:t>
      </w:r>
      <w:r>
        <w:rPr>
          <w:rFonts w:ascii="Arial" w:eastAsia="Arial" w:hAnsi="Arial" w:cs="Arial"/>
          <w:sz w:val="24"/>
          <w:szCs w:val="24"/>
        </w:rPr>
        <w:t xml:space="preserve"> Orden formal de notificación para que el presunto contraventor implicado se presente ante la autoridad de tránsito por la comisión de una infracción.</w:t>
      </w:r>
    </w:p>
    <w:p w14:paraId="45C1A616" w14:textId="77777777" w:rsidR="00A20E10" w:rsidRDefault="00741E3C">
      <w:pPr>
        <w:spacing w:line="360" w:lineRule="auto"/>
        <w:jc w:val="both"/>
        <w:rPr>
          <w:rFonts w:ascii="Arial" w:eastAsia="Arial" w:hAnsi="Arial" w:cs="Arial"/>
          <w:sz w:val="24"/>
          <w:szCs w:val="24"/>
        </w:rPr>
      </w:pPr>
      <w:r>
        <w:rPr>
          <w:rFonts w:ascii="Arial" w:eastAsia="Arial" w:hAnsi="Arial" w:cs="Arial"/>
          <w:b/>
          <w:sz w:val="24"/>
          <w:szCs w:val="24"/>
        </w:rPr>
        <w:t>Multa:</w:t>
      </w:r>
      <w:r>
        <w:rPr>
          <w:rFonts w:ascii="Arial" w:eastAsia="Arial" w:hAnsi="Arial" w:cs="Arial"/>
          <w:sz w:val="24"/>
          <w:szCs w:val="24"/>
        </w:rPr>
        <w:t xml:space="preserve"> Sanción pecuniaria. Para efectos del presente código y salvo disposición contrario, la </w:t>
      </w:r>
      <w:r>
        <w:rPr>
          <w:rFonts w:ascii="Arial" w:eastAsia="Arial" w:hAnsi="Arial" w:cs="Arial"/>
          <w:sz w:val="24"/>
          <w:szCs w:val="24"/>
        </w:rPr>
        <w:t>multa debe entenderse en salarios mínimos diarios legales vigentes.</w:t>
      </w:r>
    </w:p>
    <w:p w14:paraId="310D79FA" w14:textId="77777777" w:rsidR="00A20E10" w:rsidRDefault="00741E3C">
      <w:pPr>
        <w:spacing w:line="360" w:lineRule="auto"/>
        <w:ind w:left="708"/>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i/>
          <w:sz w:val="24"/>
          <w:szCs w:val="24"/>
        </w:rPr>
        <w:t>teniendo clara estas definiciones y en lo mucho que ha discutido que el orden de comparendo no una sanción y que poderse interrumpir la caducidad no basta con instaurarse audiencia, por el contrario, deberá durante este término la autoridad decidir sobre l</w:t>
      </w:r>
      <w:r>
        <w:rPr>
          <w:rFonts w:ascii="Arial" w:eastAsia="Arial" w:hAnsi="Arial" w:cs="Arial"/>
          <w:b/>
          <w:i/>
          <w:sz w:val="24"/>
          <w:szCs w:val="24"/>
        </w:rPr>
        <w:t>a imposición de la sanción</w:t>
      </w:r>
      <w:r>
        <w:rPr>
          <w:rFonts w:ascii="Arial" w:eastAsia="Arial" w:hAnsi="Arial" w:cs="Arial"/>
          <w:sz w:val="24"/>
          <w:szCs w:val="24"/>
        </w:rPr>
        <w:t>, en tal momento se entenderá realizada efectivamente la audiencia e interrumpida la caducidad., situación que no sucedió y claramente deberá retirarse esta infracción del sistema, por la prohibición constitucional a la perpetuida</w:t>
      </w:r>
      <w:r>
        <w:rPr>
          <w:rFonts w:ascii="Arial" w:eastAsia="Arial" w:hAnsi="Arial" w:cs="Arial"/>
          <w:sz w:val="24"/>
          <w:szCs w:val="24"/>
        </w:rPr>
        <w:t>d de las sanciones.</w:t>
      </w:r>
    </w:p>
    <w:p w14:paraId="6D0D3972" w14:textId="77777777" w:rsidR="00A20E10" w:rsidRDefault="00A20E10">
      <w:pPr>
        <w:spacing w:line="360" w:lineRule="auto"/>
        <w:jc w:val="both"/>
        <w:rPr>
          <w:rFonts w:ascii="Arial" w:eastAsia="Arial" w:hAnsi="Arial" w:cs="Arial"/>
          <w:sz w:val="24"/>
          <w:szCs w:val="24"/>
        </w:rPr>
      </w:pPr>
    </w:p>
    <w:p w14:paraId="2F61AB26" w14:textId="77777777" w:rsidR="00A20E10" w:rsidRDefault="00741E3C">
      <w:pPr>
        <w:spacing w:line="360" w:lineRule="auto"/>
        <w:jc w:val="both"/>
        <w:rPr>
          <w:rFonts w:ascii="Arial" w:eastAsia="Arial" w:hAnsi="Arial" w:cs="Arial"/>
          <w:sz w:val="24"/>
          <w:szCs w:val="24"/>
          <w:u w:val="single"/>
        </w:rPr>
      </w:pPr>
      <w:r>
        <w:rPr>
          <w:rFonts w:ascii="Arial" w:eastAsia="Arial" w:hAnsi="Arial" w:cs="Arial"/>
          <w:sz w:val="24"/>
          <w:szCs w:val="24"/>
        </w:rPr>
        <w:lastRenderedPageBreak/>
        <w:t xml:space="preserve">Por consiguiente de conformidad con el artículo 93 de la Ley 1437 de 2011, la Revocatoria Directa procede contra los actos administrativos proferidos por la administración oficio o a petición de parte, </w:t>
      </w:r>
      <w:r>
        <w:rPr>
          <w:rFonts w:ascii="Arial" w:eastAsia="Arial" w:hAnsi="Arial" w:cs="Arial"/>
          <w:b/>
          <w:i/>
          <w:sz w:val="24"/>
          <w:szCs w:val="24"/>
          <w:u w:val="single"/>
        </w:rPr>
        <w:t>entre otras causales, cuando ésto</w:t>
      </w:r>
      <w:r>
        <w:rPr>
          <w:rFonts w:ascii="Arial" w:eastAsia="Arial" w:hAnsi="Arial" w:cs="Arial"/>
          <w:b/>
          <w:i/>
          <w:sz w:val="24"/>
          <w:szCs w:val="24"/>
          <w:u w:val="single"/>
        </w:rPr>
        <w:t>s están contrarios a la Constitución y la Ley</w:t>
      </w:r>
      <w:r>
        <w:rPr>
          <w:rFonts w:ascii="Arial" w:eastAsia="Arial" w:hAnsi="Arial" w:cs="Arial"/>
          <w:sz w:val="24"/>
          <w:szCs w:val="24"/>
        </w:rPr>
        <w:t xml:space="preserve">., </w:t>
      </w:r>
      <w:r>
        <w:rPr>
          <w:rFonts w:ascii="Arial" w:eastAsia="Arial" w:hAnsi="Arial" w:cs="Arial"/>
          <w:sz w:val="24"/>
          <w:szCs w:val="24"/>
          <w:u w:val="single"/>
        </w:rPr>
        <w:t>pero nótese que aún no es acto administrativo, es comparendo donde ya opero la caducidad (subrayas propias)</w:t>
      </w:r>
    </w:p>
    <w:p w14:paraId="50EF9776" w14:textId="77777777" w:rsidR="00A20E10" w:rsidRDefault="00A20E10">
      <w:pPr>
        <w:spacing w:after="0" w:line="240" w:lineRule="auto"/>
        <w:rPr>
          <w:rFonts w:ascii="Arial" w:eastAsia="Arial" w:hAnsi="Arial" w:cs="Arial"/>
          <w:b/>
          <w:i/>
          <w:sz w:val="20"/>
          <w:szCs w:val="20"/>
        </w:rPr>
      </w:pPr>
    </w:p>
    <w:p w14:paraId="12926EB9"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Finalmente, puede observarse que a la fecha de esta solicitud, no se ha emitido fallo sancionatorio</w:t>
      </w:r>
      <w:r>
        <w:rPr>
          <w:rFonts w:ascii="Arial" w:eastAsia="Arial" w:hAnsi="Arial" w:cs="Arial"/>
          <w:sz w:val="24"/>
          <w:szCs w:val="24"/>
        </w:rPr>
        <w:t xml:space="preserve"> que declare mi responsabilidad contravencional en relación con </w:t>
      </w:r>
      <w:r>
        <w:rPr>
          <w:rFonts w:ascii="Arial" w:eastAsia="Arial" w:hAnsi="Arial" w:cs="Arial"/>
          <w:b/>
          <w:i/>
          <w:color w:val="FF0000"/>
          <w:sz w:val="24"/>
          <w:szCs w:val="24"/>
        </w:rPr>
        <w:t>(</w:t>
      </w:r>
      <w:r>
        <w:rPr>
          <w:rFonts w:ascii="Arial" w:eastAsia="Arial" w:hAnsi="Arial" w:cs="Arial"/>
          <w:b/>
          <w:i/>
          <w:color w:val="FF0000"/>
          <w:sz w:val="24"/>
          <w:szCs w:val="24"/>
          <w:u w:val="single"/>
        </w:rPr>
        <w:t>escribir comparendo(s) y fecha(s))</w:t>
      </w:r>
      <w:r>
        <w:rPr>
          <w:rFonts w:ascii="Arial" w:eastAsia="Arial" w:hAnsi="Arial" w:cs="Arial"/>
          <w:color w:val="FF0000"/>
          <w:sz w:val="24"/>
          <w:szCs w:val="24"/>
        </w:rPr>
        <w:t xml:space="preserve"> </w:t>
      </w:r>
      <w:r>
        <w:rPr>
          <w:rFonts w:ascii="Arial" w:eastAsia="Arial" w:hAnsi="Arial" w:cs="Arial"/>
          <w:sz w:val="24"/>
          <w:szCs w:val="24"/>
        </w:rPr>
        <w:t>mencionada</w:t>
      </w:r>
      <w:r>
        <w:rPr>
          <w:rFonts w:ascii="Arial" w:eastAsia="Arial" w:hAnsi="Arial" w:cs="Arial"/>
          <w:color w:val="7030A0"/>
          <w:sz w:val="24"/>
          <w:szCs w:val="24"/>
        </w:rPr>
        <w:t xml:space="preserve"> </w:t>
      </w:r>
      <w:r>
        <w:rPr>
          <w:rFonts w:ascii="Arial" w:eastAsia="Arial" w:hAnsi="Arial" w:cs="Arial"/>
          <w:sz w:val="24"/>
          <w:szCs w:val="24"/>
        </w:rPr>
        <w:t xml:space="preserve">precedentemente, por lo que ya ha pasado más de </w:t>
      </w:r>
      <w:r>
        <w:rPr>
          <w:rFonts w:ascii="Arial" w:eastAsia="Arial" w:hAnsi="Arial" w:cs="Arial"/>
          <w:b/>
          <w:sz w:val="24"/>
          <w:szCs w:val="24"/>
        </w:rPr>
        <w:t>un</w:t>
      </w:r>
      <w:r>
        <w:rPr>
          <w:rFonts w:ascii="Arial" w:eastAsia="Arial" w:hAnsi="Arial" w:cs="Arial"/>
          <w:sz w:val="24"/>
          <w:szCs w:val="24"/>
        </w:rPr>
        <w:t xml:space="preserve"> </w:t>
      </w:r>
      <w:r>
        <w:rPr>
          <w:rFonts w:ascii="Arial" w:eastAsia="Arial" w:hAnsi="Arial" w:cs="Arial"/>
          <w:b/>
          <w:i/>
          <w:sz w:val="24"/>
          <w:szCs w:val="24"/>
          <w:u w:val="single"/>
        </w:rPr>
        <w:t>(1)</w:t>
      </w:r>
      <w:r>
        <w:rPr>
          <w:rFonts w:ascii="Arial" w:eastAsia="Arial" w:hAnsi="Arial" w:cs="Arial"/>
          <w:sz w:val="24"/>
          <w:szCs w:val="24"/>
        </w:rPr>
        <w:t xml:space="preserve"> </w:t>
      </w:r>
      <w:r>
        <w:rPr>
          <w:rFonts w:ascii="Arial" w:eastAsia="Arial" w:hAnsi="Arial" w:cs="Arial"/>
          <w:b/>
          <w:i/>
          <w:sz w:val="24"/>
          <w:szCs w:val="24"/>
          <w:u w:val="single"/>
        </w:rPr>
        <w:t xml:space="preserve">año </w:t>
      </w:r>
      <w:r>
        <w:rPr>
          <w:rFonts w:ascii="Arial" w:eastAsia="Arial" w:hAnsi="Arial" w:cs="Arial"/>
          <w:sz w:val="24"/>
          <w:szCs w:val="24"/>
        </w:rPr>
        <w:t xml:space="preserve"> lo que conlleva a aplicar la caducidad de la acción por no haberse realizado la actuación dentro del término estipulado para ello. </w:t>
      </w:r>
    </w:p>
    <w:p w14:paraId="16AE756B" w14:textId="77777777" w:rsidR="00A20E10" w:rsidRDefault="00A20E10">
      <w:pPr>
        <w:spacing w:line="360" w:lineRule="auto"/>
        <w:jc w:val="both"/>
        <w:rPr>
          <w:rFonts w:ascii="Arial" w:eastAsia="Arial" w:hAnsi="Arial" w:cs="Arial"/>
          <w:sz w:val="24"/>
          <w:szCs w:val="24"/>
        </w:rPr>
      </w:pPr>
    </w:p>
    <w:p w14:paraId="3DDB44EA" w14:textId="77777777" w:rsidR="00A20E10" w:rsidRDefault="00741E3C">
      <w:pPr>
        <w:numPr>
          <w:ilvl w:val="0"/>
          <w:numId w:val="1"/>
        </w:num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PRETENSIONES</w:t>
      </w:r>
    </w:p>
    <w:p w14:paraId="1FEFA3F2" w14:textId="77777777" w:rsidR="00A20E10" w:rsidRDefault="00A20E10">
      <w:pPr>
        <w:pBdr>
          <w:top w:val="nil"/>
          <w:left w:val="nil"/>
          <w:bottom w:val="nil"/>
          <w:right w:val="nil"/>
          <w:between w:val="nil"/>
        </w:pBdr>
        <w:spacing w:after="0" w:line="240" w:lineRule="auto"/>
        <w:jc w:val="center"/>
        <w:rPr>
          <w:rFonts w:ascii="Arial" w:eastAsia="Arial" w:hAnsi="Arial" w:cs="Arial"/>
          <w:b/>
          <w:sz w:val="24"/>
          <w:szCs w:val="24"/>
        </w:rPr>
      </w:pPr>
    </w:p>
    <w:p w14:paraId="477133B6" w14:textId="77777777" w:rsidR="00A20E10" w:rsidRDefault="00741E3C">
      <w:pPr>
        <w:numPr>
          <w:ilvl w:val="0"/>
          <w:numId w:val="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Solicito responder a este derecho de petición resolviendo cada solicitud punto por punto y no de manera general teniendo en cuenta el artículo 16, parágrafo único de la Ley 1437 de 2011 que reza:</w:t>
      </w:r>
    </w:p>
    <w:p w14:paraId="5CD99AD1" w14:textId="77777777" w:rsidR="00A20E10" w:rsidRDefault="00A20E10">
      <w:pPr>
        <w:pBdr>
          <w:top w:val="nil"/>
          <w:left w:val="nil"/>
          <w:bottom w:val="nil"/>
          <w:right w:val="nil"/>
          <w:between w:val="nil"/>
        </w:pBdr>
        <w:spacing w:after="0" w:line="240" w:lineRule="auto"/>
        <w:ind w:left="785"/>
        <w:jc w:val="both"/>
        <w:rPr>
          <w:rFonts w:ascii="Arial" w:eastAsia="Arial" w:hAnsi="Arial" w:cs="Arial"/>
          <w:color w:val="000000"/>
          <w:sz w:val="24"/>
          <w:szCs w:val="24"/>
        </w:rPr>
      </w:pPr>
    </w:p>
    <w:p w14:paraId="23152BA1" w14:textId="77777777" w:rsidR="00A20E10" w:rsidRDefault="00741E3C">
      <w:pPr>
        <w:pBdr>
          <w:top w:val="nil"/>
          <w:left w:val="nil"/>
          <w:bottom w:val="nil"/>
          <w:right w:val="nil"/>
          <w:between w:val="nil"/>
        </w:pBdr>
        <w:spacing w:after="0" w:line="240" w:lineRule="auto"/>
        <w:ind w:left="720"/>
        <w:rPr>
          <w:rFonts w:ascii="Arial" w:eastAsia="Arial" w:hAnsi="Arial" w:cs="Arial"/>
          <w:color w:val="000000"/>
          <w:sz w:val="24"/>
          <w:szCs w:val="24"/>
        </w:rPr>
      </w:pPr>
      <w:r>
        <w:rPr>
          <w:rFonts w:ascii="Arial" w:eastAsia="Arial" w:hAnsi="Arial" w:cs="Arial"/>
          <w:color w:val="000000"/>
          <w:sz w:val="24"/>
          <w:szCs w:val="24"/>
        </w:rPr>
        <w:t xml:space="preserve">PARÁGRAFO. </w:t>
      </w:r>
      <w:r>
        <w:rPr>
          <w:rFonts w:ascii="Arial" w:eastAsia="Arial" w:hAnsi="Arial" w:cs="Arial"/>
          <w:color w:val="000000"/>
          <w:sz w:val="24"/>
          <w:szCs w:val="24"/>
          <w:u w:val="single"/>
        </w:rPr>
        <w:t>La autoridad tiene la obligación de examinar integralmente la petición</w:t>
      </w:r>
      <w:r>
        <w:rPr>
          <w:rFonts w:ascii="Arial" w:eastAsia="Arial" w:hAnsi="Arial" w:cs="Arial"/>
          <w:color w:val="000000"/>
          <w:sz w:val="24"/>
          <w:szCs w:val="24"/>
        </w:rPr>
        <w:t>, y en ningún caso la estimara incompleta por falta de requisitos o documentos que no se encuentren dentro dl marco jurídico vigente y que no sean necesarios para resolverla.</w:t>
      </w:r>
    </w:p>
    <w:p w14:paraId="7E3781F2" w14:textId="77777777" w:rsidR="00A20E10" w:rsidRDefault="00A20E10">
      <w:pPr>
        <w:pBdr>
          <w:top w:val="nil"/>
          <w:left w:val="nil"/>
          <w:bottom w:val="nil"/>
          <w:right w:val="nil"/>
          <w:between w:val="nil"/>
        </w:pBdr>
        <w:spacing w:after="0" w:line="240" w:lineRule="auto"/>
        <w:ind w:left="720"/>
        <w:rPr>
          <w:rFonts w:ascii="Arial" w:eastAsia="Arial" w:hAnsi="Arial" w:cs="Arial"/>
          <w:b/>
          <w:color w:val="000000"/>
          <w:sz w:val="24"/>
          <w:szCs w:val="24"/>
        </w:rPr>
      </w:pPr>
    </w:p>
    <w:p w14:paraId="3281258A" w14:textId="77777777" w:rsidR="00A20E10" w:rsidRDefault="00741E3C">
      <w:pPr>
        <w:numPr>
          <w:ilvl w:val="0"/>
          <w:numId w:val="2"/>
        </w:numPr>
        <w:pBdr>
          <w:top w:val="nil"/>
          <w:left w:val="nil"/>
          <w:bottom w:val="nil"/>
          <w:right w:val="nil"/>
          <w:between w:val="nil"/>
        </w:pBdr>
        <w:spacing w:after="0" w:line="240" w:lineRule="auto"/>
        <w:jc w:val="both"/>
        <w:rPr>
          <w:rFonts w:ascii="Arial" w:eastAsia="Arial" w:hAnsi="Arial" w:cs="Arial"/>
          <w:color w:val="000000"/>
          <w:sz w:val="23"/>
          <w:szCs w:val="23"/>
        </w:rPr>
      </w:pPr>
      <w:r>
        <w:rPr>
          <w:rFonts w:ascii="Arial" w:eastAsia="Arial" w:hAnsi="Arial" w:cs="Arial"/>
          <w:color w:val="000000"/>
          <w:sz w:val="23"/>
          <w:szCs w:val="23"/>
        </w:rPr>
        <w:t>Solicito a</w:t>
      </w:r>
      <w:r>
        <w:rPr>
          <w:rFonts w:ascii="Arial" w:eastAsia="Arial" w:hAnsi="Arial" w:cs="Arial"/>
          <w:color w:val="000000"/>
          <w:sz w:val="23"/>
          <w:szCs w:val="23"/>
        </w:rPr>
        <w:t xml:space="preserve"> la entidad se declare la caducidad del </w:t>
      </w:r>
      <w:r>
        <w:rPr>
          <w:rFonts w:ascii="Arial" w:eastAsia="Arial" w:hAnsi="Arial" w:cs="Arial"/>
          <w:b/>
          <w:color w:val="000000"/>
          <w:sz w:val="23"/>
          <w:szCs w:val="23"/>
        </w:rPr>
        <w:t xml:space="preserve">comparendo No. </w:t>
      </w:r>
      <w:r>
        <w:rPr>
          <w:rFonts w:ascii="Arial" w:eastAsia="Arial" w:hAnsi="Arial" w:cs="Arial"/>
          <w:color w:val="FF0000"/>
        </w:rPr>
        <w:t>xxxxxxxxxxxxxxxxxxx</w:t>
      </w:r>
      <w:r>
        <w:rPr>
          <w:rFonts w:ascii="Arial" w:eastAsia="Arial" w:hAnsi="Arial" w:cs="Arial"/>
          <w:color w:val="000000"/>
        </w:rPr>
        <w:t xml:space="preserve"> </w:t>
      </w:r>
      <w:r>
        <w:rPr>
          <w:rFonts w:ascii="Arial" w:eastAsia="Arial" w:hAnsi="Arial" w:cs="Arial"/>
          <w:color w:val="000000"/>
          <w:sz w:val="23"/>
          <w:szCs w:val="23"/>
        </w:rPr>
        <w:t xml:space="preserve">infracción </w:t>
      </w:r>
      <w:r>
        <w:rPr>
          <w:rFonts w:ascii="Arial" w:eastAsia="Arial" w:hAnsi="Arial" w:cs="Arial"/>
          <w:color w:val="FF0000"/>
          <w:sz w:val="23"/>
          <w:szCs w:val="23"/>
        </w:rPr>
        <w:t>xxxx</w:t>
      </w:r>
      <w:r>
        <w:rPr>
          <w:rFonts w:ascii="Arial" w:eastAsia="Arial" w:hAnsi="Arial" w:cs="Arial"/>
          <w:color w:val="000000"/>
          <w:sz w:val="23"/>
          <w:szCs w:val="23"/>
        </w:rPr>
        <w:t>, en mérito de lo expuesto anteriormente, y en consecuencia, se proceda a la actualización en la base de datos del SIMIT-RUNT-; para verificación de la anterior información anexare un cuadro en el cual relaciono la fecha en la fue impuesta la sanción con s</w:t>
      </w:r>
      <w:r>
        <w:rPr>
          <w:rFonts w:ascii="Arial" w:eastAsia="Arial" w:hAnsi="Arial" w:cs="Arial"/>
          <w:color w:val="000000"/>
          <w:sz w:val="23"/>
          <w:szCs w:val="23"/>
        </w:rPr>
        <w:t xml:space="preserve">u respectiva fecha de caducidad. </w:t>
      </w:r>
    </w:p>
    <w:p w14:paraId="1F89E618" w14:textId="77777777" w:rsidR="00A20E10" w:rsidRDefault="00A20E10">
      <w:pPr>
        <w:pBdr>
          <w:top w:val="nil"/>
          <w:left w:val="nil"/>
          <w:bottom w:val="nil"/>
          <w:right w:val="nil"/>
          <w:between w:val="nil"/>
        </w:pBdr>
        <w:spacing w:after="0" w:line="240" w:lineRule="auto"/>
        <w:ind w:left="785"/>
        <w:jc w:val="both"/>
        <w:rPr>
          <w:rFonts w:ascii="Arial" w:eastAsia="Arial" w:hAnsi="Arial" w:cs="Arial"/>
          <w:color w:val="000000"/>
          <w:sz w:val="23"/>
          <w:szCs w:val="23"/>
        </w:rPr>
      </w:pPr>
    </w:p>
    <w:tbl>
      <w:tblPr>
        <w:tblStyle w:val="a0"/>
        <w:tblW w:w="882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A20E10" w14:paraId="607DAD5D" w14:textId="77777777">
        <w:trPr>
          <w:trHeight w:val="274"/>
        </w:trPr>
        <w:tc>
          <w:tcPr>
            <w:tcW w:w="8828" w:type="dxa"/>
            <w:gridSpan w:val="3"/>
          </w:tcPr>
          <w:p w14:paraId="084CDAB9"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b/>
                <w:color w:val="000000"/>
                <w:sz w:val="20"/>
                <w:szCs w:val="20"/>
              </w:rPr>
              <w:t>COMPARENDOS</w:t>
            </w:r>
          </w:p>
          <w:p w14:paraId="076FA0EF" w14:textId="77777777" w:rsidR="00A20E10" w:rsidRDefault="00A20E10">
            <w:pPr>
              <w:spacing w:line="360" w:lineRule="auto"/>
              <w:jc w:val="both"/>
              <w:rPr>
                <w:rFonts w:ascii="Arial" w:eastAsia="Arial" w:hAnsi="Arial" w:cs="Arial"/>
                <w:color w:val="7030A0"/>
                <w:sz w:val="24"/>
                <w:szCs w:val="24"/>
              </w:rPr>
            </w:pPr>
          </w:p>
        </w:tc>
      </w:tr>
      <w:tr w:rsidR="00A20E10" w14:paraId="7FDE0649" w14:textId="77777777">
        <w:tc>
          <w:tcPr>
            <w:tcW w:w="2942" w:type="dxa"/>
          </w:tcPr>
          <w:p w14:paraId="5070BFFF"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b/>
                <w:color w:val="000000"/>
                <w:sz w:val="20"/>
                <w:szCs w:val="20"/>
              </w:rPr>
              <w:t>COMPARENDO</w:t>
            </w:r>
          </w:p>
          <w:p w14:paraId="1082731B" w14:textId="77777777" w:rsidR="00A20E10" w:rsidRDefault="00A20E10">
            <w:pPr>
              <w:spacing w:line="360" w:lineRule="auto"/>
              <w:jc w:val="center"/>
              <w:rPr>
                <w:rFonts w:ascii="Arial" w:eastAsia="Arial" w:hAnsi="Arial" w:cs="Arial"/>
                <w:color w:val="7030A0"/>
                <w:sz w:val="24"/>
                <w:szCs w:val="24"/>
              </w:rPr>
            </w:pPr>
          </w:p>
        </w:tc>
        <w:tc>
          <w:tcPr>
            <w:tcW w:w="2943" w:type="dxa"/>
          </w:tcPr>
          <w:p w14:paraId="778681A3"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b/>
                <w:color w:val="000000"/>
                <w:sz w:val="20"/>
                <w:szCs w:val="20"/>
              </w:rPr>
              <w:t>FECHA DE COMPARENDO</w:t>
            </w:r>
          </w:p>
          <w:p w14:paraId="7E283835" w14:textId="77777777" w:rsidR="00A20E10" w:rsidRDefault="00A20E10">
            <w:pPr>
              <w:spacing w:line="360" w:lineRule="auto"/>
              <w:jc w:val="center"/>
              <w:rPr>
                <w:rFonts w:ascii="Arial" w:eastAsia="Arial" w:hAnsi="Arial" w:cs="Arial"/>
                <w:color w:val="7030A0"/>
                <w:sz w:val="24"/>
                <w:szCs w:val="24"/>
              </w:rPr>
            </w:pPr>
          </w:p>
        </w:tc>
        <w:tc>
          <w:tcPr>
            <w:tcW w:w="2943" w:type="dxa"/>
          </w:tcPr>
          <w:p w14:paraId="68013BF8" w14:textId="77777777" w:rsidR="00A20E10" w:rsidRDefault="00741E3C">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20"/>
                <w:szCs w:val="20"/>
              </w:rPr>
              <w:t>FECHA DE CADUCIDAD</w:t>
            </w:r>
          </w:p>
          <w:p w14:paraId="12667688" w14:textId="77777777" w:rsidR="00A20E10" w:rsidRDefault="00741E3C">
            <w:pPr>
              <w:spacing w:line="360" w:lineRule="auto"/>
              <w:jc w:val="center"/>
              <w:rPr>
                <w:rFonts w:ascii="Arial" w:eastAsia="Arial" w:hAnsi="Arial" w:cs="Arial"/>
                <w:color w:val="7030A0"/>
                <w:sz w:val="24"/>
                <w:szCs w:val="24"/>
              </w:rPr>
            </w:pPr>
            <w:r>
              <w:rPr>
                <w:b/>
                <w:sz w:val="20"/>
                <w:szCs w:val="20"/>
              </w:rPr>
              <w:t>(1) años</w:t>
            </w:r>
          </w:p>
        </w:tc>
      </w:tr>
      <w:tr w:rsidR="00A20E10" w14:paraId="3160CDC1" w14:textId="77777777">
        <w:tc>
          <w:tcPr>
            <w:tcW w:w="2942" w:type="dxa"/>
          </w:tcPr>
          <w:p w14:paraId="03A41848" w14:textId="77777777" w:rsidR="00A20E10" w:rsidRDefault="00741E3C">
            <w:pPr>
              <w:pBdr>
                <w:top w:val="nil"/>
                <w:left w:val="nil"/>
                <w:bottom w:val="nil"/>
                <w:right w:val="nil"/>
                <w:between w:val="nil"/>
              </w:pBdr>
              <w:spacing w:after="0" w:line="240" w:lineRule="auto"/>
              <w:jc w:val="center"/>
              <w:rPr>
                <w:rFonts w:ascii="Arial" w:eastAsia="Arial" w:hAnsi="Arial" w:cs="Arial"/>
                <w:color w:val="FF0000"/>
              </w:rPr>
            </w:pPr>
            <w:r>
              <w:rPr>
                <w:rFonts w:ascii="Arial" w:eastAsia="Arial" w:hAnsi="Arial" w:cs="Arial"/>
                <w:color w:val="FF0000"/>
              </w:rPr>
              <w:t>1100100000001234567890</w:t>
            </w:r>
          </w:p>
          <w:p w14:paraId="49443C13" w14:textId="77777777" w:rsidR="00A20E10" w:rsidRDefault="00A20E10">
            <w:pPr>
              <w:spacing w:line="360" w:lineRule="auto"/>
              <w:jc w:val="both"/>
              <w:rPr>
                <w:rFonts w:ascii="Arial" w:eastAsia="Arial" w:hAnsi="Arial" w:cs="Arial"/>
                <w:color w:val="7030A0"/>
                <w:sz w:val="24"/>
                <w:szCs w:val="24"/>
              </w:rPr>
            </w:pPr>
          </w:p>
        </w:tc>
        <w:tc>
          <w:tcPr>
            <w:tcW w:w="2943" w:type="dxa"/>
          </w:tcPr>
          <w:p w14:paraId="59C18E66" w14:textId="77777777" w:rsidR="00A20E10" w:rsidRDefault="00741E3C">
            <w:pPr>
              <w:pBdr>
                <w:top w:val="nil"/>
                <w:left w:val="nil"/>
                <w:bottom w:val="nil"/>
                <w:right w:val="nil"/>
                <w:between w:val="nil"/>
              </w:pBdr>
              <w:spacing w:after="0" w:line="240" w:lineRule="auto"/>
              <w:jc w:val="center"/>
              <w:rPr>
                <w:rFonts w:ascii="Arial" w:eastAsia="Arial" w:hAnsi="Arial" w:cs="Arial"/>
                <w:color w:val="FF0000"/>
                <w:sz w:val="23"/>
                <w:szCs w:val="23"/>
              </w:rPr>
            </w:pPr>
            <w:r>
              <w:rPr>
                <w:rFonts w:ascii="Arial" w:eastAsia="Arial" w:hAnsi="Arial" w:cs="Arial"/>
                <w:color w:val="FF0000"/>
                <w:sz w:val="23"/>
                <w:szCs w:val="23"/>
              </w:rPr>
              <w:t>01/01/2022</w:t>
            </w:r>
          </w:p>
          <w:p w14:paraId="7180D5AA" w14:textId="77777777" w:rsidR="00A20E10" w:rsidRDefault="00A20E10">
            <w:pPr>
              <w:spacing w:line="360" w:lineRule="auto"/>
              <w:jc w:val="both"/>
              <w:rPr>
                <w:rFonts w:ascii="Arial" w:eastAsia="Arial" w:hAnsi="Arial" w:cs="Arial"/>
                <w:color w:val="7030A0"/>
                <w:sz w:val="24"/>
                <w:szCs w:val="24"/>
              </w:rPr>
            </w:pPr>
          </w:p>
        </w:tc>
        <w:tc>
          <w:tcPr>
            <w:tcW w:w="2943" w:type="dxa"/>
          </w:tcPr>
          <w:p w14:paraId="7691C933" w14:textId="77777777" w:rsidR="00A20E10" w:rsidRDefault="00741E3C">
            <w:pPr>
              <w:pBdr>
                <w:top w:val="nil"/>
                <w:left w:val="nil"/>
                <w:bottom w:val="nil"/>
                <w:right w:val="nil"/>
                <w:between w:val="nil"/>
              </w:pBdr>
              <w:spacing w:after="0" w:line="240" w:lineRule="auto"/>
              <w:jc w:val="center"/>
              <w:rPr>
                <w:rFonts w:ascii="Arial" w:eastAsia="Arial" w:hAnsi="Arial" w:cs="Arial"/>
                <w:color w:val="FF0000"/>
                <w:sz w:val="23"/>
                <w:szCs w:val="23"/>
              </w:rPr>
            </w:pPr>
            <w:r>
              <w:rPr>
                <w:rFonts w:ascii="Arial" w:eastAsia="Arial" w:hAnsi="Arial" w:cs="Arial"/>
                <w:color w:val="FF0000"/>
                <w:sz w:val="23"/>
                <w:szCs w:val="23"/>
              </w:rPr>
              <w:t>02/01/2023</w:t>
            </w:r>
          </w:p>
          <w:p w14:paraId="51E09FD7" w14:textId="77777777" w:rsidR="00A20E10" w:rsidRDefault="00A20E10">
            <w:pPr>
              <w:spacing w:line="360" w:lineRule="auto"/>
              <w:jc w:val="both"/>
              <w:rPr>
                <w:rFonts w:ascii="Arial" w:eastAsia="Arial" w:hAnsi="Arial" w:cs="Arial"/>
                <w:color w:val="7030A0"/>
                <w:sz w:val="24"/>
                <w:szCs w:val="24"/>
              </w:rPr>
            </w:pPr>
          </w:p>
        </w:tc>
      </w:tr>
    </w:tbl>
    <w:p w14:paraId="69C22600" w14:textId="77777777" w:rsidR="00A20E10" w:rsidRDefault="00A20E10">
      <w:pPr>
        <w:pBdr>
          <w:top w:val="nil"/>
          <w:left w:val="nil"/>
          <w:bottom w:val="nil"/>
          <w:right w:val="nil"/>
          <w:between w:val="nil"/>
        </w:pBdr>
        <w:spacing w:line="360" w:lineRule="auto"/>
        <w:ind w:left="785"/>
        <w:jc w:val="both"/>
        <w:rPr>
          <w:rFonts w:ascii="Arial" w:eastAsia="Arial" w:hAnsi="Arial" w:cs="Arial"/>
          <w:b/>
          <w:color w:val="7030A0"/>
          <w:sz w:val="24"/>
          <w:szCs w:val="24"/>
        </w:rPr>
      </w:pPr>
    </w:p>
    <w:p w14:paraId="5838B360" w14:textId="77777777" w:rsidR="00A20E10" w:rsidRDefault="00741E3C">
      <w:pPr>
        <w:numPr>
          <w:ilvl w:val="0"/>
          <w:numId w:val="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Si han accedido de forma total a la solicitudes de CADUCIDAD del comparendo anterior </w:t>
      </w:r>
      <w:r>
        <w:rPr>
          <w:rFonts w:ascii="Arial" w:eastAsia="Arial" w:hAnsi="Arial" w:cs="Arial"/>
          <w:color w:val="FF0000"/>
          <w:sz w:val="24"/>
          <w:szCs w:val="24"/>
        </w:rPr>
        <w:t>(XXXXXXXXXXXXXXXXXXX)</w:t>
      </w:r>
      <w:r>
        <w:rPr>
          <w:rFonts w:ascii="Arial" w:eastAsia="Arial" w:hAnsi="Arial" w:cs="Arial"/>
          <w:color w:val="000000"/>
          <w:sz w:val="24"/>
          <w:szCs w:val="24"/>
        </w:rPr>
        <w:t xml:space="preserve">, hacer caso omiso a esta pretensión, de lo contrario, EN ACASO DE NO ACCEDER A LA CADUCIDAD ANTES SOLICITADAS, solicitamos que se allegue fiel copia </w:t>
      </w:r>
      <w:r>
        <w:rPr>
          <w:rFonts w:ascii="Arial" w:eastAsia="Arial" w:hAnsi="Arial" w:cs="Arial"/>
          <w:color w:val="000000"/>
          <w:sz w:val="24"/>
          <w:szCs w:val="24"/>
        </w:rPr>
        <w:t>íntegra y digital de todo el procedimiento contravencional y que contenga lo siguiente:</w:t>
      </w:r>
    </w:p>
    <w:p w14:paraId="124660DD" w14:textId="77777777" w:rsidR="00A20E10" w:rsidRDefault="00A20E10">
      <w:pPr>
        <w:pBdr>
          <w:top w:val="nil"/>
          <w:left w:val="nil"/>
          <w:bottom w:val="nil"/>
          <w:right w:val="nil"/>
          <w:between w:val="nil"/>
        </w:pBdr>
        <w:spacing w:after="0" w:line="240" w:lineRule="auto"/>
        <w:ind w:left="785"/>
        <w:rPr>
          <w:rFonts w:ascii="Arial" w:eastAsia="Arial" w:hAnsi="Arial" w:cs="Arial"/>
          <w:color w:val="000000"/>
          <w:sz w:val="24"/>
          <w:szCs w:val="24"/>
        </w:rPr>
      </w:pPr>
    </w:p>
    <w:p w14:paraId="30FEC2D9"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Audiencia donde se declaró contraventor. </w:t>
      </w:r>
    </w:p>
    <w:p w14:paraId="3885BA07"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3"/>
          <w:szCs w:val="23"/>
        </w:rPr>
      </w:pPr>
      <w:r>
        <w:rPr>
          <w:rFonts w:ascii="Arial" w:eastAsia="Arial" w:hAnsi="Arial" w:cs="Arial"/>
          <w:color w:val="000000"/>
          <w:sz w:val="23"/>
          <w:szCs w:val="23"/>
        </w:rPr>
        <w:t xml:space="preserve">Nombre completo, numero de cedula, resolución de nombramiento, manual de funciones del inspector que sancionó al peticionario. </w:t>
      </w:r>
    </w:p>
    <w:p w14:paraId="7D3E650C"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3"/>
          <w:szCs w:val="23"/>
        </w:rPr>
      </w:pPr>
      <w:r>
        <w:rPr>
          <w:rFonts w:ascii="Arial" w:eastAsia="Arial" w:hAnsi="Arial" w:cs="Arial"/>
          <w:color w:val="000000"/>
          <w:sz w:val="23"/>
          <w:szCs w:val="23"/>
        </w:rPr>
        <w:t xml:space="preserve">Copia del libro consecutivo donde se haya registrado la resolución sancionatoria en sus bases de datos. </w:t>
      </w:r>
    </w:p>
    <w:p w14:paraId="5DB77AA3"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3"/>
          <w:szCs w:val="23"/>
        </w:rPr>
      </w:pPr>
      <w:r>
        <w:rPr>
          <w:rFonts w:ascii="Arial" w:eastAsia="Arial" w:hAnsi="Arial" w:cs="Arial"/>
          <w:color w:val="000000"/>
          <w:sz w:val="23"/>
          <w:szCs w:val="23"/>
        </w:rPr>
        <w:t>Resoluciones sancionatorias (de fallo, mandamiento de pago, notificación de mandamiento de pago, decreto de pruebas donde se haya determinado que es el</w:t>
      </w:r>
      <w:r>
        <w:rPr>
          <w:rFonts w:ascii="Arial" w:eastAsia="Arial" w:hAnsi="Arial" w:cs="Arial"/>
          <w:color w:val="000000"/>
          <w:sz w:val="23"/>
          <w:szCs w:val="23"/>
        </w:rPr>
        <w:t xml:space="preserve"> infractor) </w:t>
      </w:r>
    </w:p>
    <w:p w14:paraId="62E8B407"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3"/>
          <w:szCs w:val="23"/>
        </w:rPr>
      </w:pPr>
      <w:r>
        <w:rPr>
          <w:rFonts w:ascii="Arial" w:eastAsia="Arial" w:hAnsi="Arial" w:cs="Arial"/>
          <w:color w:val="000000"/>
          <w:sz w:val="23"/>
          <w:szCs w:val="23"/>
        </w:rPr>
        <w:t xml:space="preserve">Auto que ordena Notificación personal de los mandamientos de pago. </w:t>
      </w:r>
    </w:p>
    <w:p w14:paraId="144F5134"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3"/>
          <w:szCs w:val="23"/>
        </w:rPr>
      </w:pPr>
      <w:r>
        <w:rPr>
          <w:rFonts w:ascii="Arial" w:eastAsia="Arial" w:hAnsi="Arial" w:cs="Arial"/>
          <w:color w:val="000000"/>
          <w:sz w:val="23"/>
          <w:szCs w:val="23"/>
        </w:rPr>
        <w:t xml:space="preserve">Las guías del correo certificado y planilla del correo (primera y segunda) de entrega donde se notifica </w:t>
      </w:r>
      <w:r>
        <w:rPr>
          <w:rFonts w:ascii="Arial" w:eastAsia="Arial" w:hAnsi="Arial" w:cs="Arial"/>
          <w:b/>
          <w:color w:val="000000"/>
          <w:sz w:val="23"/>
          <w:szCs w:val="23"/>
        </w:rPr>
        <w:t xml:space="preserve">la orden de comparendo personalmente o en su defecto por aviso. </w:t>
      </w:r>
    </w:p>
    <w:p w14:paraId="41EAF781" w14:textId="77777777" w:rsidR="00A20E10" w:rsidRDefault="00741E3C">
      <w:pPr>
        <w:numPr>
          <w:ilvl w:val="0"/>
          <w:numId w:val="3"/>
        </w:numPr>
        <w:pBdr>
          <w:top w:val="nil"/>
          <w:left w:val="nil"/>
          <w:bottom w:val="nil"/>
          <w:right w:val="nil"/>
          <w:between w:val="nil"/>
        </w:pBdr>
        <w:spacing w:after="20" w:line="240" w:lineRule="auto"/>
        <w:jc w:val="both"/>
        <w:rPr>
          <w:rFonts w:ascii="Arial" w:eastAsia="Arial" w:hAnsi="Arial" w:cs="Arial"/>
          <w:color w:val="000000"/>
          <w:sz w:val="23"/>
          <w:szCs w:val="23"/>
        </w:rPr>
      </w:pPr>
      <w:r>
        <w:rPr>
          <w:rFonts w:ascii="Arial" w:eastAsia="Arial" w:hAnsi="Arial" w:cs="Arial"/>
          <w:color w:val="000000"/>
          <w:sz w:val="23"/>
          <w:szCs w:val="23"/>
        </w:rPr>
        <w:t>Las gu</w:t>
      </w:r>
      <w:r>
        <w:rPr>
          <w:rFonts w:ascii="Arial" w:eastAsia="Arial" w:hAnsi="Arial" w:cs="Arial"/>
          <w:color w:val="000000"/>
          <w:sz w:val="23"/>
          <w:szCs w:val="23"/>
        </w:rPr>
        <w:t xml:space="preserve">ías del correo certificado y planilla del correo (primera y segunda) de entrega donde se notifica </w:t>
      </w:r>
      <w:r>
        <w:rPr>
          <w:rFonts w:ascii="Arial" w:eastAsia="Arial" w:hAnsi="Arial" w:cs="Arial"/>
          <w:b/>
          <w:i/>
          <w:color w:val="000000"/>
          <w:sz w:val="23"/>
          <w:szCs w:val="23"/>
        </w:rPr>
        <w:t>el mandamiento de pago.</w:t>
      </w:r>
    </w:p>
    <w:p w14:paraId="6E25F1DE" w14:textId="77777777" w:rsidR="00A20E10" w:rsidRDefault="00741E3C">
      <w:pPr>
        <w:numPr>
          <w:ilvl w:val="0"/>
          <w:numId w:val="3"/>
        </w:numPr>
        <w:pBdr>
          <w:top w:val="nil"/>
          <w:left w:val="nil"/>
          <w:bottom w:val="nil"/>
          <w:right w:val="nil"/>
          <w:between w:val="nil"/>
        </w:pBdr>
        <w:spacing w:after="0" w:line="240" w:lineRule="auto"/>
        <w:jc w:val="both"/>
        <w:rPr>
          <w:rFonts w:ascii="Arial" w:eastAsia="Arial" w:hAnsi="Arial" w:cs="Arial"/>
          <w:color w:val="000000"/>
          <w:sz w:val="23"/>
          <w:szCs w:val="23"/>
        </w:rPr>
      </w:pPr>
      <w:r>
        <w:rPr>
          <w:rFonts w:ascii="Arial" w:eastAsia="Arial" w:hAnsi="Arial" w:cs="Arial"/>
          <w:color w:val="000000"/>
          <w:sz w:val="23"/>
          <w:szCs w:val="23"/>
        </w:rPr>
        <w:t xml:space="preserve">Copia de la orden de comparendo. </w:t>
      </w:r>
    </w:p>
    <w:p w14:paraId="40BCC1F7" w14:textId="77777777" w:rsidR="00A20E10" w:rsidRDefault="00A20E10">
      <w:pPr>
        <w:pBdr>
          <w:top w:val="nil"/>
          <w:left w:val="nil"/>
          <w:bottom w:val="nil"/>
          <w:right w:val="nil"/>
          <w:between w:val="nil"/>
        </w:pBdr>
        <w:spacing w:after="0" w:line="240" w:lineRule="auto"/>
        <w:ind w:left="360"/>
        <w:jc w:val="both"/>
        <w:rPr>
          <w:rFonts w:ascii="Arial" w:eastAsia="Arial" w:hAnsi="Arial" w:cs="Arial"/>
          <w:b/>
          <w:i/>
          <w:sz w:val="24"/>
          <w:szCs w:val="24"/>
          <w:u w:val="single"/>
        </w:rPr>
      </w:pPr>
    </w:p>
    <w:p w14:paraId="246A055C" w14:textId="77777777" w:rsidR="00A20E10" w:rsidRDefault="00741E3C">
      <w:pPr>
        <w:numPr>
          <w:ilvl w:val="0"/>
          <w:numId w:val="2"/>
        </w:numPr>
        <w:pBdr>
          <w:top w:val="nil"/>
          <w:left w:val="nil"/>
          <w:bottom w:val="nil"/>
          <w:right w:val="nil"/>
          <w:between w:val="nil"/>
        </w:pBdr>
        <w:spacing w:after="0" w:line="240" w:lineRule="auto"/>
        <w:jc w:val="both"/>
        <w:rPr>
          <w:rFonts w:ascii="Arial" w:eastAsia="Arial" w:hAnsi="Arial" w:cs="Arial"/>
          <w:b/>
          <w:i/>
          <w:color w:val="000000"/>
          <w:sz w:val="24"/>
          <w:szCs w:val="24"/>
          <w:u w:val="single"/>
        </w:rPr>
      </w:pPr>
      <w:r>
        <w:rPr>
          <w:rFonts w:ascii="Arial" w:eastAsia="Arial" w:hAnsi="Arial" w:cs="Arial"/>
          <w:b/>
          <w:i/>
          <w:color w:val="000000"/>
          <w:sz w:val="24"/>
          <w:szCs w:val="24"/>
          <w:u w:val="single"/>
        </w:rPr>
        <w:t>En caso de no dar respuesta a esta solicitud satisfactoriamente, debido a que no existe ningún argumento válido, para impedir defenderme en audiencia pública virtual o hacerme a la etapa del procedimiento contravencional donde se encuentre se procederá a c</w:t>
      </w:r>
      <w:r>
        <w:rPr>
          <w:rFonts w:ascii="Arial" w:eastAsia="Arial" w:hAnsi="Arial" w:cs="Arial"/>
          <w:b/>
          <w:i/>
          <w:color w:val="000000"/>
          <w:sz w:val="24"/>
          <w:szCs w:val="24"/>
          <w:u w:val="single"/>
        </w:rPr>
        <w:t>onstituirlos en renuencia agotándose requisito de procedibilidad ante juez administrativo, sin perjuicio de acciones ante organismos de control.</w:t>
      </w:r>
    </w:p>
    <w:p w14:paraId="125C7217" w14:textId="77777777" w:rsidR="00A20E10" w:rsidRDefault="00A20E10">
      <w:pPr>
        <w:pBdr>
          <w:top w:val="nil"/>
          <w:left w:val="nil"/>
          <w:bottom w:val="nil"/>
          <w:right w:val="nil"/>
          <w:between w:val="nil"/>
        </w:pBdr>
        <w:spacing w:after="0" w:line="240" w:lineRule="auto"/>
        <w:ind w:left="720"/>
        <w:jc w:val="both"/>
        <w:rPr>
          <w:rFonts w:ascii="Arial" w:eastAsia="Arial" w:hAnsi="Arial" w:cs="Arial"/>
          <w:b/>
          <w:i/>
          <w:color w:val="000000"/>
          <w:sz w:val="24"/>
          <w:szCs w:val="24"/>
          <w:u w:val="single"/>
        </w:rPr>
      </w:pPr>
    </w:p>
    <w:p w14:paraId="7F91A3C2" w14:textId="77777777" w:rsidR="00A20E10" w:rsidRDefault="00741E3C">
      <w:pPr>
        <w:numPr>
          <w:ilvl w:val="0"/>
          <w:numId w:val="2"/>
        </w:numPr>
        <w:pBdr>
          <w:top w:val="nil"/>
          <w:left w:val="nil"/>
          <w:bottom w:val="nil"/>
          <w:right w:val="nil"/>
          <w:between w:val="nil"/>
        </w:pBdr>
        <w:spacing w:after="0" w:line="240" w:lineRule="auto"/>
        <w:jc w:val="both"/>
        <w:rPr>
          <w:rFonts w:ascii="Arial" w:eastAsia="Arial" w:hAnsi="Arial" w:cs="Arial"/>
          <w:b/>
          <w:i/>
          <w:color w:val="000000"/>
          <w:sz w:val="24"/>
          <w:szCs w:val="24"/>
          <w:u w:val="single"/>
        </w:rPr>
      </w:pPr>
      <w:r>
        <w:rPr>
          <w:rFonts w:ascii="Arial" w:eastAsia="Arial" w:hAnsi="Arial" w:cs="Arial"/>
          <w:color w:val="000000"/>
          <w:sz w:val="24"/>
          <w:szCs w:val="24"/>
          <w:highlight w:val="white"/>
        </w:rPr>
        <w:t>Haciendo uso del derecho a las habeas data , m</w:t>
      </w:r>
      <w:r>
        <w:rPr>
          <w:rFonts w:ascii="Arial" w:eastAsia="Arial" w:hAnsi="Arial" w:cs="Arial"/>
          <w:color w:val="000000"/>
          <w:sz w:val="24"/>
          <w:szCs w:val="24"/>
        </w:rPr>
        <w:t xml:space="preserve">e permito solicitar que la siguiente información como respuesta entre otras, al tratarse de derechos fundamentales y atributos de la personalidad como el nombre entre otros sea enviada </w:t>
      </w:r>
      <w:r>
        <w:rPr>
          <w:rFonts w:ascii="Arial" w:eastAsia="Arial" w:hAnsi="Arial" w:cs="Arial"/>
          <w:b/>
          <w:i/>
          <w:color w:val="000000"/>
          <w:sz w:val="24"/>
          <w:szCs w:val="24"/>
          <w:u w:val="single"/>
        </w:rPr>
        <w:t>al E-MAIL registrado en esta petición y NO publicada en medios electrón</w:t>
      </w:r>
      <w:r>
        <w:rPr>
          <w:rFonts w:ascii="Arial" w:eastAsia="Arial" w:hAnsi="Arial" w:cs="Arial"/>
          <w:b/>
          <w:i/>
          <w:color w:val="000000"/>
          <w:sz w:val="24"/>
          <w:szCs w:val="24"/>
          <w:u w:val="single"/>
        </w:rPr>
        <w:t>icos como páginas web, motores de búsqueda, aplicaciones, redes sociales y similares.</w:t>
      </w:r>
    </w:p>
    <w:p w14:paraId="11444DA7" w14:textId="77777777" w:rsidR="00A20E10" w:rsidRDefault="00A20E10">
      <w:pPr>
        <w:spacing w:line="360" w:lineRule="auto"/>
        <w:jc w:val="both"/>
        <w:rPr>
          <w:rFonts w:ascii="Arial" w:eastAsia="Arial" w:hAnsi="Arial" w:cs="Arial"/>
          <w:sz w:val="24"/>
          <w:szCs w:val="24"/>
        </w:rPr>
      </w:pPr>
    </w:p>
    <w:p w14:paraId="0463C308" w14:textId="77777777" w:rsidR="00A20E10" w:rsidRDefault="00741E3C">
      <w:pPr>
        <w:numPr>
          <w:ilvl w:val="0"/>
          <w:numId w:val="1"/>
        </w:numPr>
        <w:pBdr>
          <w:top w:val="nil"/>
          <w:left w:val="nil"/>
          <w:bottom w:val="nil"/>
          <w:right w:val="nil"/>
          <w:between w:val="nil"/>
        </w:pBdr>
        <w:spacing w:line="360" w:lineRule="auto"/>
        <w:jc w:val="center"/>
        <w:rPr>
          <w:rFonts w:ascii="Arial" w:eastAsia="Arial" w:hAnsi="Arial" w:cs="Arial"/>
          <w:b/>
          <w:color w:val="000000"/>
          <w:sz w:val="24"/>
          <w:szCs w:val="24"/>
        </w:rPr>
      </w:pPr>
      <w:r>
        <w:rPr>
          <w:rFonts w:ascii="Arial" w:eastAsia="Arial" w:hAnsi="Arial" w:cs="Arial"/>
          <w:b/>
          <w:color w:val="000000"/>
          <w:sz w:val="24"/>
          <w:szCs w:val="24"/>
        </w:rPr>
        <w:t>ANEXOS</w:t>
      </w:r>
    </w:p>
    <w:p w14:paraId="023DC8B3"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Copia de mi cédula de ciudadanía. </w:t>
      </w:r>
    </w:p>
    <w:p w14:paraId="174936BF" w14:textId="77777777" w:rsidR="00A20E10" w:rsidRDefault="00A20E10">
      <w:pPr>
        <w:spacing w:after="0" w:line="360" w:lineRule="auto"/>
        <w:jc w:val="both"/>
        <w:rPr>
          <w:rFonts w:ascii="Arial" w:eastAsia="Arial" w:hAnsi="Arial" w:cs="Arial"/>
          <w:sz w:val="24"/>
          <w:szCs w:val="24"/>
        </w:rPr>
      </w:pPr>
    </w:p>
    <w:p w14:paraId="6EC60E4F" w14:textId="77777777" w:rsidR="00A20E10" w:rsidRDefault="00A20E10">
      <w:pPr>
        <w:spacing w:after="0" w:line="360" w:lineRule="auto"/>
        <w:jc w:val="both"/>
        <w:rPr>
          <w:rFonts w:ascii="Arial" w:eastAsia="Arial" w:hAnsi="Arial" w:cs="Arial"/>
          <w:sz w:val="24"/>
          <w:szCs w:val="24"/>
        </w:rPr>
      </w:pPr>
    </w:p>
    <w:p w14:paraId="3F1FE423" w14:textId="77777777" w:rsidR="00A20E10" w:rsidRDefault="00A20E10">
      <w:pPr>
        <w:spacing w:after="0" w:line="360" w:lineRule="auto"/>
        <w:jc w:val="both"/>
        <w:rPr>
          <w:rFonts w:ascii="Arial" w:eastAsia="Arial" w:hAnsi="Arial" w:cs="Arial"/>
          <w:sz w:val="24"/>
          <w:szCs w:val="24"/>
        </w:rPr>
      </w:pPr>
    </w:p>
    <w:p w14:paraId="457FDADF" w14:textId="77777777" w:rsidR="00A20E10" w:rsidRDefault="00741E3C">
      <w:pPr>
        <w:numPr>
          <w:ilvl w:val="0"/>
          <w:numId w:val="1"/>
        </w:numPr>
        <w:pBdr>
          <w:top w:val="nil"/>
          <w:left w:val="nil"/>
          <w:bottom w:val="nil"/>
          <w:right w:val="nil"/>
          <w:between w:val="nil"/>
        </w:pBdr>
        <w:spacing w:line="360" w:lineRule="auto"/>
        <w:jc w:val="center"/>
        <w:rPr>
          <w:rFonts w:ascii="Arial" w:eastAsia="Arial" w:hAnsi="Arial" w:cs="Arial"/>
          <w:b/>
          <w:color w:val="000000"/>
          <w:sz w:val="24"/>
          <w:szCs w:val="24"/>
        </w:rPr>
      </w:pPr>
      <w:r>
        <w:rPr>
          <w:rFonts w:ascii="Arial" w:eastAsia="Arial" w:hAnsi="Arial" w:cs="Arial"/>
          <w:b/>
          <w:color w:val="000000"/>
          <w:sz w:val="24"/>
          <w:szCs w:val="24"/>
        </w:rPr>
        <w:t>NOTIFICACIONES</w:t>
      </w:r>
    </w:p>
    <w:p w14:paraId="54FC73C7" w14:textId="77777777" w:rsidR="00A20E10" w:rsidRDefault="00741E3C">
      <w:pPr>
        <w:spacing w:line="360" w:lineRule="auto"/>
        <w:jc w:val="both"/>
        <w:rPr>
          <w:rFonts w:ascii="Arial" w:eastAsia="Arial" w:hAnsi="Arial" w:cs="Arial"/>
          <w:sz w:val="24"/>
          <w:szCs w:val="24"/>
        </w:rPr>
      </w:pPr>
      <w:r>
        <w:rPr>
          <w:rFonts w:ascii="Arial" w:eastAsia="Arial" w:hAnsi="Arial" w:cs="Arial"/>
          <w:sz w:val="24"/>
          <w:szCs w:val="24"/>
        </w:rPr>
        <w:t xml:space="preserve">Solicito que la respuesta al presente derecho de petición </w:t>
      </w:r>
      <w:r>
        <w:rPr>
          <w:rFonts w:ascii="Arial" w:eastAsia="Arial" w:hAnsi="Arial" w:cs="Arial"/>
          <w:i/>
          <w:sz w:val="24"/>
          <w:szCs w:val="24"/>
        </w:rPr>
        <w:t xml:space="preserve">sea remitida a la dirección de notificación proporcionada </w:t>
      </w:r>
      <w:r>
        <w:rPr>
          <w:rFonts w:ascii="Arial" w:eastAsia="Arial" w:hAnsi="Arial" w:cs="Arial"/>
          <w:i/>
          <w:color w:val="FF0000"/>
          <w:sz w:val="24"/>
          <w:szCs w:val="24"/>
        </w:rPr>
        <w:t>(poner correo electrónico)</w:t>
      </w:r>
      <w:r>
        <w:rPr>
          <w:rFonts w:ascii="Arial" w:eastAsia="Arial" w:hAnsi="Arial" w:cs="Arial"/>
          <w:i/>
          <w:sz w:val="24"/>
          <w:szCs w:val="24"/>
        </w:rPr>
        <w:t>.</w:t>
      </w:r>
    </w:p>
    <w:p w14:paraId="73F2802B" w14:textId="77777777" w:rsidR="00A20E10" w:rsidRDefault="00A20E10">
      <w:pPr>
        <w:spacing w:line="360" w:lineRule="auto"/>
        <w:jc w:val="both"/>
        <w:rPr>
          <w:rFonts w:ascii="Arial" w:eastAsia="Arial" w:hAnsi="Arial" w:cs="Arial"/>
          <w:color w:val="000000"/>
          <w:sz w:val="24"/>
          <w:szCs w:val="24"/>
        </w:rPr>
      </w:pPr>
    </w:p>
    <w:p w14:paraId="392BDA85" w14:textId="77777777" w:rsidR="00A20E10" w:rsidRDefault="00A20E10">
      <w:pPr>
        <w:spacing w:after="0" w:line="360" w:lineRule="auto"/>
        <w:jc w:val="both"/>
        <w:rPr>
          <w:rFonts w:ascii="Arial" w:eastAsia="Arial" w:hAnsi="Arial" w:cs="Arial"/>
          <w:color w:val="000000"/>
          <w:sz w:val="24"/>
          <w:szCs w:val="24"/>
        </w:rPr>
      </w:pPr>
    </w:p>
    <w:p w14:paraId="626B058B" w14:textId="77777777" w:rsidR="00A20E10" w:rsidRDefault="00741E3C">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r>
        <w:rPr>
          <w:rFonts w:ascii="Arial" w:eastAsia="Arial" w:hAnsi="Arial" w:cs="Arial"/>
          <w:color w:val="000000"/>
          <w:sz w:val="24"/>
          <w:szCs w:val="24"/>
        </w:rPr>
        <w:t>Cordialmente,</w:t>
      </w:r>
    </w:p>
    <w:p w14:paraId="3EC08E8C" w14:textId="77777777" w:rsidR="00A20E10" w:rsidRDefault="00A20E10">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7C295DA8" w14:textId="77777777" w:rsidR="00A20E10" w:rsidRDefault="00A20E10">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59FAFD33" w14:textId="77777777" w:rsidR="00A20E10" w:rsidRDefault="00741E3C">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[Nombre completo]</w:t>
      </w:r>
    </w:p>
    <w:p w14:paraId="0CD08172" w14:textId="77777777" w:rsidR="00A20E10" w:rsidRDefault="00741E3C">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(XXXX) [Número de documento]</w:t>
      </w:r>
    </w:p>
    <w:p w14:paraId="3602A5D1" w14:textId="77777777" w:rsidR="00A20E10" w:rsidRDefault="00741E3C">
      <w:pPr>
        <w:pBdr>
          <w:top w:val="nil"/>
          <w:left w:val="nil"/>
          <w:bottom w:val="nil"/>
          <w:right w:val="nil"/>
          <w:between w:val="nil"/>
        </w:pBdr>
        <w:shd w:val="clear" w:color="auto" w:fill="FFFFFF"/>
        <w:spacing w:after="280" w:line="240" w:lineRule="auto"/>
        <w:rPr>
          <w:rFonts w:ascii="Arial" w:eastAsia="Arial" w:hAnsi="Arial" w:cs="Arial"/>
          <w:b/>
          <w:color w:val="FF9900"/>
          <w:sz w:val="24"/>
          <w:szCs w:val="24"/>
          <w:u w:val="single"/>
        </w:rPr>
      </w:pPr>
      <w:r>
        <w:rPr>
          <w:rFonts w:ascii="Arial" w:eastAsia="Arial" w:hAnsi="Arial" w:cs="Arial"/>
          <w:b/>
          <w:color w:val="FF9900"/>
          <w:sz w:val="24"/>
          <w:szCs w:val="24"/>
          <w:u w:val="single"/>
        </w:rPr>
        <w:t>(((((Foto de la cedula de ciudadanía debe anexarla)))))</w:t>
      </w:r>
    </w:p>
    <w:p w14:paraId="1EA00DA2" w14:textId="77777777" w:rsidR="00A20E10" w:rsidRDefault="00A20E10">
      <w:pPr>
        <w:spacing w:after="0" w:line="360" w:lineRule="auto"/>
        <w:jc w:val="both"/>
        <w:rPr>
          <w:rFonts w:ascii="Arial" w:eastAsia="Arial" w:hAnsi="Arial" w:cs="Arial"/>
          <w:b/>
          <w:color w:val="7030A0"/>
          <w:sz w:val="24"/>
          <w:szCs w:val="24"/>
        </w:rPr>
      </w:pPr>
    </w:p>
    <w:p w14:paraId="7D37B6FF" w14:textId="77777777" w:rsidR="00A20E10" w:rsidRDefault="00A20E10">
      <w:pPr>
        <w:jc w:val="both"/>
        <w:rPr>
          <w:rFonts w:ascii="Arial" w:eastAsia="Arial" w:hAnsi="Arial" w:cs="Arial"/>
          <w:sz w:val="24"/>
          <w:szCs w:val="24"/>
        </w:rPr>
      </w:pPr>
    </w:p>
    <w:p w14:paraId="5D7448D9" w14:textId="77777777" w:rsidR="00A20E10" w:rsidRDefault="00A20E10"/>
    <w:sectPr w:rsidR="00A20E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84E69" w14:textId="77777777" w:rsidR="00741E3C" w:rsidRDefault="00741E3C">
      <w:pPr>
        <w:spacing w:after="0" w:line="240" w:lineRule="auto"/>
      </w:pPr>
      <w:r>
        <w:separator/>
      </w:r>
    </w:p>
  </w:endnote>
  <w:endnote w:type="continuationSeparator" w:id="0">
    <w:p w14:paraId="145FF024" w14:textId="77777777" w:rsidR="00741E3C" w:rsidRDefault="0074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9896B" w14:textId="77777777" w:rsidR="00741E3C" w:rsidRDefault="00741E3C">
      <w:pPr>
        <w:spacing w:after="0" w:line="240" w:lineRule="auto"/>
      </w:pPr>
      <w:r>
        <w:separator/>
      </w:r>
    </w:p>
  </w:footnote>
  <w:footnote w:type="continuationSeparator" w:id="0">
    <w:p w14:paraId="72009833" w14:textId="77777777" w:rsidR="00741E3C" w:rsidRDefault="00741E3C">
      <w:pPr>
        <w:spacing w:after="0" w:line="240" w:lineRule="auto"/>
      </w:pPr>
      <w:r>
        <w:continuationSeparator/>
      </w:r>
    </w:p>
  </w:footnote>
  <w:footnote w:id="1">
    <w:p w14:paraId="16DEE221" w14:textId="77777777" w:rsidR="00A20E10" w:rsidRDefault="00741E3C">
      <w:pPr>
        <w:pBdr>
          <w:top w:val="nil"/>
          <w:left w:val="nil"/>
          <w:bottom w:val="nil"/>
          <w:right w:val="nil"/>
          <w:between w:val="nil"/>
        </w:pBdr>
        <w:spacing w:after="0" w:line="240" w:lineRule="auto"/>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Corte Constitucional, Sentencia C-115, 1998. M.P. Hernando Herrera Vergara.</w:t>
      </w:r>
    </w:p>
  </w:footnote>
  <w:footnote w:id="2">
    <w:p w14:paraId="7F95BB0A" w14:textId="77777777" w:rsidR="00A20E10" w:rsidRDefault="00741E3C">
      <w:pPr>
        <w:pBdr>
          <w:top w:val="nil"/>
          <w:left w:val="nil"/>
          <w:bottom w:val="nil"/>
          <w:right w:val="nil"/>
          <w:between w:val="nil"/>
        </w:pBdr>
        <w:spacing w:after="0" w:line="240" w:lineRule="auto"/>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Ibídem.</w:t>
      </w:r>
    </w:p>
  </w:footnote>
  <w:footnote w:id="3">
    <w:p w14:paraId="2E357189" w14:textId="77777777" w:rsidR="00A20E10" w:rsidRDefault="00741E3C">
      <w:pPr>
        <w:pBdr>
          <w:top w:val="nil"/>
          <w:left w:val="nil"/>
          <w:bottom w:val="nil"/>
          <w:right w:val="nil"/>
          <w:between w:val="nil"/>
        </w:pBdr>
        <w:spacing w:after="0" w:line="240" w:lineRule="auto"/>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Ibídem.</w:t>
      </w:r>
    </w:p>
  </w:footnote>
  <w:footnote w:id="4">
    <w:p w14:paraId="535154D5" w14:textId="77777777" w:rsidR="00A20E10" w:rsidRDefault="00741E3C">
      <w:pPr>
        <w:pBdr>
          <w:top w:val="nil"/>
          <w:left w:val="nil"/>
          <w:bottom w:val="nil"/>
          <w:right w:val="nil"/>
          <w:between w:val="nil"/>
        </w:pBdr>
        <w:spacing w:after="0" w:line="240" w:lineRule="auto"/>
        <w:rPr>
          <w:color w:val="000000"/>
          <w:sz w:val="20"/>
          <w:szCs w:val="20"/>
        </w:rPr>
      </w:pPr>
      <w:r>
        <w:rPr>
          <w:vertAlign w:val="superscript"/>
        </w:rPr>
        <w:footnoteRef/>
      </w:r>
      <w:r>
        <w:rPr>
          <w:rFonts w:ascii="Arial" w:eastAsia="Arial" w:hAnsi="Arial" w:cs="Arial"/>
          <w:color w:val="000000"/>
          <w:sz w:val="20"/>
          <w:szCs w:val="20"/>
        </w:rPr>
        <w:t xml:space="preserve"> Consejo de Estado, Sentencia 05 de septiembre, 2016. M.P. Jaime Orlando Santofimio Gamboa.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A333D"/>
    <w:multiLevelType w:val="multilevel"/>
    <w:tmpl w:val="F0E8A5F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001282E"/>
    <w:multiLevelType w:val="multilevel"/>
    <w:tmpl w:val="3FCCD7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D35303E"/>
    <w:multiLevelType w:val="multilevel"/>
    <w:tmpl w:val="DD36E6D4"/>
    <w:lvl w:ilvl="0">
      <w:start w:val="1"/>
      <w:numFmt w:val="decimal"/>
      <w:lvlText w:val="%1."/>
      <w:lvlJc w:val="left"/>
      <w:pPr>
        <w:ind w:left="785" w:hanging="360"/>
      </w:pPr>
      <w:rPr>
        <w:b w:val="0"/>
        <w:color w:val="00000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E10"/>
    <w:rsid w:val="0000233C"/>
    <w:rsid w:val="00741E3C"/>
    <w:rsid w:val="00A20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7EF9"/>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0F6"/>
  </w:style>
  <w:style w:type="paragraph" w:styleId="Ttulo1">
    <w:name w:val="heading 1"/>
    <w:basedOn w:val="Normal"/>
    <w:next w:val="Normal"/>
    <w:link w:val="Ttulo1Car"/>
    <w:uiPriority w:val="9"/>
    <w:qFormat/>
    <w:rsid w:val="00720B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20B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notapie">
    <w:name w:val="footnote text"/>
    <w:basedOn w:val="Normal"/>
    <w:link w:val="TextonotapieCar"/>
    <w:uiPriority w:val="99"/>
    <w:semiHidden/>
    <w:unhideWhenUsed/>
    <w:rsid w:val="00CB20F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B20F6"/>
    <w:rPr>
      <w:kern w:val="0"/>
      <w:sz w:val="20"/>
      <w:szCs w:val="20"/>
    </w:rPr>
  </w:style>
  <w:style w:type="character" w:styleId="Refdenotaalpie">
    <w:name w:val="footnote reference"/>
    <w:basedOn w:val="Fuentedeprrafopredeter"/>
    <w:uiPriority w:val="99"/>
    <w:semiHidden/>
    <w:unhideWhenUsed/>
    <w:rsid w:val="00CB20F6"/>
    <w:rPr>
      <w:vertAlign w:val="superscript"/>
    </w:rPr>
  </w:style>
  <w:style w:type="character" w:styleId="Textodelmarcadordeposicin">
    <w:name w:val="Placeholder Text"/>
    <w:basedOn w:val="Fuentedeprrafopredeter"/>
    <w:uiPriority w:val="99"/>
    <w:semiHidden/>
    <w:rsid w:val="00CB20F6"/>
    <w:rPr>
      <w:color w:val="808080"/>
    </w:rPr>
  </w:style>
  <w:style w:type="character" w:styleId="nfasis">
    <w:name w:val="Emphasis"/>
    <w:basedOn w:val="Fuentedeprrafopredeter"/>
    <w:uiPriority w:val="20"/>
    <w:qFormat/>
    <w:rsid w:val="00CB20F6"/>
    <w:rPr>
      <w:i/>
      <w:iCs/>
    </w:rPr>
  </w:style>
  <w:style w:type="paragraph" w:styleId="NormalWeb">
    <w:name w:val="Normal (Web)"/>
    <w:basedOn w:val="Normal"/>
    <w:uiPriority w:val="99"/>
    <w:unhideWhenUsed/>
    <w:rsid w:val="00CB20F6"/>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CB20F6"/>
    <w:pPr>
      <w:ind w:left="720"/>
      <w:contextualSpacing/>
    </w:pPr>
  </w:style>
  <w:style w:type="character" w:styleId="Textoennegrita">
    <w:name w:val="Strong"/>
    <w:basedOn w:val="Fuentedeprrafopredeter"/>
    <w:uiPriority w:val="22"/>
    <w:qFormat/>
    <w:rsid w:val="00720B31"/>
    <w:rPr>
      <w:b/>
      <w:bCs/>
    </w:rPr>
  </w:style>
  <w:style w:type="character" w:customStyle="1" w:styleId="Ttulo1Car">
    <w:name w:val="Título 1 Car"/>
    <w:basedOn w:val="Fuentedeprrafopredeter"/>
    <w:link w:val="Ttulo1"/>
    <w:uiPriority w:val="9"/>
    <w:rsid w:val="00720B31"/>
    <w:rPr>
      <w:rFonts w:asciiTheme="majorHAnsi" w:eastAsiaTheme="majorEastAsia" w:hAnsiTheme="majorHAnsi" w:cstheme="majorBidi"/>
      <w:color w:val="2F5496" w:themeColor="accent1" w:themeShade="BF"/>
      <w:kern w:val="0"/>
      <w:sz w:val="32"/>
      <w:szCs w:val="32"/>
    </w:rPr>
  </w:style>
  <w:style w:type="paragraph" w:styleId="Sinespaciado">
    <w:name w:val="No Spacing"/>
    <w:uiPriority w:val="1"/>
    <w:qFormat/>
    <w:rsid w:val="00720B31"/>
  </w:style>
  <w:style w:type="character" w:customStyle="1" w:styleId="Ttulo2Car">
    <w:name w:val="Título 2 Car"/>
    <w:basedOn w:val="Fuentedeprrafopredeter"/>
    <w:link w:val="Ttulo2"/>
    <w:uiPriority w:val="9"/>
    <w:rsid w:val="00720B31"/>
    <w:rPr>
      <w:rFonts w:asciiTheme="majorHAnsi" w:eastAsiaTheme="majorEastAsia" w:hAnsiTheme="majorHAnsi" w:cstheme="majorBidi"/>
      <w:color w:val="2F5496" w:themeColor="accent1" w:themeShade="BF"/>
      <w:kern w:val="0"/>
      <w:sz w:val="26"/>
      <w:szCs w:val="26"/>
    </w:rPr>
  </w:style>
  <w:style w:type="paragraph" w:customStyle="1" w:styleId="Default">
    <w:name w:val="Default"/>
    <w:rsid w:val="00AE78E5"/>
    <w:pPr>
      <w:autoSpaceDE w:val="0"/>
      <w:autoSpaceDN w:val="0"/>
      <w:adjustRightInd w:val="0"/>
    </w:pPr>
    <w:rPr>
      <w:rFonts w:ascii="Arial" w:hAnsi="Arial" w:cs="Arial"/>
      <w:color w:val="000000"/>
      <w:lang w:val="en-US"/>
    </w:rPr>
  </w:style>
  <w:style w:type="character" w:styleId="Hipervnculo">
    <w:name w:val="Hyperlink"/>
    <w:basedOn w:val="Fuentedeprrafopredeter"/>
    <w:uiPriority w:val="99"/>
    <w:unhideWhenUsed/>
    <w:rsid w:val="00B02CF6"/>
    <w:rPr>
      <w:color w:val="0563C1" w:themeColor="hyperlink"/>
      <w:u w:val="single"/>
    </w:rPr>
  </w:style>
  <w:style w:type="table" w:styleId="Tablaconcuadrcula">
    <w:name w:val="Table Grid"/>
    <w:basedOn w:val="Tablanormal"/>
    <w:uiPriority w:val="39"/>
    <w:rsid w:val="00B02C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8E1253"/>
    <w:pPr>
      <w:autoSpaceDE w:val="0"/>
      <w:autoSpaceDN w:val="0"/>
      <w:adjustRightInd w:val="0"/>
      <w:spacing w:after="0" w:line="240" w:lineRule="auto"/>
    </w:pPr>
    <w:rPr>
      <w:rFonts w:ascii="Arial" w:hAnsi="Arial" w:cs="Arial"/>
      <w:sz w:val="24"/>
      <w:szCs w:val="24"/>
      <w:lang w:val="en-US"/>
    </w:rPr>
  </w:style>
  <w:style w:type="character" w:customStyle="1" w:styleId="TextoindependienteCar">
    <w:name w:val="Texto independiente Car"/>
    <w:basedOn w:val="Fuentedeprrafopredeter"/>
    <w:link w:val="Textoindependiente"/>
    <w:uiPriority w:val="1"/>
    <w:rsid w:val="008E1253"/>
    <w:rPr>
      <w:rFonts w:ascii="Arial" w:hAnsi="Arial" w:cs="Arial"/>
      <w:kern w:val="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6ALvakDW0RLY3dUWmbKfw9NKA==">CgMxLjA4AHIhMU1EWWhhcVNPMVJRNnVfTWtMSGlzT1BCbmJYVWZqMzFr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0</TotalTime>
  <Pages>6</Pages>
  <Words>1852</Words>
  <Characters>10187</Characters>
  <Application>Microsoft Office Word</Application>
  <DocSecurity>0</DocSecurity>
  <Lines>84</Lines>
  <Paragraphs>24</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2023-05-18T19:59:00Z</dcterms:created>
  <dcterms:modified xsi:type="dcterms:W3CDTF">2024-08-13T01:25:00Z</dcterms:modified>
</cp:coreProperties>
</file>