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272E7A" w14:textId="77777777" w:rsidR="0053359F" w:rsidRDefault="0053359F">
      <w:pPr>
        <w:widowControl w:val="0"/>
        <w:pBdr>
          <w:top w:val="nil"/>
          <w:left w:val="nil"/>
          <w:bottom w:val="nil"/>
          <w:right w:val="nil"/>
          <w:between w:val="nil"/>
        </w:pBdr>
        <w:spacing w:after="0" w:line="240" w:lineRule="auto"/>
        <w:rPr>
          <w:rFonts w:ascii="Arial" w:eastAsia="Arial" w:hAnsi="Arial" w:cs="Arial"/>
          <w:color w:val="FF9900"/>
        </w:rPr>
      </w:pPr>
    </w:p>
    <w:p w14:paraId="00000001" w14:textId="30F2B56F" w:rsidR="009F7819" w:rsidRDefault="0053359F">
      <w:pPr>
        <w:widowControl w:val="0"/>
        <w:pBdr>
          <w:top w:val="nil"/>
          <w:left w:val="nil"/>
          <w:bottom w:val="nil"/>
          <w:right w:val="nil"/>
          <w:between w:val="nil"/>
        </w:pBdr>
        <w:spacing w:after="0" w:line="240" w:lineRule="auto"/>
        <w:rPr>
          <w:rFonts w:ascii="Arial" w:eastAsia="Arial" w:hAnsi="Arial" w:cs="Arial"/>
          <w:color w:val="FF9900"/>
        </w:rPr>
      </w:pPr>
      <w:r>
        <w:rPr>
          <w:rFonts w:ascii="Arial" w:eastAsia="Arial" w:hAnsi="Arial" w:cs="Arial"/>
          <w:color w:val="FF9900"/>
        </w:rPr>
        <w:t>Ciudad, fecha (día, mes y año).</w:t>
      </w:r>
    </w:p>
    <w:p w14:paraId="00000002" w14:textId="77777777" w:rsidR="009F7819" w:rsidRDefault="009F7819">
      <w:pPr>
        <w:widowControl w:val="0"/>
        <w:pBdr>
          <w:top w:val="nil"/>
          <w:left w:val="nil"/>
          <w:bottom w:val="nil"/>
          <w:right w:val="nil"/>
          <w:between w:val="nil"/>
        </w:pBdr>
        <w:spacing w:after="0" w:line="240" w:lineRule="auto"/>
        <w:rPr>
          <w:rFonts w:ascii="Arial" w:eastAsia="Arial" w:hAnsi="Arial" w:cs="Arial"/>
          <w:color w:val="FF9900"/>
        </w:rPr>
      </w:pPr>
    </w:p>
    <w:p w14:paraId="00000003" w14:textId="77777777" w:rsidR="009F7819" w:rsidRDefault="0053359F">
      <w:pPr>
        <w:widowControl w:val="0"/>
        <w:pBdr>
          <w:top w:val="nil"/>
          <w:left w:val="nil"/>
          <w:bottom w:val="nil"/>
          <w:right w:val="nil"/>
          <w:between w:val="nil"/>
        </w:pBdr>
        <w:spacing w:after="0" w:line="240" w:lineRule="auto"/>
        <w:rPr>
          <w:rFonts w:ascii="Arial" w:eastAsia="Arial" w:hAnsi="Arial" w:cs="Arial"/>
          <w:b/>
          <w:color w:val="FF9900"/>
          <w:sz w:val="23"/>
          <w:szCs w:val="23"/>
        </w:rPr>
      </w:pPr>
      <w:r>
        <w:rPr>
          <w:rFonts w:ascii="Arial" w:eastAsia="Arial" w:hAnsi="Arial" w:cs="Arial"/>
          <w:color w:val="FF9900"/>
          <w:sz w:val="23"/>
          <w:szCs w:val="23"/>
        </w:rPr>
        <w:t>Señores</w:t>
      </w:r>
      <w:r>
        <w:rPr>
          <w:rFonts w:ascii="Arial" w:eastAsia="Arial" w:hAnsi="Arial" w:cs="Arial"/>
          <w:color w:val="FF9900"/>
          <w:sz w:val="23"/>
          <w:szCs w:val="23"/>
        </w:rPr>
        <w:br/>
      </w:r>
      <w:r>
        <w:rPr>
          <w:rFonts w:ascii="Arial" w:eastAsia="Arial" w:hAnsi="Arial" w:cs="Arial"/>
          <w:b/>
          <w:color w:val="FF9900"/>
          <w:sz w:val="23"/>
          <w:szCs w:val="23"/>
        </w:rPr>
        <w:t>SECRETARÍA DE MOVILIDAD DE __________________</w:t>
      </w:r>
    </w:p>
    <w:p w14:paraId="00000004" w14:textId="77777777" w:rsidR="009F7819" w:rsidRDefault="0053359F">
      <w:pPr>
        <w:widowControl w:val="0"/>
        <w:pBdr>
          <w:top w:val="nil"/>
          <w:left w:val="nil"/>
          <w:bottom w:val="nil"/>
          <w:right w:val="nil"/>
          <w:between w:val="nil"/>
        </w:pBdr>
        <w:spacing w:after="0" w:line="240" w:lineRule="auto"/>
        <w:rPr>
          <w:rFonts w:ascii="Arial" w:eastAsia="Arial" w:hAnsi="Arial" w:cs="Arial"/>
          <w:b/>
          <w:color w:val="FF9900"/>
          <w:sz w:val="23"/>
          <w:szCs w:val="23"/>
        </w:rPr>
      </w:pPr>
      <w:r>
        <w:rPr>
          <w:rFonts w:ascii="Arial" w:eastAsia="Arial" w:hAnsi="Arial" w:cs="Arial"/>
          <w:b/>
          <w:color w:val="FF9900"/>
          <w:sz w:val="23"/>
          <w:szCs w:val="23"/>
        </w:rPr>
        <w:t>Dirección y Ciudad</w:t>
      </w:r>
    </w:p>
    <w:p w14:paraId="00000005" w14:textId="77777777" w:rsidR="009F7819" w:rsidRDefault="0053359F">
      <w:pPr>
        <w:widowControl w:val="0"/>
        <w:pBdr>
          <w:top w:val="nil"/>
          <w:left w:val="nil"/>
          <w:bottom w:val="nil"/>
          <w:right w:val="nil"/>
          <w:between w:val="nil"/>
        </w:pBdr>
        <w:spacing w:after="0" w:line="240" w:lineRule="auto"/>
        <w:rPr>
          <w:rFonts w:ascii="Arial" w:eastAsia="Arial" w:hAnsi="Arial" w:cs="Arial"/>
          <w:b/>
          <w:color w:val="FF9900"/>
          <w:sz w:val="23"/>
          <w:szCs w:val="23"/>
        </w:rPr>
      </w:pPr>
      <w:r>
        <w:rPr>
          <w:rFonts w:ascii="Arial" w:eastAsia="Arial" w:hAnsi="Arial" w:cs="Arial"/>
          <w:b/>
          <w:color w:val="FF9900"/>
          <w:sz w:val="23"/>
          <w:szCs w:val="23"/>
        </w:rPr>
        <w:t>Teléfono</w:t>
      </w:r>
    </w:p>
    <w:p w14:paraId="00000006" w14:textId="77777777" w:rsidR="009F7819" w:rsidRDefault="0053359F">
      <w:pPr>
        <w:widowControl w:val="0"/>
        <w:pBdr>
          <w:top w:val="nil"/>
          <w:left w:val="nil"/>
          <w:bottom w:val="nil"/>
          <w:right w:val="nil"/>
          <w:between w:val="nil"/>
        </w:pBdr>
        <w:spacing w:after="0" w:line="240" w:lineRule="auto"/>
        <w:rPr>
          <w:rFonts w:ascii="Arial" w:eastAsia="Arial" w:hAnsi="Arial" w:cs="Arial"/>
          <w:b/>
          <w:color w:val="FF9900"/>
          <w:sz w:val="23"/>
          <w:szCs w:val="23"/>
        </w:rPr>
      </w:pPr>
      <w:r>
        <w:rPr>
          <w:rFonts w:ascii="Arial" w:eastAsia="Arial" w:hAnsi="Arial" w:cs="Arial"/>
          <w:b/>
          <w:color w:val="FF9900"/>
          <w:sz w:val="23"/>
          <w:szCs w:val="23"/>
        </w:rPr>
        <w:t>Correo electrónico</w:t>
      </w:r>
    </w:p>
    <w:p w14:paraId="00000007" w14:textId="77777777" w:rsidR="009F7819" w:rsidRDefault="0053359F">
      <w:pPr>
        <w:widowControl w:val="0"/>
        <w:pBdr>
          <w:top w:val="nil"/>
          <w:left w:val="nil"/>
          <w:bottom w:val="nil"/>
          <w:right w:val="nil"/>
          <w:between w:val="nil"/>
        </w:pBdr>
        <w:spacing w:after="0" w:line="240" w:lineRule="auto"/>
        <w:rPr>
          <w:rFonts w:ascii="Arial" w:eastAsia="Arial" w:hAnsi="Arial" w:cs="Arial"/>
          <w:color w:val="FF9900"/>
        </w:rPr>
      </w:pPr>
      <w:r>
        <w:rPr>
          <w:rFonts w:ascii="Arial" w:eastAsia="Arial" w:hAnsi="Arial" w:cs="Arial"/>
          <w:color w:val="FF9900"/>
        </w:rPr>
        <w:t>E.S.D.</w:t>
      </w:r>
    </w:p>
    <w:p w14:paraId="00000008" w14:textId="77777777" w:rsidR="009F7819" w:rsidRDefault="009F7819">
      <w:pPr>
        <w:shd w:val="clear" w:color="auto" w:fill="FFFFFF"/>
        <w:spacing w:after="280" w:line="240" w:lineRule="auto"/>
        <w:jc w:val="both"/>
        <w:rPr>
          <w:rFonts w:ascii="Roboto" w:eastAsia="Roboto" w:hAnsi="Roboto" w:cs="Roboto"/>
          <w:color w:val="0E0E0E"/>
          <w:sz w:val="24"/>
          <w:szCs w:val="24"/>
        </w:rPr>
      </w:pPr>
    </w:p>
    <w:p w14:paraId="00000009" w14:textId="77777777" w:rsidR="009F7819" w:rsidRDefault="0053359F">
      <w:pPr>
        <w:shd w:val="clear" w:color="auto" w:fill="FFFFFF"/>
        <w:spacing w:after="280" w:line="240" w:lineRule="auto"/>
        <w:jc w:val="center"/>
        <w:rPr>
          <w:rFonts w:ascii="Roboto" w:eastAsia="Roboto" w:hAnsi="Roboto" w:cs="Roboto"/>
          <w:color w:val="0E0E0E"/>
          <w:sz w:val="24"/>
          <w:szCs w:val="24"/>
        </w:rPr>
      </w:pPr>
      <w:r>
        <w:rPr>
          <w:rFonts w:ascii="Roboto" w:eastAsia="Roboto" w:hAnsi="Roboto" w:cs="Roboto"/>
          <w:color w:val="0E0E0E"/>
          <w:sz w:val="24"/>
          <w:szCs w:val="24"/>
        </w:rPr>
        <w:t>ASUNTO: Derecho de Petición fiel copia, integra y digital del procedimiento contravencional dentro de la orden de comparendo de referencia, por presentarse indebida notificación o por no ser notificado.</w:t>
      </w:r>
    </w:p>
    <w:p w14:paraId="0000000A"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Respetados señores:</w:t>
      </w:r>
    </w:p>
    <w:p w14:paraId="0000000B"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FF9900"/>
          <w:sz w:val="24"/>
          <w:szCs w:val="24"/>
        </w:rPr>
        <w:t xml:space="preserve">(Nombre completo del propietario </w:t>
      </w:r>
      <w:r>
        <w:rPr>
          <w:rFonts w:ascii="Roboto" w:eastAsia="Roboto" w:hAnsi="Roboto" w:cs="Roboto"/>
          <w:color w:val="FF9900"/>
          <w:sz w:val="24"/>
          <w:szCs w:val="24"/>
        </w:rPr>
        <w:t>que aparece en la licencia de tránsito)</w:t>
      </w:r>
      <w:r>
        <w:rPr>
          <w:rFonts w:ascii="Roboto" w:eastAsia="Roboto" w:hAnsi="Roboto" w:cs="Roboto"/>
          <w:color w:val="FF0000"/>
          <w:sz w:val="24"/>
          <w:szCs w:val="24"/>
        </w:rPr>
        <w:t> </w:t>
      </w:r>
      <w:r>
        <w:rPr>
          <w:rFonts w:ascii="Roboto" w:eastAsia="Roboto" w:hAnsi="Roboto" w:cs="Roboto"/>
          <w:color w:val="0E0E0E"/>
          <w:sz w:val="24"/>
          <w:szCs w:val="24"/>
        </w:rPr>
        <w:t>identificado</w:t>
      </w:r>
      <w:r>
        <w:rPr>
          <w:rFonts w:ascii="Roboto" w:eastAsia="Roboto" w:hAnsi="Roboto" w:cs="Roboto"/>
          <w:color w:val="FF9900"/>
          <w:sz w:val="24"/>
          <w:szCs w:val="24"/>
        </w:rPr>
        <w:t>(a)</w:t>
      </w:r>
      <w:r>
        <w:rPr>
          <w:rFonts w:ascii="Roboto" w:eastAsia="Roboto" w:hAnsi="Roboto" w:cs="Roboto"/>
          <w:color w:val="0E0E0E"/>
          <w:sz w:val="24"/>
          <w:szCs w:val="24"/>
        </w:rPr>
        <w:t xml:space="preserve"> con cédula de </w:t>
      </w:r>
      <w:r>
        <w:rPr>
          <w:rFonts w:ascii="Roboto" w:eastAsia="Roboto" w:hAnsi="Roboto" w:cs="Roboto"/>
          <w:color w:val="FF9900"/>
          <w:sz w:val="24"/>
          <w:szCs w:val="24"/>
        </w:rPr>
        <w:t>__________</w:t>
      </w:r>
      <w:r>
        <w:rPr>
          <w:rFonts w:ascii="Roboto" w:eastAsia="Roboto" w:hAnsi="Roboto" w:cs="Roboto"/>
          <w:color w:val="FF0000"/>
          <w:sz w:val="24"/>
          <w:szCs w:val="24"/>
        </w:rPr>
        <w:t xml:space="preserve"> </w:t>
      </w:r>
      <w:r>
        <w:rPr>
          <w:rFonts w:ascii="Roboto" w:eastAsia="Roboto" w:hAnsi="Roboto" w:cs="Roboto"/>
          <w:color w:val="FF9900"/>
          <w:sz w:val="24"/>
          <w:szCs w:val="24"/>
        </w:rPr>
        <w:t>#  __________________</w:t>
      </w:r>
      <w:r>
        <w:rPr>
          <w:rFonts w:ascii="Roboto" w:eastAsia="Roboto" w:hAnsi="Roboto" w:cs="Roboto"/>
          <w:color w:val="FF0000"/>
          <w:sz w:val="24"/>
          <w:szCs w:val="24"/>
        </w:rPr>
        <w:t xml:space="preserve">, </w:t>
      </w:r>
      <w:r>
        <w:rPr>
          <w:rFonts w:ascii="Roboto" w:eastAsia="Roboto" w:hAnsi="Roboto" w:cs="Roboto"/>
          <w:color w:val="0E0E0E"/>
          <w:sz w:val="24"/>
          <w:szCs w:val="24"/>
        </w:rPr>
        <w:t xml:space="preserve">en ejercicio del derecho de petición consagrado en el artículo 23 de la Constitución Política de Colombia y con el lleno de los requisitos del artículo 5, 15 y 16 del Código de lo Contencioso Administrativo ley 1437 de 2011 modificado por el artículo 1 de </w:t>
      </w:r>
      <w:r>
        <w:rPr>
          <w:rFonts w:ascii="Roboto" w:eastAsia="Roboto" w:hAnsi="Roboto" w:cs="Roboto"/>
          <w:color w:val="0E0E0E"/>
          <w:sz w:val="24"/>
          <w:szCs w:val="24"/>
        </w:rPr>
        <w:t>la ley 1755 de 2015 del Código de lo Contencioso Administrativo Ley 1437 de 2011.</w:t>
      </w:r>
    </w:p>
    <w:p w14:paraId="0000000C" w14:textId="77777777" w:rsidR="009F7819" w:rsidRDefault="009F7819">
      <w:pPr>
        <w:shd w:val="clear" w:color="auto" w:fill="FFFFFF"/>
        <w:spacing w:after="280" w:line="240" w:lineRule="auto"/>
        <w:jc w:val="both"/>
        <w:rPr>
          <w:rFonts w:ascii="Roboto" w:eastAsia="Roboto" w:hAnsi="Roboto" w:cs="Roboto"/>
          <w:color w:val="0E0E0E"/>
          <w:sz w:val="24"/>
          <w:szCs w:val="24"/>
        </w:rPr>
      </w:pPr>
    </w:p>
    <w:p w14:paraId="0000000D" w14:textId="77777777" w:rsidR="009F7819" w:rsidRDefault="0053359F">
      <w:pPr>
        <w:shd w:val="clear" w:color="auto" w:fill="FFFFFF"/>
        <w:spacing w:after="280" w:line="240" w:lineRule="auto"/>
        <w:jc w:val="center"/>
        <w:rPr>
          <w:rFonts w:ascii="Roboto" w:eastAsia="Roboto" w:hAnsi="Roboto" w:cs="Roboto"/>
          <w:b/>
          <w:color w:val="0E0E0E"/>
          <w:sz w:val="24"/>
          <w:szCs w:val="24"/>
        </w:rPr>
      </w:pPr>
      <w:r>
        <w:rPr>
          <w:rFonts w:ascii="Roboto" w:eastAsia="Roboto" w:hAnsi="Roboto" w:cs="Roboto"/>
          <w:b/>
          <w:color w:val="0E0E0E"/>
          <w:sz w:val="24"/>
          <w:szCs w:val="24"/>
        </w:rPr>
        <w:t>HECHOS</w:t>
      </w:r>
    </w:p>
    <w:p w14:paraId="0000000E"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 xml:space="preserve">1. Presento con el siguiente número y la fecha de </w:t>
      </w:r>
      <w:r>
        <w:rPr>
          <w:rFonts w:ascii="Roboto" w:eastAsia="Roboto" w:hAnsi="Roboto" w:cs="Roboto"/>
          <w:color w:val="FF9900"/>
          <w:sz w:val="24"/>
          <w:szCs w:val="24"/>
        </w:rPr>
        <w:t xml:space="preserve">la(s) orden(es) </w:t>
      </w:r>
      <w:r>
        <w:rPr>
          <w:rFonts w:ascii="Roboto" w:eastAsia="Roboto" w:hAnsi="Roboto" w:cs="Roboto"/>
          <w:color w:val="0E0E0E"/>
          <w:sz w:val="24"/>
          <w:szCs w:val="24"/>
        </w:rPr>
        <w:t xml:space="preserve">de comparendo emitido: </w:t>
      </w:r>
      <w:r>
        <w:rPr>
          <w:rFonts w:ascii="Roboto" w:eastAsia="Roboto" w:hAnsi="Roboto" w:cs="Roboto"/>
          <w:color w:val="FF9900"/>
          <w:sz w:val="24"/>
          <w:szCs w:val="24"/>
        </w:rPr>
        <w:t>(ESCRIBIR EL O LOS NUMEROS DE COMPARENDO Y FECHAQUE LE HICIERON EL O LOS COMP</w:t>
      </w:r>
      <w:r>
        <w:rPr>
          <w:rFonts w:ascii="Roboto" w:eastAsia="Roboto" w:hAnsi="Roboto" w:cs="Roboto"/>
          <w:color w:val="FF9900"/>
          <w:sz w:val="24"/>
          <w:szCs w:val="24"/>
        </w:rPr>
        <w:t>ARENDOS)</w:t>
      </w:r>
      <w:r>
        <w:rPr>
          <w:rFonts w:ascii="Roboto" w:eastAsia="Roboto" w:hAnsi="Roboto" w:cs="Roboto"/>
          <w:color w:val="0E0E0E"/>
          <w:sz w:val="24"/>
          <w:szCs w:val="24"/>
        </w:rPr>
        <w:t>, ellos relacionado</w:t>
      </w:r>
      <w:r>
        <w:rPr>
          <w:rFonts w:ascii="Roboto" w:eastAsia="Roboto" w:hAnsi="Roboto" w:cs="Roboto"/>
          <w:color w:val="FF9900"/>
          <w:sz w:val="24"/>
          <w:szCs w:val="24"/>
        </w:rPr>
        <w:t>(s)</w:t>
      </w:r>
      <w:r>
        <w:rPr>
          <w:rFonts w:ascii="Roboto" w:eastAsia="Roboto" w:hAnsi="Roboto" w:cs="Roboto"/>
          <w:color w:val="0E0E0E"/>
          <w:sz w:val="24"/>
          <w:szCs w:val="24"/>
        </w:rPr>
        <w:t xml:space="preserve"> con mi número de cédula de ciudadanía.</w:t>
      </w:r>
    </w:p>
    <w:p w14:paraId="0000000F"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2. Hasta la fecha de esta solicitud, nunca fui notificado de la orden de comparendo en mi mano o personalmente como lo ordena la sentencia C-980 del 2010, razón por la cual se hace neces</w:t>
      </w:r>
      <w:r>
        <w:rPr>
          <w:rFonts w:ascii="Roboto" w:eastAsia="Roboto" w:hAnsi="Roboto" w:cs="Roboto"/>
          <w:color w:val="0E0E0E"/>
          <w:sz w:val="24"/>
          <w:szCs w:val="24"/>
        </w:rPr>
        <w:t xml:space="preserve">ario tener pleno conocimiento de cuál fue la sanción en mi contra y los motivos que llevaron a su decisión. </w:t>
      </w:r>
    </w:p>
    <w:p w14:paraId="00000010" w14:textId="77777777" w:rsidR="009F7819" w:rsidRDefault="009F7819">
      <w:pPr>
        <w:shd w:val="clear" w:color="auto" w:fill="FFFFFF"/>
        <w:spacing w:after="280" w:line="240" w:lineRule="auto"/>
        <w:jc w:val="both"/>
        <w:rPr>
          <w:rFonts w:ascii="Roboto" w:eastAsia="Roboto" w:hAnsi="Roboto" w:cs="Roboto"/>
          <w:color w:val="0E0E0E"/>
          <w:sz w:val="24"/>
          <w:szCs w:val="24"/>
        </w:rPr>
      </w:pPr>
    </w:p>
    <w:p w14:paraId="00000011" w14:textId="77777777" w:rsidR="009F7819" w:rsidRDefault="0053359F">
      <w:pPr>
        <w:shd w:val="clear" w:color="auto" w:fill="FFFFFF"/>
        <w:spacing w:after="280" w:line="240" w:lineRule="auto"/>
        <w:jc w:val="center"/>
        <w:rPr>
          <w:rFonts w:ascii="Roboto" w:eastAsia="Roboto" w:hAnsi="Roboto" w:cs="Roboto"/>
          <w:b/>
          <w:color w:val="0E0E0E"/>
          <w:sz w:val="24"/>
          <w:szCs w:val="24"/>
        </w:rPr>
      </w:pPr>
      <w:r>
        <w:rPr>
          <w:rFonts w:ascii="Roboto" w:eastAsia="Roboto" w:hAnsi="Roboto" w:cs="Roboto"/>
          <w:b/>
          <w:color w:val="0E0E0E"/>
          <w:sz w:val="24"/>
          <w:szCs w:val="24"/>
        </w:rPr>
        <w:t>RAZONES QUE SUSTENTAN ESTA PETICIÓN</w:t>
      </w:r>
    </w:p>
    <w:p w14:paraId="00000012"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Hay organismos de tránsito que exponen haber notificado por aviso, más la ley 1437 de 2011 en su artículo 69 e</w:t>
      </w:r>
      <w:r>
        <w:rPr>
          <w:rFonts w:ascii="Roboto" w:eastAsia="Roboto" w:hAnsi="Roboto" w:cs="Roboto"/>
          <w:color w:val="0E0E0E"/>
          <w:sz w:val="24"/>
          <w:szCs w:val="24"/>
        </w:rPr>
        <w:t xml:space="preserve">stablece que dicho tipo de notificación debe estar acompañada de una copia íntegra del Acto administrativo y de los recursos que legalmente proceden y en ninguno de los casos, dichos organismos de tránsito </w:t>
      </w:r>
      <w:r>
        <w:rPr>
          <w:rFonts w:ascii="Roboto" w:eastAsia="Roboto" w:hAnsi="Roboto" w:cs="Roboto"/>
          <w:color w:val="0E0E0E"/>
          <w:sz w:val="24"/>
          <w:szCs w:val="24"/>
        </w:rPr>
        <w:lastRenderedPageBreak/>
        <w:t xml:space="preserve">adjuntan copia del Acto administrativo ni tampoco </w:t>
      </w:r>
      <w:r>
        <w:rPr>
          <w:rFonts w:ascii="Roboto" w:eastAsia="Roboto" w:hAnsi="Roboto" w:cs="Roboto"/>
          <w:color w:val="0E0E0E"/>
          <w:sz w:val="24"/>
          <w:szCs w:val="24"/>
        </w:rPr>
        <w:t>indican los recursos que legalmente le proceden.</w:t>
      </w:r>
    </w:p>
    <w:p w14:paraId="00000013"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b/>
          <w:color w:val="0E0E0E"/>
          <w:sz w:val="24"/>
          <w:szCs w:val="24"/>
        </w:rPr>
        <w:t>Artículo 69.</w:t>
      </w:r>
      <w:sdt>
        <w:sdtPr>
          <w:tag w:val="goog_rdk_0"/>
          <w:id w:val="1484578511"/>
        </w:sdtPr>
        <w:sdtEndPr/>
        <w:sdtContent>
          <w:r>
            <w:rPr>
              <w:rFonts w:ascii="Arial" w:eastAsia="Arial" w:hAnsi="Arial" w:cs="Arial"/>
              <w:color w:val="0E0E0E"/>
              <w:sz w:val="24"/>
              <w:szCs w:val="24"/>
            </w:rPr>
            <w:t xml:space="preserve"> Notificación por aviso. Si no pudiere hacerse la notificación personal al cabo de los cinco (5) días del envío de la citación, esta se hará por medio de aviso que se remitirá́ a la dirección, al</w:t>
          </w:r>
          <w:r>
            <w:rPr>
              <w:rFonts w:ascii="Arial" w:eastAsia="Arial" w:hAnsi="Arial" w:cs="Arial"/>
              <w:color w:val="0E0E0E"/>
              <w:sz w:val="24"/>
              <w:szCs w:val="24"/>
            </w:rPr>
            <w:t xml:space="preserve"> número de fax o al correo electrónico que figuren en el expediente o puedan obtenerse del registro mercantil, acompañado de copia íntegra del acto administrativo. El aviso deberá indicar la fecha y la del acto que se notifica, la autoridad que lo expidió,</w:t>
          </w:r>
          <w:r>
            <w:rPr>
              <w:rFonts w:ascii="Arial" w:eastAsia="Arial" w:hAnsi="Arial" w:cs="Arial"/>
              <w:color w:val="0E0E0E"/>
              <w:sz w:val="24"/>
              <w:szCs w:val="24"/>
            </w:rPr>
            <w:t xml:space="preserve"> los recursos que legalmente proceden, las autoridades ante quienes deben interponerse, los plazos respectivos y la advertencia de que la notificación se considerará surtida al finalizar el día siguiente al de la entrega del aviso en el lugar de destino.</w:t>
          </w:r>
        </w:sdtContent>
      </w:sdt>
    </w:p>
    <w:p w14:paraId="00000014"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1"/>
          <w:id w:val="237375129"/>
        </w:sdtPr>
        <w:sdtEndPr/>
        <w:sdtContent>
          <w:r>
            <w:rPr>
              <w:rFonts w:ascii="Arial" w:eastAsia="Arial" w:hAnsi="Arial" w:cs="Arial"/>
              <w:color w:val="0E0E0E"/>
              <w:sz w:val="24"/>
              <w:szCs w:val="24"/>
            </w:rPr>
            <w:t>Cuando se desconozca la información sobre el destinatario, el aviso, con copia íntegra del Acto administrativo, se publicará en la página electrónica y en todo caso en un lugar de acceso al público de la respectiva entidad por el término de cinco (5) días</w:t>
          </w:r>
          <w:r>
            <w:rPr>
              <w:rFonts w:ascii="Arial" w:eastAsia="Arial" w:hAnsi="Arial" w:cs="Arial"/>
              <w:color w:val="0E0E0E"/>
              <w:sz w:val="24"/>
              <w:szCs w:val="24"/>
            </w:rPr>
            <w:t>, con la advertencia de que la notificación se considerará surtida al finalizar el día siguiente al retiro del aviso.</w:t>
          </w:r>
        </w:sdtContent>
      </w:sdt>
    </w:p>
    <w:p w14:paraId="00000015"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2"/>
          <w:id w:val="1336963484"/>
        </w:sdtPr>
        <w:sdtEndPr/>
        <w:sdtContent>
          <w:r>
            <w:rPr>
              <w:rFonts w:ascii="Arial" w:eastAsia="Arial" w:hAnsi="Arial" w:cs="Arial"/>
              <w:color w:val="0E0E0E"/>
              <w:sz w:val="24"/>
              <w:szCs w:val="24"/>
            </w:rPr>
            <w:t>En el expediente se dejará constancia de la remisión o publicación del aviso y de la fecha en que por este medio quedará surtida la n</w:t>
          </w:r>
          <w:r>
            <w:rPr>
              <w:rFonts w:ascii="Arial" w:eastAsia="Arial" w:hAnsi="Arial" w:cs="Arial"/>
              <w:color w:val="0E0E0E"/>
              <w:sz w:val="24"/>
              <w:szCs w:val="24"/>
            </w:rPr>
            <w:t>otificación personal.</w:t>
          </w:r>
        </w:sdtContent>
      </w:sdt>
    </w:p>
    <w:p w14:paraId="00000016"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En ese mismo artículo también se deja muy claro que el aviso debe ENVIARSE a la dirección que aparece en el registro (en este caso a la dirección registrada en el RUNT) y para mi caso no existe prueba de que dicho aviso lo hayan env</w:t>
      </w:r>
      <w:r>
        <w:rPr>
          <w:rFonts w:ascii="Roboto" w:eastAsia="Roboto" w:hAnsi="Roboto" w:cs="Roboto"/>
          <w:color w:val="0E0E0E"/>
          <w:sz w:val="24"/>
          <w:szCs w:val="24"/>
        </w:rPr>
        <w:t>iado. Porque si bien existe la posibilidad de publicar dicho aviso en un lugar de acceso público o en su sitio web, esto solo procede cuando se desconozca la dirección del destinatario cosa que no sucede en mi caso y por tanto el aviso no debieron publicar</w:t>
      </w:r>
      <w:r>
        <w:rPr>
          <w:rFonts w:ascii="Roboto" w:eastAsia="Roboto" w:hAnsi="Roboto" w:cs="Roboto"/>
          <w:color w:val="0E0E0E"/>
          <w:sz w:val="24"/>
          <w:szCs w:val="24"/>
        </w:rPr>
        <w:t>lo sino enviarlo.</w:t>
      </w:r>
    </w:p>
    <w:p w14:paraId="00000017"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 xml:space="preserve">Ahora el artículo 72 ibidem que si la notificación no cumple con dichos requisitos no tendrá efectos jurídicos y por tanto se tendrá como no hecha. Y </w:t>
      </w:r>
      <w:r>
        <w:rPr>
          <w:rFonts w:ascii="Roboto" w:eastAsia="Roboto" w:hAnsi="Roboto" w:cs="Roboto"/>
          <w:color w:val="0E0E0E"/>
          <w:sz w:val="24"/>
          <w:szCs w:val="24"/>
          <w:u w:val="single"/>
        </w:rPr>
        <w:t>sin notificación no puede haber lugar a sanción</w:t>
      </w:r>
      <w:r>
        <w:rPr>
          <w:rFonts w:ascii="Roboto" w:eastAsia="Roboto" w:hAnsi="Roboto" w:cs="Roboto"/>
          <w:color w:val="0E0E0E"/>
          <w:sz w:val="24"/>
          <w:szCs w:val="24"/>
        </w:rPr>
        <w:t>.</w:t>
      </w:r>
    </w:p>
    <w:p w14:paraId="00000018"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b/>
          <w:color w:val="0E0E0E"/>
          <w:sz w:val="24"/>
          <w:szCs w:val="24"/>
        </w:rPr>
        <w:t>Artículo 72.</w:t>
      </w:r>
      <w:r>
        <w:rPr>
          <w:rFonts w:ascii="Roboto" w:eastAsia="Roboto" w:hAnsi="Roboto" w:cs="Roboto"/>
          <w:color w:val="0E0E0E"/>
          <w:sz w:val="24"/>
          <w:szCs w:val="24"/>
        </w:rPr>
        <w:t xml:space="preserve"> Falta o irregularidad de las notificaciones y notificación por conducta concluyente. Sin el lleno de los anteriores requisitos no se tendrá por hecha la notificación, ni producirá efectos legales la decisión, a menos que la parte interesada revele que con</w:t>
      </w:r>
      <w:r>
        <w:rPr>
          <w:rFonts w:ascii="Roboto" w:eastAsia="Roboto" w:hAnsi="Roboto" w:cs="Roboto"/>
          <w:color w:val="0E0E0E"/>
          <w:sz w:val="24"/>
          <w:szCs w:val="24"/>
        </w:rPr>
        <w:t>oce el acto, consienta la decisión o interponga los recursos legales.</w:t>
      </w:r>
    </w:p>
    <w:p w14:paraId="00000019"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Así mismo en el artículo 10 de la resolución 3095 del año 2011 de la Comisión de Regulación de Comunicaciones, establece lo siguiente en cuanto a los intentos de entrega:</w:t>
      </w:r>
    </w:p>
    <w:p w14:paraId="0000001A"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b/>
          <w:color w:val="0E0E0E"/>
          <w:sz w:val="24"/>
          <w:szCs w:val="24"/>
        </w:rPr>
        <w:t>ARTICULO 10. IN</w:t>
      </w:r>
      <w:r>
        <w:rPr>
          <w:rFonts w:ascii="Roboto" w:eastAsia="Roboto" w:hAnsi="Roboto" w:cs="Roboto"/>
          <w:b/>
          <w:color w:val="0E0E0E"/>
          <w:sz w:val="24"/>
          <w:szCs w:val="24"/>
        </w:rPr>
        <w:t>TENTOS DE ENTREGA</w:t>
      </w:r>
      <w:sdt>
        <w:sdtPr>
          <w:tag w:val="goog_rdk_3"/>
          <w:id w:val="-827358376"/>
        </w:sdtPr>
        <w:sdtEndPr/>
        <w:sdtContent>
          <w:r>
            <w:rPr>
              <w:rFonts w:ascii="Arial" w:eastAsia="Arial" w:hAnsi="Arial" w:cs="Arial"/>
              <w:color w:val="0E0E0E"/>
              <w:sz w:val="24"/>
              <w:szCs w:val="24"/>
            </w:rPr>
            <w:t xml:space="preserve">: En el evento en que el operador del Servicio de Mensajería Expresa proceda a efectuar la entrega del objeto postal en </w:t>
          </w:r>
          <w:r>
            <w:rPr>
              <w:rFonts w:ascii="Arial" w:eastAsia="Arial" w:hAnsi="Arial" w:cs="Arial"/>
              <w:color w:val="0E0E0E"/>
              <w:sz w:val="24"/>
              <w:szCs w:val="24"/>
            </w:rPr>
            <w:lastRenderedPageBreak/>
            <w:t>el domicilio del usuario destinatario consignado en la guía y este no encuentra a nadie, deberá́ expedir un documento p</w:t>
          </w:r>
          <w:r>
            <w:rPr>
              <w:rFonts w:ascii="Arial" w:eastAsia="Arial" w:hAnsi="Arial" w:cs="Arial"/>
              <w:color w:val="0E0E0E"/>
              <w:sz w:val="24"/>
              <w:szCs w:val="24"/>
            </w:rPr>
            <w:t>or medios físicos o electrónicos, en el que informe que tuvo lugar un intento de entrega de dicho objeto.</w:t>
          </w:r>
        </w:sdtContent>
      </w:sdt>
    </w:p>
    <w:p w14:paraId="0000001B"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Dicho documento deberá contener, por lo menos, la siguiente información:</w:t>
      </w:r>
    </w:p>
    <w:p w14:paraId="0000001C" w14:textId="77777777" w:rsidR="009F7819" w:rsidRDefault="0053359F">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Nombre del operador postal que está a cargo de la prestación del servici</w:t>
      </w:r>
      <w:r>
        <w:rPr>
          <w:rFonts w:ascii="Arial" w:eastAsia="Arial" w:hAnsi="Arial" w:cs="Arial"/>
          <w:color w:val="000000"/>
          <w:sz w:val="24"/>
          <w:szCs w:val="24"/>
        </w:rPr>
        <w:t>o.</w:t>
      </w:r>
    </w:p>
    <w:p w14:paraId="0000001D" w14:textId="77777777" w:rsidR="009F7819" w:rsidRDefault="0053359F">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Nombre del usuario remitente.</w:t>
      </w:r>
      <w:r>
        <w:rPr>
          <w:rFonts w:ascii="Arial" w:eastAsia="Arial" w:hAnsi="Arial" w:cs="Arial"/>
          <w:color w:val="000000"/>
          <w:sz w:val="24"/>
          <w:szCs w:val="24"/>
        </w:rPr>
        <w:br/>
        <w:t>* Número de la guía.</w:t>
      </w:r>
      <w:r>
        <w:rPr>
          <w:rFonts w:ascii="Arial" w:eastAsia="Arial" w:hAnsi="Arial" w:cs="Arial"/>
          <w:color w:val="000000"/>
          <w:sz w:val="24"/>
          <w:szCs w:val="24"/>
        </w:rPr>
        <w:br/>
        <w:t>* Fecha y hora del intento de entrega.</w:t>
      </w:r>
    </w:p>
    <w:p w14:paraId="0000001E" w14:textId="77777777" w:rsidR="009F7819" w:rsidRDefault="0053359F">
      <w:pPr>
        <w:pBdr>
          <w:top w:val="nil"/>
          <w:left w:val="nil"/>
          <w:bottom w:val="nil"/>
          <w:right w:val="nil"/>
          <w:between w:val="nil"/>
        </w:pBdr>
        <w:spacing w:after="0" w:line="240" w:lineRule="auto"/>
        <w:rPr>
          <w:rFonts w:ascii="Arial" w:eastAsia="Arial" w:hAnsi="Arial" w:cs="Arial"/>
          <w:color w:val="000000"/>
          <w:sz w:val="24"/>
          <w:szCs w:val="24"/>
        </w:rPr>
      </w:pPr>
      <w:r>
        <w:rPr>
          <w:rFonts w:ascii="Arial" w:eastAsia="Arial" w:hAnsi="Arial" w:cs="Arial"/>
          <w:color w:val="000000"/>
          <w:sz w:val="24"/>
          <w:szCs w:val="24"/>
        </w:rPr>
        <w:t>* Fecha y hora del próximo intento de entrega (de ser posible).</w:t>
      </w:r>
      <w:r>
        <w:rPr>
          <w:rFonts w:ascii="Arial" w:eastAsia="Arial" w:hAnsi="Arial" w:cs="Arial"/>
          <w:color w:val="000000"/>
          <w:sz w:val="24"/>
          <w:szCs w:val="24"/>
        </w:rPr>
        <w:br/>
        <w:t>* Dirección, número de teléfono y horario de atención de la oficina donde se encuentra a disposic</w:t>
      </w:r>
      <w:r>
        <w:rPr>
          <w:rFonts w:ascii="Arial" w:eastAsia="Arial" w:hAnsi="Arial" w:cs="Arial"/>
          <w:color w:val="000000"/>
          <w:sz w:val="24"/>
          <w:szCs w:val="24"/>
        </w:rPr>
        <w:t>ión del usuario destinatario el objeto postal.</w:t>
      </w:r>
      <w:r>
        <w:rPr>
          <w:rFonts w:ascii="Arial" w:eastAsia="Arial" w:hAnsi="Arial" w:cs="Arial"/>
          <w:color w:val="000000"/>
          <w:sz w:val="24"/>
          <w:szCs w:val="24"/>
        </w:rPr>
        <w:br/>
        <w:t>* Fecha hasta la cual se conservará el objeto postal en la oficina indicada.</w:t>
      </w:r>
    </w:p>
    <w:p w14:paraId="0000001F" w14:textId="77777777" w:rsidR="009F7819" w:rsidRDefault="009F7819">
      <w:pPr>
        <w:pBdr>
          <w:top w:val="nil"/>
          <w:left w:val="nil"/>
          <w:bottom w:val="nil"/>
          <w:right w:val="nil"/>
          <w:between w:val="nil"/>
        </w:pBdr>
        <w:spacing w:after="0" w:line="240" w:lineRule="auto"/>
        <w:rPr>
          <w:color w:val="000000"/>
        </w:rPr>
      </w:pPr>
    </w:p>
    <w:p w14:paraId="00000020"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El documento al que se refiere el presente artículo relativo a los intentos de entrega de los objetos postales no tendrá que exped</w:t>
      </w:r>
      <w:r>
        <w:rPr>
          <w:rFonts w:ascii="Roboto" w:eastAsia="Roboto" w:hAnsi="Roboto" w:cs="Roboto"/>
          <w:color w:val="0E0E0E"/>
          <w:sz w:val="24"/>
          <w:szCs w:val="24"/>
        </w:rPr>
        <w:t>irse y diligenciarse en los eventos en que al primer intento se configure alguno de los motivos de devolución establecidos en los numerales 9.1, 9.2, 9.3 o 9.5 del Artículo 9 de la presente Resolución.</w:t>
      </w:r>
    </w:p>
    <w:p w14:paraId="00000021"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4"/>
          <w:id w:val="686185139"/>
        </w:sdtPr>
        <w:sdtEndPr/>
        <w:sdtContent>
          <w:r>
            <w:rPr>
              <w:rFonts w:ascii="Arial" w:eastAsia="Arial" w:hAnsi="Arial" w:cs="Arial"/>
              <w:color w:val="0E0E0E"/>
              <w:sz w:val="24"/>
              <w:szCs w:val="24"/>
            </w:rPr>
            <w:t>Los operadores de servicios postales de Mensajería Exp</w:t>
          </w:r>
          <w:r>
            <w:rPr>
              <w:rFonts w:ascii="Arial" w:eastAsia="Arial" w:hAnsi="Arial" w:cs="Arial"/>
              <w:color w:val="0E0E0E"/>
              <w:sz w:val="24"/>
              <w:szCs w:val="24"/>
            </w:rPr>
            <w:t>resa deben efectuar al menos dos (2) intentos de entrega, entre los cuales no debe transcurrir un tiempo superior a un (1) día hábil. Si después de dos (2) intentos no se logra llevar a cabo la entrega del objeto postal, se debe dejar un segundo aviso info</w:t>
          </w:r>
          <w:r>
            <w:rPr>
              <w:rFonts w:ascii="Arial" w:eastAsia="Arial" w:hAnsi="Arial" w:cs="Arial"/>
              <w:color w:val="0E0E0E"/>
              <w:sz w:val="24"/>
              <w:szCs w:val="24"/>
            </w:rPr>
            <w:t>rmando al usuario destinatario que puede recoger el objeto en una determinada oficina de atención al usuario, indicando además la fecha límite de retiro, la cual será́ de treinta (30) días calendario, a partir de la fecha del último intento de entrega.</w:t>
          </w:r>
        </w:sdtContent>
      </w:sdt>
    </w:p>
    <w:p w14:paraId="00000022"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5"/>
          <w:id w:val="-420796601"/>
        </w:sdtPr>
        <w:sdtEndPr/>
        <w:sdtContent>
          <w:r>
            <w:rPr>
              <w:rFonts w:ascii="Arial" w:eastAsia="Arial" w:hAnsi="Arial" w:cs="Arial"/>
              <w:color w:val="0E0E0E"/>
              <w:sz w:val="24"/>
              <w:szCs w:val="24"/>
            </w:rPr>
            <w:t>S</w:t>
          </w:r>
          <w:r>
            <w:rPr>
              <w:rFonts w:ascii="Arial" w:eastAsia="Arial" w:hAnsi="Arial" w:cs="Arial"/>
              <w:color w:val="0E0E0E"/>
              <w:sz w:val="24"/>
              <w:szCs w:val="24"/>
            </w:rPr>
            <w:t xml:space="preserve">i el objeto postal no es reclamado por el usuario destinatario en dicho plazo, este se considerará como no se distribuyó, caso en lo cual se debe dar aplicación a lo dispuesto en el Artículo 22 de la presente Resolución. Sin perjuicio de lo anterior, los </w:t>
          </w:r>
          <w:r>
            <w:rPr>
              <w:rFonts w:ascii="Arial" w:eastAsia="Arial" w:hAnsi="Arial" w:cs="Arial"/>
              <w:color w:val="0E0E0E"/>
              <w:sz w:val="24"/>
              <w:szCs w:val="24"/>
            </w:rPr>
            <w:t>operadores de Mensajería Expresa podrán efectuar los intentos de entrega que consideren necesario, hasta lograr la entrega del objeto postal al usuario destinatario registrado en la guía, para lo cual deberá́ expedir un documento por medios físicos o elect</w:t>
          </w:r>
          <w:r>
            <w:rPr>
              <w:rFonts w:ascii="Arial" w:eastAsia="Arial" w:hAnsi="Arial" w:cs="Arial"/>
              <w:color w:val="0E0E0E"/>
              <w:sz w:val="24"/>
              <w:szCs w:val="24"/>
            </w:rPr>
            <w:t>rónicos en el que informe que tuvo lugar un intento de entrega.</w:t>
          </w:r>
        </w:sdtContent>
      </w:sdt>
    </w:p>
    <w:p w14:paraId="00000023"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Los intentos de entrega deben quedar registrados en la información materia de rastreo que debe estar disponible en la página web del operador y en la prueba de entrega, del cual tratan los A</w:t>
      </w:r>
      <w:r>
        <w:rPr>
          <w:rFonts w:ascii="Roboto" w:eastAsia="Roboto" w:hAnsi="Roboto" w:cs="Roboto"/>
          <w:color w:val="0E0E0E"/>
          <w:sz w:val="24"/>
          <w:szCs w:val="24"/>
        </w:rPr>
        <w:t>rtículos 11 y 8 de la presente Resolución, respectivamente.</w:t>
      </w:r>
    </w:p>
    <w:p w14:paraId="00000024"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Parágrafo 1. Las disposiciones del presente Artículo no serán aplicables a los envíos postales correspondientes al ámbito internacional saliente.</w:t>
      </w:r>
    </w:p>
    <w:p w14:paraId="00000025"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Parágrafo 2. Los operadores postales que presten e</w:t>
      </w:r>
      <w:r>
        <w:rPr>
          <w:rFonts w:ascii="Roboto" w:eastAsia="Roboto" w:hAnsi="Roboto" w:cs="Roboto"/>
          <w:color w:val="0E0E0E"/>
          <w:sz w:val="24"/>
          <w:szCs w:val="24"/>
        </w:rPr>
        <w:t xml:space="preserve">l servicio de Mensajería Expresa en el ámbito internacional entrante, una vez finalizada las actividades aduaneras a </w:t>
      </w:r>
      <w:r>
        <w:rPr>
          <w:rFonts w:ascii="Roboto" w:eastAsia="Roboto" w:hAnsi="Roboto" w:cs="Roboto"/>
          <w:color w:val="0E0E0E"/>
          <w:sz w:val="24"/>
          <w:szCs w:val="24"/>
        </w:rPr>
        <w:lastRenderedPageBreak/>
        <w:t>cargo de la autoridad correspondiente, deben cumplir las disposiciones del presente Artículo.</w:t>
      </w:r>
    </w:p>
    <w:p w14:paraId="00000026"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Parágrafo 3. Cuando el servicio de Mensajería Expresa tenga como fin la distribución de objetos postales masivos, el operador postal deberá efectuar un (1) intento de entrega. En todo caso el operador deberá dejar, en el domicilio del usuario destinatario,</w:t>
      </w:r>
      <w:r>
        <w:rPr>
          <w:rFonts w:ascii="Roboto" w:eastAsia="Roboto" w:hAnsi="Roboto" w:cs="Roboto"/>
          <w:color w:val="0E0E0E"/>
          <w:sz w:val="24"/>
          <w:szCs w:val="24"/>
        </w:rPr>
        <w:t xml:space="preserve"> el documento en el cual se informa que tuvo lugar dicho intento de entrega.</w:t>
      </w:r>
    </w:p>
    <w:p w14:paraId="00000027"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6"/>
          <w:id w:val="466562100"/>
        </w:sdtPr>
        <w:sdtEndPr/>
        <w:sdtContent>
          <w:r>
            <w:rPr>
              <w:rFonts w:ascii="Arial" w:eastAsia="Arial" w:hAnsi="Arial" w:cs="Arial"/>
              <w:color w:val="0E0E0E"/>
              <w:sz w:val="24"/>
              <w:szCs w:val="24"/>
            </w:rPr>
            <w:t>Expuesto esto podemos observar claramente que en caso de que al primer intento de entrega se encuentre cerrado, se debe dejar un primer aviso de llegada y hacer un siguiente inten</w:t>
          </w:r>
          <w:r>
            <w:rPr>
              <w:rFonts w:ascii="Arial" w:eastAsia="Arial" w:hAnsi="Arial" w:cs="Arial"/>
              <w:color w:val="0E0E0E"/>
              <w:sz w:val="24"/>
              <w:szCs w:val="24"/>
            </w:rPr>
            <w:t>to de entrega al siguiente día hábil. En caso de no ser posible la entrega en el segundo intento se deberá́ dejar un segundo aviso de llegada informando donde podrá ser reclamado el objeto postal. La ley es clara en este sentido y no da lugar para interpre</w:t>
          </w:r>
          <w:r>
            <w:rPr>
              <w:rFonts w:ascii="Arial" w:eastAsia="Arial" w:hAnsi="Arial" w:cs="Arial"/>
              <w:color w:val="0E0E0E"/>
              <w:sz w:val="24"/>
              <w:szCs w:val="24"/>
            </w:rPr>
            <w:t>taciones.</w:t>
          </w:r>
        </w:sdtContent>
      </w:sdt>
    </w:p>
    <w:p w14:paraId="00000028"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7"/>
          <w:id w:val="600763197"/>
        </w:sdtPr>
        <w:sdtEndPr/>
        <w:sdtContent>
          <w:r>
            <w:rPr>
              <w:rFonts w:ascii="Arial" w:eastAsia="Arial" w:hAnsi="Arial" w:cs="Arial"/>
              <w:color w:val="0E0E0E"/>
              <w:sz w:val="24"/>
              <w:szCs w:val="24"/>
            </w:rPr>
            <w:t>En cuanto a la foto-detección como tal y la orden de comparendo, la Resolución 3027 de 2010 del Ministerio de Transporte nos dice:</w:t>
          </w:r>
        </w:sdtContent>
      </w:sdt>
    </w:p>
    <w:p w14:paraId="00000029"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b/>
          <w:color w:val="0E0E0E"/>
          <w:sz w:val="24"/>
          <w:szCs w:val="24"/>
        </w:rPr>
        <w:t>Artículo 4°.</w:t>
      </w:r>
      <w:r>
        <w:rPr>
          <w:rFonts w:ascii="Roboto" w:eastAsia="Roboto" w:hAnsi="Roboto" w:cs="Roboto"/>
          <w:color w:val="0E0E0E"/>
          <w:sz w:val="24"/>
          <w:szCs w:val="24"/>
        </w:rPr>
        <w:t xml:space="preserve"> Nuevas tecnologías. Las autoridades competentes podrán implementar el servicio de medios técnicos y tecnológicos que permitan la captura, lectura y almacenamiento de la información contenida en el formulario Orden de Comparendo Único Nacional, e igualment</w:t>
      </w:r>
      <w:r>
        <w:rPr>
          <w:rFonts w:ascii="Roboto" w:eastAsia="Roboto" w:hAnsi="Roboto" w:cs="Roboto"/>
          <w:color w:val="0E0E0E"/>
          <w:sz w:val="24"/>
          <w:szCs w:val="24"/>
        </w:rPr>
        <w:t>e deberán implementar medios técnicos y tecnológicos que permitan evidenciar la comisión de infracciones o contravenciones, el vehículo, la fecha, el lugar y la hora y demás datos establecidos en el formulario de Comparendo Único Nacional.</w:t>
      </w:r>
    </w:p>
    <w:p w14:paraId="0000002A"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8"/>
          <w:id w:val="-10456455"/>
        </w:sdtPr>
        <w:sdtEndPr/>
        <w:sdtContent>
          <w:r>
            <w:rPr>
              <w:rFonts w:ascii="Arial" w:eastAsia="Arial" w:hAnsi="Arial" w:cs="Arial"/>
              <w:color w:val="0E0E0E"/>
              <w:sz w:val="24"/>
              <w:szCs w:val="24"/>
            </w:rPr>
            <w:t>En este artículo</w:t>
          </w:r>
          <w:r>
            <w:rPr>
              <w:rFonts w:ascii="Arial" w:eastAsia="Arial" w:hAnsi="Arial" w:cs="Arial"/>
              <w:color w:val="0E0E0E"/>
              <w:sz w:val="24"/>
              <w:szCs w:val="24"/>
            </w:rPr>
            <w:t xml:space="preserve"> 4 de la resolución 3027 del año 2010 es importante hacer la precisión de que si bien la ley permite que los organismos de tránsito a través de nuevas tecnologías capturen y almacenen la información contenida en el formulario Orden de Comparendo Único Naci</w:t>
          </w:r>
          <w:r>
            <w:rPr>
              <w:rFonts w:ascii="Arial" w:eastAsia="Arial" w:hAnsi="Arial" w:cs="Arial"/>
              <w:color w:val="0E0E0E"/>
              <w:sz w:val="24"/>
              <w:szCs w:val="24"/>
            </w:rPr>
            <w:t>onal, se deja claro que deberá́ contener los mismos datos y/o campos que este.</w:t>
          </w:r>
        </w:sdtContent>
      </w:sdt>
    </w:p>
    <w:p w14:paraId="0000002B"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b/>
          <w:color w:val="0E0E0E"/>
          <w:sz w:val="24"/>
          <w:szCs w:val="24"/>
        </w:rPr>
        <w:t>Artículo 5°.</w:t>
      </w:r>
      <w:r>
        <w:rPr>
          <w:rFonts w:ascii="Roboto" w:eastAsia="Roboto" w:hAnsi="Roboto" w:cs="Roboto"/>
          <w:color w:val="0E0E0E"/>
          <w:sz w:val="24"/>
          <w:szCs w:val="24"/>
        </w:rPr>
        <w:t xml:space="preserve"> Formato y elaboración del formulario de comparendo. Adóptese el formulario de Comparendo Único Nacional anexo a la presente resolución y que hace parte integral d</w:t>
      </w:r>
      <w:r>
        <w:rPr>
          <w:rFonts w:ascii="Roboto" w:eastAsia="Roboto" w:hAnsi="Roboto" w:cs="Roboto"/>
          <w:color w:val="0E0E0E"/>
          <w:sz w:val="24"/>
          <w:szCs w:val="24"/>
        </w:rPr>
        <w:t>e la misma, el cual deberá ser utilizado una vez se agoten las existencias en cada Organismo de Tránsito.</w:t>
      </w:r>
    </w:p>
    <w:p w14:paraId="0000002C"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9"/>
          <w:id w:val="-469982203"/>
        </w:sdtPr>
        <w:sdtEndPr/>
        <w:sdtContent>
          <w:r>
            <w:rPr>
              <w:rFonts w:ascii="Arial" w:eastAsia="Arial" w:hAnsi="Arial" w:cs="Arial"/>
              <w:color w:val="0E0E0E"/>
              <w:sz w:val="24"/>
              <w:szCs w:val="24"/>
            </w:rPr>
            <w:t>Los organismos de tránsito ordenaran la impresión y reparto del formulario Orden de Comparendo Único Nacional, el cual deberá́ contener la codificació</w:t>
          </w:r>
          <w:r>
            <w:rPr>
              <w:rFonts w:ascii="Arial" w:eastAsia="Arial" w:hAnsi="Arial" w:cs="Arial"/>
              <w:color w:val="0E0E0E"/>
              <w:sz w:val="24"/>
              <w:szCs w:val="24"/>
            </w:rPr>
            <w:t>n de las infracciones y demás datos y características descritas en la presente resolución.</w:t>
          </w:r>
        </w:sdtContent>
      </w:sdt>
    </w:p>
    <w:p w14:paraId="0000002D"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b/>
          <w:color w:val="0E0E0E"/>
          <w:sz w:val="24"/>
          <w:szCs w:val="24"/>
        </w:rPr>
        <w:t>Artículo 6°.</w:t>
      </w:r>
      <w:sdt>
        <w:sdtPr>
          <w:tag w:val="goog_rdk_10"/>
          <w:id w:val="-1565874045"/>
        </w:sdtPr>
        <w:sdtEndPr/>
        <w:sdtContent>
          <w:r>
            <w:rPr>
              <w:rFonts w:ascii="Arial" w:eastAsia="Arial" w:hAnsi="Arial" w:cs="Arial"/>
              <w:color w:val="0E0E0E"/>
              <w:sz w:val="24"/>
              <w:szCs w:val="24"/>
            </w:rPr>
            <w:t xml:space="preserve"> Copias del comparendo. De conformidad con lo dispuesto en el artículo 22 de la Ley 1383 de 2010, el Organismo de Tránsito competente deberá́ enviar de</w:t>
          </w:r>
          <w:r>
            <w:rPr>
              <w:rFonts w:ascii="Arial" w:eastAsia="Arial" w:hAnsi="Arial" w:cs="Arial"/>
              <w:color w:val="0E0E0E"/>
              <w:sz w:val="24"/>
              <w:szCs w:val="24"/>
            </w:rPr>
            <w:t xml:space="preserve">ntro de los tres (3) días hábiles siguientes a la imposición de un comparendo por </w:t>
          </w:r>
          <w:r>
            <w:rPr>
              <w:rFonts w:ascii="Arial" w:eastAsia="Arial" w:hAnsi="Arial" w:cs="Arial"/>
              <w:color w:val="0E0E0E"/>
              <w:sz w:val="24"/>
              <w:szCs w:val="24"/>
            </w:rPr>
            <w:lastRenderedPageBreak/>
            <w:t>infracción a las normas de tránsito, copia de este al propietario y a la empresa donde se encuentra vinculado el vehículo.</w:t>
          </w:r>
        </w:sdtContent>
      </w:sdt>
    </w:p>
    <w:p w14:paraId="0000002E"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11"/>
          <w:id w:val="-113290432"/>
        </w:sdtPr>
        <w:sdtEndPr/>
        <w:sdtContent>
          <w:r>
            <w:rPr>
              <w:rFonts w:ascii="Arial" w:eastAsia="Arial" w:hAnsi="Arial" w:cs="Arial"/>
              <w:color w:val="0E0E0E"/>
              <w:sz w:val="24"/>
              <w:szCs w:val="24"/>
            </w:rPr>
            <w:t>El artículo 8 de la ley 1843 de 2017, que modific</w:t>
          </w:r>
          <w:r>
            <w:rPr>
              <w:rFonts w:ascii="Arial" w:eastAsia="Arial" w:hAnsi="Arial" w:cs="Arial"/>
              <w:color w:val="0E0E0E"/>
              <w:sz w:val="24"/>
              <w:szCs w:val="24"/>
            </w:rPr>
            <w:t>ó el artículo 22 de la ley 1383 de 2010 que a su vez modificaba el artículo 135 del Código Nacional de Tránsito, establece que la notificación debe enviarse a los 3 días hábiles siguientes a través de una empresa de mensajería. Y según el auto aclaratorio</w:t>
          </w:r>
          <w:r>
            <w:rPr>
              <w:rFonts w:ascii="Arial" w:eastAsia="Arial" w:hAnsi="Arial" w:cs="Arial"/>
              <w:color w:val="0E0E0E"/>
              <w:sz w:val="24"/>
              <w:szCs w:val="24"/>
            </w:rPr>
            <w:t xml:space="preserve"> 123 de 2016 de la sentencia T-051 de 2016 se establece es que el organismo de tránsito tiene 3 días es para enviar la notificación a la empresa de mensajería. Ya luego la empresa de mensajería a través de un contrato privado de prestación de servicios est</w:t>
          </w:r>
          <w:r>
            <w:rPr>
              <w:rFonts w:ascii="Arial" w:eastAsia="Arial" w:hAnsi="Arial" w:cs="Arial"/>
              <w:color w:val="0E0E0E"/>
              <w:sz w:val="24"/>
              <w:szCs w:val="24"/>
            </w:rPr>
            <w:t xml:space="preserve">ablece en cuanto tiempo entregará la notificación al destinatario final que en la mayoría de las ciudades es de 5 días hábiles. O sea que en total la notificación no puede enviarse al destinatario final más allá́ de los 8 días hábiles en promedio (aunque </w:t>
          </w:r>
          <w:r>
            <w:rPr>
              <w:rFonts w:ascii="Arial" w:eastAsia="Arial" w:hAnsi="Arial" w:cs="Arial"/>
              <w:color w:val="0E0E0E"/>
              <w:sz w:val="24"/>
              <w:szCs w:val="24"/>
            </w:rPr>
            <w:t>dependiendo de la ciudad el tiempo puede variar un poco). Sin embargo ese tiempo se tiene que cumplir o si no se genera nulidad de lo actuado.</w:t>
          </w:r>
        </w:sdtContent>
      </w:sdt>
    </w:p>
    <w:p w14:paraId="0000002F"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Al respecto la sentencia T–247 de 1997 dice lo siguiente:</w:t>
      </w:r>
    </w:p>
    <w:p w14:paraId="00000030"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12"/>
          <w:id w:val="305292224"/>
        </w:sdtPr>
        <w:sdtEndPr/>
        <w:sdtContent>
          <w:r>
            <w:rPr>
              <w:rFonts w:ascii="Arial" w:eastAsia="Arial" w:hAnsi="Arial" w:cs="Arial"/>
              <w:color w:val="0E0E0E"/>
              <w:sz w:val="24"/>
              <w:szCs w:val="24"/>
            </w:rPr>
            <w:t xml:space="preserve">Al respecto la jurisprudencia de esta Corporación ha </w:t>
          </w:r>
          <w:r>
            <w:rPr>
              <w:rFonts w:ascii="Arial" w:eastAsia="Arial" w:hAnsi="Arial" w:cs="Arial"/>
              <w:color w:val="0E0E0E"/>
              <w:sz w:val="24"/>
              <w:szCs w:val="24"/>
            </w:rPr>
            <w:t>destacado que si no se ha procurado el acceso del demandante o de los interesados a la actuación procesal, para los fines de su defensa, se produce una evidente vulneración del debido proceso que genera la nulidad de lo que se haya adelantado sobre la base</w:t>
          </w:r>
          <w:r>
            <w:rPr>
              <w:rFonts w:ascii="Arial" w:eastAsia="Arial" w:hAnsi="Arial" w:cs="Arial"/>
              <w:color w:val="0E0E0E"/>
              <w:sz w:val="24"/>
              <w:szCs w:val="24"/>
            </w:rPr>
            <w:t xml:space="preserve"> de ese erróneo proceder; empero, con apoyo en las normas del procedimiento civil, aplicables en lo no regulado al procedimiento de tutela, la Corte ha distinguido entre la falta de notificación de la iniciación del trámite y la falta de notificación de la</w:t>
          </w:r>
          <w:r>
            <w:rPr>
              <w:rFonts w:ascii="Arial" w:eastAsia="Arial" w:hAnsi="Arial" w:cs="Arial"/>
              <w:color w:val="0E0E0E"/>
              <w:sz w:val="24"/>
              <w:szCs w:val="24"/>
            </w:rPr>
            <w:t xml:space="preserve"> sentencia, así́:</w:t>
          </w:r>
        </w:sdtContent>
      </w:sdt>
    </w:p>
    <w:p w14:paraId="00000031" w14:textId="77777777" w:rsidR="009F7819" w:rsidRDefault="0053359F">
      <w:pPr>
        <w:shd w:val="clear" w:color="auto" w:fill="FFFFFF"/>
        <w:spacing w:after="280" w:line="240" w:lineRule="auto"/>
        <w:ind w:left="708"/>
        <w:jc w:val="both"/>
        <w:rPr>
          <w:rFonts w:ascii="Roboto" w:eastAsia="Roboto" w:hAnsi="Roboto" w:cs="Roboto"/>
          <w:i/>
          <w:color w:val="0E0E0E"/>
          <w:sz w:val="24"/>
          <w:szCs w:val="24"/>
        </w:rPr>
      </w:pPr>
      <w:r>
        <w:rPr>
          <w:rFonts w:ascii="Roboto" w:eastAsia="Roboto" w:hAnsi="Roboto" w:cs="Roboto"/>
          <w:i/>
          <w:color w:val="0E0E0E"/>
          <w:sz w:val="24"/>
          <w:szCs w:val="24"/>
        </w:rPr>
        <w:t>“En el presente caso, al tenor del artículo 140 del Código de Procedimiento Civil (modificado por el decreto 2282 de 1989, artículo 1o, numeral 8o), se presentan dos causales de nulidad: la del numeral 8o, cuando no se practica en legal</w:t>
      </w:r>
      <w:r>
        <w:rPr>
          <w:rFonts w:ascii="Roboto" w:eastAsia="Roboto" w:hAnsi="Roboto" w:cs="Roboto"/>
          <w:i/>
          <w:color w:val="0E0E0E"/>
          <w:sz w:val="24"/>
          <w:szCs w:val="24"/>
        </w:rPr>
        <w:t xml:space="preserve"> forma, o eficaz en este caso, la notificación del auto que admite la acción al ‘demandado’ (…) y la del numeral 3o, por haberse pretermitido íntegramente una instancia, al no haber tenido la parte oportunidad de impugnar la sentencia, por no haber sido no</w:t>
      </w:r>
      <w:r>
        <w:rPr>
          <w:rFonts w:ascii="Roboto" w:eastAsia="Roboto" w:hAnsi="Roboto" w:cs="Roboto"/>
          <w:i/>
          <w:color w:val="0E0E0E"/>
          <w:sz w:val="24"/>
          <w:szCs w:val="24"/>
        </w:rPr>
        <w:t>tificado en forma eficaz de ella.”</w:t>
      </w:r>
    </w:p>
    <w:p w14:paraId="00000032"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Además, la sentencia C-980 de 2010 establece que el debido proceso no solo lo deben aplicar las autoridades judiciales sino también administrativas, que su fin es garantizar el derecho a la defensa e incluye la notificaci</w:t>
      </w:r>
      <w:r>
        <w:rPr>
          <w:rFonts w:ascii="Roboto" w:eastAsia="Roboto" w:hAnsi="Roboto" w:cs="Roboto"/>
          <w:color w:val="0E0E0E"/>
          <w:sz w:val="24"/>
          <w:szCs w:val="24"/>
        </w:rPr>
        <w:t>ón en los términos legales (3 días hábiles) y bajo las formas propias establecidas por la ley (adjuntando el formulario único nacional de comparendo y enviando obviamente a la dirección registrada en el RUNT y no a otra):</w:t>
      </w:r>
    </w:p>
    <w:p w14:paraId="00000033" w14:textId="77777777" w:rsidR="009F7819" w:rsidRDefault="0053359F">
      <w:pPr>
        <w:shd w:val="clear" w:color="auto" w:fill="FFFFFF"/>
        <w:spacing w:after="280" w:line="240" w:lineRule="auto"/>
        <w:jc w:val="both"/>
        <w:rPr>
          <w:rFonts w:ascii="Arial" w:eastAsia="Arial" w:hAnsi="Arial" w:cs="Arial"/>
          <w:color w:val="0E0E0E"/>
          <w:sz w:val="24"/>
          <w:szCs w:val="24"/>
        </w:rPr>
      </w:pPr>
      <w:r>
        <w:rPr>
          <w:rFonts w:ascii="Roboto" w:eastAsia="Roboto" w:hAnsi="Roboto" w:cs="Roboto"/>
          <w:color w:val="0E0E0E"/>
          <w:sz w:val="24"/>
          <w:szCs w:val="24"/>
        </w:rPr>
        <w:t xml:space="preserve">Como ya se anotó, la Constitución </w:t>
      </w:r>
      <w:r>
        <w:rPr>
          <w:rFonts w:ascii="Roboto" w:eastAsia="Roboto" w:hAnsi="Roboto" w:cs="Roboto"/>
          <w:color w:val="0E0E0E"/>
          <w:sz w:val="24"/>
          <w:szCs w:val="24"/>
        </w:rPr>
        <w:t>extiende la garantía del debido proceso no solo a los juicios y procedimientos judiciales, sino también a todas las actuaciones administrativas.</w:t>
      </w:r>
      <w:r>
        <w:rPr>
          <w:rFonts w:ascii="Roboto" w:eastAsia="Roboto" w:hAnsi="Roboto" w:cs="Roboto"/>
          <w:color w:val="0E0E0E"/>
          <w:sz w:val="24"/>
          <w:szCs w:val="24"/>
        </w:rPr>
        <w:br/>
      </w:r>
      <w:r>
        <w:rPr>
          <w:rFonts w:ascii="Arial" w:eastAsia="Arial" w:hAnsi="Arial" w:cs="Arial"/>
          <w:color w:val="0E0E0E"/>
          <w:sz w:val="24"/>
          <w:szCs w:val="24"/>
        </w:rPr>
        <w:t>…</w:t>
      </w:r>
    </w:p>
    <w:p w14:paraId="00000034" w14:textId="77777777" w:rsidR="009F7819" w:rsidRDefault="0053359F">
      <w:pPr>
        <w:shd w:val="clear" w:color="auto" w:fill="FFFFFF"/>
        <w:spacing w:after="280" w:line="240" w:lineRule="auto"/>
        <w:jc w:val="both"/>
        <w:rPr>
          <w:rFonts w:ascii="Arial" w:eastAsia="Arial" w:hAnsi="Arial" w:cs="Arial"/>
          <w:color w:val="0E0E0E"/>
          <w:sz w:val="24"/>
          <w:szCs w:val="24"/>
        </w:rPr>
      </w:pPr>
      <w:r>
        <w:rPr>
          <w:rFonts w:ascii="Arial" w:eastAsia="Arial" w:hAnsi="Arial" w:cs="Arial"/>
          <w:color w:val="0E0E0E"/>
          <w:sz w:val="24"/>
          <w:szCs w:val="24"/>
        </w:rPr>
        <w:lastRenderedPageBreak/>
        <w:t xml:space="preserve">En </w:t>
      </w:r>
      <w:r>
        <w:rPr>
          <w:rFonts w:ascii="Roboto" w:eastAsia="Roboto" w:hAnsi="Roboto" w:cs="Roboto"/>
          <w:color w:val="0E0E0E"/>
          <w:sz w:val="24"/>
          <w:szCs w:val="24"/>
        </w:rPr>
        <w:t>el propósito de asegurar la defensa de los administrados, la jurisprudencia ha señalado que hacen parte de</w:t>
      </w:r>
      <w:r>
        <w:rPr>
          <w:rFonts w:ascii="Roboto" w:eastAsia="Roboto" w:hAnsi="Roboto" w:cs="Roboto"/>
          <w:color w:val="0E0E0E"/>
          <w:sz w:val="24"/>
          <w:szCs w:val="24"/>
        </w:rPr>
        <w:t xml:space="preserve"> las garantías del debido proceso administrativo, entre otros, los derechos a: (i)ser oído durante toda la actuación, (ii) a la notificación oportuna y de conformidad con la ley, (iii) a que la actuación se surta sin dilaciones injustificadas, (iv) a que s</w:t>
      </w:r>
      <w:r>
        <w:rPr>
          <w:rFonts w:ascii="Roboto" w:eastAsia="Roboto" w:hAnsi="Roboto" w:cs="Roboto"/>
          <w:color w:val="0E0E0E"/>
          <w:sz w:val="24"/>
          <w:szCs w:val="24"/>
        </w:rPr>
        <w:t>e permita la participación en la actuación desde su inicio hasta su culminación, (v) a que la actuación se adelante por autoridad competente y con el pleno respeto de las formas propias previstas en el ordenamiento jurídico, (vi) a gozar de la presunción d</w:t>
      </w:r>
      <w:r>
        <w:rPr>
          <w:rFonts w:ascii="Roboto" w:eastAsia="Roboto" w:hAnsi="Roboto" w:cs="Roboto"/>
          <w:color w:val="0E0E0E"/>
          <w:sz w:val="24"/>
          <w:szCs w:val="24"/>
        </w:rPr>
        <w:t xml:space="preserve">e inocencia, (vii) al ejercicio del derecho de defensa y contradicción, (viii) a solicitar, aportar y controvertir pruebas, y (ix) a impugnar las decisiones y a promover la nulidad de aquellas obtenidas con violación del debido </w:t>
      </w:r>
      <w:r>
        <w:rPr>
          <w:rFonts w:ascii="Arial" w:eastAsia="Arial" w:hAnsi="Arial" w:cs="Arial"/>
          <w:color w:val="0E0E0E"/>
          <w:sz w:val="24"/>
          <w:szCs w:val="24"/>
        </w:rPr>
        <w:t>proceso.</w:t>
      </w:r>
    </w:p>
    <w:p w14:paraId="00000035" w14:textId="77777777" w:rsidR="009F7819" w:rsidRDefault="0053359F">
      <w:pPr>
        <w:shd w:val="clear" w:color="auto" w:fill="FFFFFF"/>
        <w:spacing w:after="280" w:line="240" w:lineRule="auto"/>
        <w:jc w:val="both"/>
        <w:rPr>
          <w:rFonts w:ascii="Arial" w:eastAsia="Arial" w:hAnsi="Arial" w:cs="Arial"/>
          <w:color w:val="0E0E0E"/>
          <w:sz w:val="24"/>
          <w:szCs w:val="24"/>
        </w:rPr>
      </w:pPr>
      <w:r>
        <w:rPr>
          <w:rFonts w:ascii="Arial" w:eastAsia="Arial" w:hAnsi="Arial" w:cs="Arial"/>
          <w:color w:val="0E0E0E"/>
          <w:sz w:val="24"/>
          <w:szCs w:val="24"/>
        </w:rPr>
        <w:t>…</w:t>
      </w:r>
    </w:p>
    <w:p w14:paraId="00000036" w14:textId="77777777" w:rsidR="009F7819" w:rsidRDefault="0053359F">
      <w:pPr>
        <w:shd w:val="clear" w:color="auto" w:fill="FFFFFF"/>
        <w:spacing w:after="280" w:line="240" w:lineRule="auto"/>
        <w:jc w:val="both"/>
        <w:rPr>
          <w:rFonts w:ascii="Arial" w:eastAsia="Arial" w:hAnsi="Arial" w:cs="Arial"/>
          <w:color w:val="0E0E0E"/>
          <w:sz w:val="24"/>
          <w:szCs w:val="24"/>
        </w:rPr>
      </w:pPr>
      <w:r>
        <w:rPr>
          <w:rFonts w:ascii="Arial" w:eastAsia="Arial" w:hAnsi="Arial" w:cs="Arial"/>
          <w:color w:val="0E0E0E"/>
          <w:sz w:val="24"/>
          <w:szCs w:val="24"/>
        </w:rPr>
        <w:br/>
      </w:r>
      <w:r>
        <w:rPr>
          <w:rFonts w:ascii="Arial" w:eastAsia="Arial" w:hAnsi="Arial" w:cs="Arial"/>
          <w:color w:val="0E0E0E"/>
          <w:sz w:val="24"/>
          <w:szCs w:val="24"/>
        </w:rPr>
        <w:t>De acuerdo</w:t>
      </w:r>
      <w:r>
        <w:rPr>
          <w:rFonts w:ascii="Roboto" w:eastAsia="Roboto" w:hAnsi="Roboto" w:cs="Roboto"/>
          <w:color w:val="0E0E0E"/>
          <w:sz w:val="24"/>
          <w:szCs w:val="24"/>
        </w:rPr>
        <w:t xml:space="preserve"> con su contenido esencial, este Tribunal ha expresado que el debido proceso administrativo se entiende vulnerado, cuando las autoridades públicas no siguen los actos y procedimientos establecidos en la ley y los reglamentos, y, por esa vía, desc</w:t>
      </w:r>
      <w:r>
        <w:rPr>
          <w:rFonts w:ascii="Roboto" w:eastAsia="Roboto" w:hAnsi="Roboto" w:cs="Roboto"/>
          <w:color w:val="0E0E0E"/>
          <w:sz w:val="24"/>
          <w:szCs w:val="24"/>
        </w:rPr>
        <w:t>onocen las garantías reconocidas a los administrados.</w:t>
      </w:r>
      <w:r>
        <w:rPr>
          <w:rFonts w:ascii="Roboto" w:eastAsia="Roboto" w:hAnsi="Roboto" w:cs="Roboto"/>
          <w:color w:val="0E0E0E"/>
          <w:sz w:val="24"/>
          <w:szCs w:val="24"/>
        </w:rPr>
        <w:br/>
      </w:r>
    </w:p>
    <w:p w14:paraId="00000037" w14:textId="77777777" w:rsidR="009F7819" w:rsidRDefault="0053359F">
      <w:pPr>
        <w:shd w:val="clear" w:color="auto" w:fill="FFFFFF"/>
        <w:spacing w:after="280" w:line="240" w:lineRule="auto"/>
        <w:ind w:left="708"/>
        <w:jc w:val="both"/>
        <w:rPr>
          <w:rFonts w:ascii="Roboto" w:eastAsia="Roboto" w:hAnsi="Roboto" w:cs="Roboto"/>
          <w:color w:val="0E0E0E"/>
          <w:sz w:val="24"/>
          <w:szCs w:val="24"/>
        </w:rPr>
      </w:pPr>
      <w:r>
        <w:rPr>
          <w:rFonts w:ascii="Arial" w:eastAsia="Arial" w:hAnsi="Arial" w:cs="Arial"/>
          <w:color w:val="0E0E0E"/>
          <w:sz w:val="24"/>
          <w:szCs w:val="24"/>
        </w:rPr>
        <w:t>…</w:t>
      </w:r>
      <w:r>
        <w:rPr>
          <w:rFonts w:ascii="Roboto" w:eastAsia="Roboto" w:hAnsi="Roboto" w:cs="Roboto"/>
          <w:color w:val="0E0E0E"/>
          <w:sz w:val="24"/>
          <w:szCs w:val="24"/>
        </w:rPr>
        <w:t xml:space="preserve"> </w:t>
      </w:r>
      <w:r>
        <w:rPr>
          <w:rFonts w:ascii="Roboto" w:eastAsia="Roboto" w:hAnsi="Roboto" w:cs="Roboto"/>
          <w:i/>
          <w:color w:val="0E0E0E"/>
          <w:sz w:val="24"/>
          <w:szCs w:val="24"/>
        </w:rPr>
        <w:t xml:space="preserve">En consecuencia, por tratarse de un derecho fundamental, el derecho al debido proceso administrativo “exige a la administración pública sumisión plena a la Constitución y a la ley en el ejercicio de </w:t>
      </w:r>
      <w:r>
        <w:rPr>
          <w:rFonts w:ascii="Roboto" w:eastAsia="Roboto" w:hAnsi="Roboto" w:cs="Roboto"/>
          <w:i/>
          <w:color w:val="0E0E0E"/>
          <w:sz w:val="24"/>
          <w:szCs w:val="24"/>
        </w:rPr>
        <w:t>sus funciones, tal como lo disponen los artículos 6°, 29 y 209 de la Carta Política”</w:t>
      </w:r>
    </w:p>
    <w:p w14:paraId="00000038"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 xml:space="preserve">Igualmente, la notificación en los términos de ley (3 días hábiles y enviando el formulario único nacional de comparendo a la dirección registrada en el RUNT y no a otra) </w:t>
      </w:r>
      <w:r>
        <w:rPr>
          <w:rFonts w:ascii="Roboto" w:eastAsia="Roboto" w:hAnsi="Roboto" w:cs="Roboto"/>
          <w:color w:val="0E0E0E"/>
          <w:sz w:val="24"/>
          <w:szCs w:val="24"/>
        </w:rPr>
        <w:t>pretende que se cumplan los fines esenciales del estado así como que se materialice el principio de publicidad de los actos administrativos y no se vulnere el principio de seguridad jurídica. Al respecto, la sentencia C- 957 de 1.999 dice lo siguiente:</w:t>
      </w:r>
    </w:p>
    <w:p w14:paraId="00000039" w14:textId="77777777" w:rsidR="009F7819" w:rsidRDefault="0053359F">
      <w:pPr>
        <w:shd w:val="clear" w:color="auto" w:fill="FFFFFF"/>
        <w:spacing w:after="280" w:line="240" w:lineRule="auto"/>
        <w:ind w:left="708"/>
        <w:jc w:val="both"/>
        <w:rPr>
          <w:rFonts w:ascii="Roboto" w:eastAsia="Roboto" w:hAnsi="Roboto" w:cs="Roboto"/>
          <w:color w:val="0E0E0E"/>
          <w:sz w:val="24"/>
          <w:szCs w:val="24"/>
        </w:rPr>
      </w:pPr>
      <w:r>
        <w:rPr>
          <w:rFonts w:ascii="Roboto" w:eastAsia="Roboto" w:hAnsi="Roboto" w:cs="Roboto"/>
          <w:color w:val="0E0E0E"/>
          <w:sz w:val="24"/>
          <w:szCs w:val="24"/>
        </w:rPr>
        <w:t>“El</w:t>
      </w:r>
      <w:r>
        <w:rPr>
          <w:rFonts w:ascii="Roboto" w:eastAsia="Roboto" w:hAnsi="Roboto" w:cs="Roboto"/>
          <w:color w:val="0E0E0E"/>
          <w:sz w:val="24"/>
          <w:szCs w:val="24"/>
        </w:rPr>
        <w:t xml:space="preserve"> Estado de derecho se funda, entre otros principios, en el de la publicidad, el cual supone el conocimiento de los actos de los órganos y autoridades estatales, en consecuencia, implica para ellos desplegar una actividad efectiva para alcanzar dicho propós</w:t>
      </w:r>
      <w:r>
        <w:rPr>
          <w:rFonts w:ascii="Roboto" w:eastAsia="Roboto" w:hAnsi="Roboto" w:cs="Roboto"/>
          <w:color w:val="0E0E0E"/>
          <w:sz w:val="24"/>
          <w:szCs w:val="24"/>
        </w:rPr>
        <w:t>ito; dado que, la certeza y seguridad jurídica exigen que las personas puedan conocer, no sólo la existencia y vigilancia de los mandatos dictados por dichos órganos y autoridades estatales, sino, en especial, del contenido de las decisiones por ellos adop</w:t>
      </w:r>
      <w:r>
        <w:rPr>
          <w:rFonts w:ascii="Roboto" w:eastAsia="Roboto" w:hAnsi="Roboto" w:cs="Roboto"/>
          <w:color w:val="0E0E0E"/>
          <w:sz w:val="24"/>
          <w:szCs w:val="24"/>
        </w:rPr>
        <w:t>tadas, para lo cual, la publicación se instituye en presupuesto básico de su vigencia y oponibilidad, mediante los instrumentos creados con tal fin…”..</w:t>
      </w:r>
    </w:p>
    <w:p w14:paraId="0000003A"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 xml:space="preserve">En la misma línea, la sentencia del Consejo de Estado 25234200020130432901 del 26 de Septiembre de 2013 </w:t>
      </w:r>
      <w:r>
        <w:rPr>
          <w:rFonts w:ascii="Roboto" w:eastAsia="Roboto" w:hAnsi="Roboto" w:cs="Roboto"/>
          <w:color w:val="0E0E0E"/>
          <w:sz w:val="24"/>
          <w:szCs w:val="24"/>
        </w:rPr>
        <w:t>establece que los comparendos realizados por medios electrónicos se notificarán en los 3 días hábiles siguientes enviando los soportes (formulario único nacional de comparendo y prueba de la comisión del infracción a la dirección registrada en el RUNT y no</w:t>
      </w:r>
      <w:r>
        <w:rPr>
          <w:rFonts w:ascii="Roboto" w:eastAsia="Roboto" w:hAnsi="Roboto" w:cs="Roboto"/>
          <w:color w:val="0E0E0E"/>
          <w:sz w:val="24"/>
          <w:szCs w:val="24"/>
        </w:rPr>
        <w:t xml:space="preserve"> a otra) lo cual no tiene excepciones.</w:t>
      </w:r>
    </w:p>
    <w:p w14:paraId="0000003B"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En efecto, la Ley 1383 de 2010 que reforma el Código Nacional de Tránsito estipula que los comparendos realizados por medios técnicos y tecnológicos se notificarán por correo dentro de los tres días hábiles siguientes</w:t>
      </w:r>
      <w:r>
        <w:rPr>
          <w:rFonts w:ascii="Roboto" w:eastAsia="Roboto" w:hAnsi="Roboto" w:cs="Roboto"/>
          <w:color w:val="0E0E0E"/>
          <w:sz w:val="24"/>
          <w:szCs w:val="24"/>
        </w:rPr>
        <w:t xml:space="preserve"> a la infracción y sus soportes, disposición que no tiene excepciones legales.</w:t>
      </w:r>
    </w:p>
    <w:p w14:paraId="0000003C"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Por su parte, la Sentencia T–051 de 2016 refuerza lo dicho al respecto del envío de la notificación en los 3 días hábiles y de hecho menciona específicamente que se debe adjunta</w:t>
      </w:r>
      <w:r>
        <w:rPr>
          <w:rFonts w:ascii="Roboto" w:eastAsia="Roboto" w:hAnsi="Roboto" w:cs="Roboto"/>
          <w:color w:val="0E0E0E"/>
          <w:sz w:val="24"/>
          <w:szCs w:val="24"/>
        </w:rPr>
        <w:t>r el comparendo:</w:t>
      </w:r>
    </w:p>
    <w:p w14:paraId="0000003D" w14:textId="77777777" w:rsidR="009F7819" w:rsidRDefault="0053359F">
      <w:pPr>
        <w:numPr>
          <w:ilvl w:val="0"/>
          <w:numId w:val="1"/>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sdt>
        <w:sdtPr>
          <w:tag w:val="goog_rdk_13"/>
          <w:id w:val="381210377"/>
        </w:sdtPr>
        <w:sdtEndPr/>
        <w:sdtContent>
          <w:r>
            <w:rPr>
              <w:rFonts w:ascii="Arial" w:eastAsia="Arial" w:hAnsi="Arial" w:cs="Arial"/>
              <w:color w:val="0E0E0E"/>
              <w:sz w:val="24"/>
              <w:szCs w:val="24"/>
            </w:rPr>
            <w:t>A través de medios técnicos y tecnológicos es admisible registrar una infracción de tránsito, individualizando el vehículo, la fecha, el lugar y la hora, lo cual, constituye prueba suficiente para imponer un comparendo, así́ como la respectiva multa, de se</w:t>
          </w:r>
          <w:r>
            <w:rPr>
              <w:rFonts w:ascii="Arial" w:eastAsia="Arial" w:hAnsi="Arial" w:cs="Arial"/>
              <w:color w:val="0E0E0E"/>
              <w:sz w:val="24"/>
              <w:szCs w:val="24"/>
            </w:rPr>
            <w:t>r ello procedente (Artículo 129).</w:t>
          </w:r>
        </w:sdtContent>
      </w:sdt>
    </w:p>
    <w:p w14:paraId="0000003E" w14:textId="77777777" w:rsidR="009F7819" w:rsidRDefault="0053359F">
      <w:pPr>
        <w:numPr>
          <w:ilvl w:val="0"/>
          <w:numId w:val="1"/>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sdt>
        <w:sdtPr>
          <w:tag w:val="goog_rdk_14"/>
          <w:id w:val="-214901192"/>
        </w:sdtPr>
        <w:sdtEndPr/>
        <w:sdtContent>
          <w:r>
            <w:rPr>
              <w:rFonts w:ascii="Arial" w:eastAsia="Arial" w:hAnsi="Arial" w:cs="Arial"/>
              <w:color w:val="0E0E0E"/>
              <w:sz w:val="24"/>
              <w:szCs w:val="24"/>
            </w:rPr>
            <w:t>Dentro de los tres días hábiles siguientes se debe notificar al último propietario registrado del vehículo o, de ser posible, al conductor que incurrió́ en la infracción (Artículo 135, Inciso 5).</w:t>
          </w:r>
        </w:sdtContent>
      </w:sdt>
    </w:p>
    <w:p w14:paraId="0000003F" w14:textId="77777777" w:rsidR="009F7819" w:rsidRDefault="0053359F">
      <w:pPr>
        <w:numPr>
          <w:ilvl w:val="0"/>
          <w:numId w:val="1"/>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La notificación debe r</w:t>
      </w:r>
      <w:r>
        <w:rPr>
          <w:rFonts w:ascii="Roboto" w:eastAsia="Roboto" w:hAnsi="Roboto" w:cs="Roboto"/>
          <w:color w:val="0E0E0E"/>
          <w:sz w:val="24"/>
          <w:szCs w:val="24"/>
        </w:rPr>
        <w:t>ealizarse por correo certificado, de no ser posible se deben agotar todos los medios de notificación regulados en la legislación vigente (Artículo 135, inciso 5 y Sentencia C-980 de 2010).</w:t>
      </w:r>
    </w:p>
    <w:p w14:paraId="00000040" w14:textId="77777777" w:rsidR="009F7819" w:rsidRDefault="0053359F">
      <w:pPr>
        <w:numPr>
          <w:ilvl w:val="0"/>
          <w:numId w:val="1"/>
        </w:numPr>
        <w:pBdr>
          <w:top w:val="nil"/>
          <w:left w:val="nil"/>
          <w:bottom w:val="nil"/>
          <w:right w:val="nil"/>
          <w:between w:val="nil"/>
        </w:pBd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A la notificación se debe adjuntar el comparendo y los soportes del</w:t>
      </w:r>
      <w:r>
        <w:rPr>
          <w:rFonts w:ascii="Roboto" w:eastAsia="Roboto" w:hAnsi="Roboto" w:cs="Roboto"/>
          <w:color w:val="0E0E0E"/>
          <w:sz w:val="24"/>
          <w:szCs w:val="24"/>
        </w:rPr>
        <w:t xml:space="preserve"> mismo (Artículo 135, inciso 5 y Ley 1437 de 2011, Artículo 72).</w:t>
      </w:r>
    </w:p>
    <w:p w14:paraId="00000041"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15"/>
          <w:id w:val="1928838880"/>
        </w:sdtPr>
        <w:sdtEndPr/>
        <w:sdtContent>
          <w:r>
            <w:rPr>
              <w:rFonts w:ascii="Arial" w:eastAsia="Arial" w:hAnsi="Arial" w:cs="Arial"/>
              <w:color w:val="0E0E0E"/>
              <w:sz w:val="24"/>
              <w:szCs w:val="24"/>
            </w:rPr>
            <w:t>También está la sentencia T-558 de 2011 que habla sobre el derecho al debido proceso administrativo:</w:t>
          </w:r>
        </w:sdtContent>
      </w:sdt>
    </w:p>
    <w:p w14:paraId="00000042"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DERECHO AL DEBIDO PROCESO ADMINISTRATIVO – Importancia de la notificación de los actos administrativos de carácter particular.</w:t>
      </w:r>
    </w:p>
    <w:p w14:paraId="00000043" w14:textId="77777777" w:rsidR="009F7819" w:rsidRDefault="0053359F">
      <w:pPr>
        <w:shd w:val="clear" w:color="auto" w:fill="FFFFFF"/>
        <w:spacing w:after="280" w:line="240" w:lineRule="auto"/>
        <w:jc w:val="both"/>
        <w:rPr>
          <w:rFonts w:ascii="Roboto" w:eastAsia="Roboto" w:hAnsi="Roboto" w:cs="Roboto"/>
          <w:i/>
          <w:color w:val="0E0E0E"/>
          <w:sz w:val="24"/>
          <w:szCs w:val="24"/>
        </w:rPr>
      </w:pPr>
      <w:r>
        <w:rPr>
          <w:rFonts w:ascii="Roboto" w:eastAsia="Roboto" w:hAnsi="Roboto" w:cs="Roboto"/>
          <w:i/>
          <w:color w:val="0E0E0E"/>
          <w:sz w:val="24"/>
          <w:szCs w:val="24"/>
        </w:rPr>
        <w:t>Las actuaciones que adelante el Estado para resolver una solicitud de reconocimiento de un derecho o prestación, deben adelantars</w:t>
      </w:r>
      <w:r>
        <w:rPr>
          <w:rFonts w:ascii="Roboto" w:eastAsia="Roboto" w:hAnsi="Roboto" w:cs="Roboto"/>
          <w:i/>
          <w:color w:val="0E0E0E"/>
          <w:sz w:val="24"/>
          <w:szCs w:val="24"/>
        </w:rPr>
        <w:t>e respetando, entre otras, las garantías del peticionario al derecho de defensa y de impugnación y publicidad de los actos administrativos. Una de las formas de respetar dichas garantías, es a través de la notificación de las actuaciones administrativas. E</w:t>
      </w:r>
      <w:r>
        <w:rPr>
          <w:rFonts w:ascii="Roboto" w:eastAsia="Roboto" w:hAnsi="Roboto" w:cs="Roboto"/>
          <w:i/>
          <w:color w:val="0E0E0E"/>
          <w:sz w:val="24"/>
          <w:szCs w:val="24"/>
        </w:rPr>
        <w:t>n efecto, desde sus primeros fallos, la Corte Constitucional ha reconocido la importancia de la notificación de las actuaciones administrativas, pues de esta forma se garantiza que las personas hagan valer sus derechos impugnando las decisiones de la autor</w:t>
      </w:r>
      <w:r>
        <w:rPr>
          <w:rFonts w:ascii="Roboto" w:eastAsia="Roboto" w:hAnsi="Roboto" w:cs="Roboto"/>
          <w:i/>
          <w:color w:val="0E0E0E"/>
          <w:sz w:val="24"/>
          <w:szCs w:val="24"/>
        </w:rPr>
        <w:t>idad que los afecten. Ahora bien, la notificación de las actuaciones administrativas son actos plenamente regulados en el ordenamiento jurídico colombiano, específicamente en los artículos 44 al 48 del Código Contencioso Administrativo, en los cuales se in</w:t>
      </w:r>
      <w:r>
        <w:rPr>
          <w:rFonts w:ascii="Roboto" w:eastAsia="Roboto" w:hAnsi="Roboto" w:cs="Roboto"/>
          <w:i/>
          <w:color w:val="0E0E0E"/>
          <w:sz w:val="24"/>
          <w:szCs w:val="24"/>
        </w:rPr>
        <w:t>dica que las decisiones que pongan término a una actuación administrativa deberán notificarse personalmente, enviando una citación por correo certificado al peticionario para que se notifique personalmente y se le entregue una copia íntegra, auténtica y gr</w:t>
      </w:r>
      <w:r>
        <w:rPr>
          <w:rFonts w:ascii="Roboto" w:eastAsia="Roboto" w:hAnsi="Roboto" w:cs="Roboto"/>
          <w:i/>
          <w:color w:val="0E0E0E"/>
          <w:sz w:val="24"/>
          <w:szCs w:val="24"/>
        </w:rPr>
        <w:t>atuita de la decisión, y en caso de no poder surtirse la notificación personal, se deberá notificar la decisión por edicto. Por lo anterior, cuando la Administración no adelante la notificación con el lleno de los anteriores requisitos, se entenderá que es</w:t>
      </w:r>
      <w:r>
        <w:rPr>
          <w:rFonts w:ascii="Roboto" w:eastAsia="Roboto" w:hAnsi="Roboto" w:cs="Roboto"/>
          <w:i/>
          <w:color w:val="0E0E0E"/>
          <w:sz w:val="24"/>
          <w:szCs w:val="24"/>
        </w:rPr>
        <w:t>ta no se surtió y la decisión no producirá efectos legales. Esto es así, porque en aquellos eventos en los que una entidad pública notifica indebidamente una decisión, le impide al interesado ejercer su derecho de defensa y vulnera su derecho fundamental a</w:t>
      </w:r>
      <w:r>
        <w:rPr>
          <w:rFonts w:ascii="Roboto" w:eastAsia="Roboto" w:hAnsi="Roboto" w:cs="Roboto"/>
          <w:i/>
          <w:color w:val="0E0E0E"/>
          <w:sz w:val="24"/>
          <w:szCs w:val="24"/>
        </w:rPr>
        <w:t>l debido proceso.</w:t>
      </w:r>
    </w:p>
    <w:p w14:paraId="00000044"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Y la sentencia T–677 de 2004 dice:</w:t>
      </w:r>
    </w:p>
    <w:p w14:paraId="00000045"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DEBIDO PROCESO – Implica proscripción de responsabilidad objetiva</w:t>
      </w:r>
      <w:r>
        <w:rPr>
          <w:rFonts w:ascii="Roboto" w:eastAsia="Roboto" w:hAnsi="Roboto" w:cs="Roboto"/>
          <w:color w:val="0E0E0E"/>
          <w:sz w:val="24"/>
          <w:szCs w:val="24"/>
        </w:rPr>
        <w:br/>
        <w:t>El debido proceso implica la proscripción de la responsabilidad objetiva, toda vez que aquella es “incompatible con el principio de la di</w:t>
      </w:r>
      <w:r>
        <w:rPr>
          <w:rFonts w:ascii="Roboto" w:eastAsia="Roboto" w:hAnsi="Roboto" w:cs="Roboto"/>
          <w:color w:val="0E0E0E"/>
          <w:sz w:val="24"/>
          <w:szCs w:val="24"/>
        </w:rPr>
        <w:t>gnidad humana” y con el principio de culpabilidad acogido por la Carta en su artículo 29.</w:t>
      </w:r>
    </w:p>
    <w:p w14:paraId="00000046"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Vemos pues como ya hay varias sentencias de las altas cortes en el mismo sentido sobretodo enfatizando que los organismos de tránsito deben apegarse estrictamente a l</w:t>
      </w:r>
      <w:r>
        <w:rPr>
          <w:rFonts w:ascii="Roboto" w:eastAsia="Roboto" w:hAnsi="Roboto" w:cs="Roboto"/>
          <w:color w:val="0E0E0E"/>
          <w:sz w:val="24"/>
          <w:szCs w:val="24"/>
        </w:rPr>
        <w:t>o que dice la ley respecto a la notificación y por tanto se vuelve de obligatorio cumplimiento lo expuesto en las mismas pues de lo contrario podrían haber consecuencias tanto penales como disciplinarias tal como lo establece el numeral 19, artículo 35 del</w:t>
      </w:r>
      <w:r>
        <w:rPr>
          <w:rFonts w:ascii="Roboto" w:eastAsia="Roboto" w:hAnsi="Roboto" w:cs="Roboto"/>
          <w:color w:val="0E0E0E"/>
          <w:sz w:val="24"/>
          <w:szCs w:val="24"/>
        </w:rPr>
        <w:t xml:space="preserve"> Código Único Disciplinario:</w:t>
      </w:r>
    </w:p>
    <w:p w14:paraId="00000047"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16"/>
          <w:id w:val="254249253"/>
        </w:sdtPr>
        <w:sdtEndPr/>
        <w:sdtContent>
          <w:r>
            <w:rPr>
              <w:rFonts w:ascii="Arial" w:eastAsia="Arial" w:hAnsi="Arial" w:cs="Arial"/>
              <w:color w:val="0E0E0E"/>
              <w:sz w:val="24"/>
              <w:szCs w:val="24"/>
            </w:rPr>
            <w:t>Artículo 35. Prohibiciones. A todo servidor público le está prohibido:</w:t>
          </w:r>
        </w:sdtContent>
      </w:sdt>
    </w:p>
    <w:p w14:paraId="00000048" w14:textId="77777777" w:rsidR="009F7819" w:rsidRDefault="0053359F">
      <w:pPr>
        <w:shd w:val="clear" w:color="auto" w:fill="FFFFFF"/>
        <w:spacing w:after="280" w:line="240" w:lineRule="auto"/>
        <w:ind w:left="708"/>
        <w:jc w:val="both"/>
        <w:rPr>
          <w:rFonts w:ascii="Roboto" w:eastAsia="Roboto" w:hAnsi="Roboto" w:cs="Roboto"/>
          <w:color w:val="0E0E0E"/>
          <w:sz w:val="24"/>
          <w:szCs w:val="24"/>
        </w:rPr>
      </w:pPr>
      <w:r>
        <w:rPr>
          <w:rFonts w:ascii="Roboto" w:eastAsia="Roboto" w:hAnsi="Roboto" w:cs="Roboto"/>
          <w:color w:val="0E0E0E"/>
          <w:sz w:val="24"/>
          <w:szCs w:val="24"/>
        </w:rPr>
        <w:t>19. Reproducir actos administrativos suspendidos o anulados por la jurisdicción contencioso-administrativa, o proceder contra resolución o providencia ejecutoriadas del superior.</w:t>
      </w:r>
    </w:p>
    <w:p w14:paraId="00000049"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Y así como lo establece el artículo 454 del Código Penal:</w:t>
      </w:r>
    </w:p>
    <w:p w14:paraId="0000004A"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Artículo 454. Fraud</w:t>
      </w:r>
      <w:r>
        <w:rPr>
          <w:rFonts w:ascii="Roboto" w:eastAsia="Roboto" w:hAnsi="Roboto" w:cs="Roboto"/>
          <w:color w:val="0E0E0E"/>
          <w:sz w:val="24"/>
          <w:szCs w:val="24"/>
        </w:rPr>
        <w:t>e a resolución judicial. Modificado por el art. 12, Ley 890 de 2004, Modificado por el art. 47, Ley 1453 de 2011. El que por cualquier medio se sustraiga al cumplimiento de obligación impuesta en resolución judicial, incurrirá en prisión de uno (1) a cuatr</w:t>
      </w:r>
      <w:r>
        <w:rPr>
          <w:rFonts w:ascii="Roboto" w:eastAsia="Roboto" w:hAnsi="Roboto" w:cs="Roboto"/>
          <w:color w:val="0E0E0E"/>
          <w:sz w:val="24"/>
          <w:szCs w:val="24"/>
        </w:rPr>
        <w:t>o (4) años y multa de cinco (5) a cincuenta (50) salarios mínimos legales mensuales vigentes.</w:t>
      </w:r>
    </w:p>
    <w:p w14:paraId="0000004B"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Igualmente, se debe tener en cuenta el principio de la LEGALIDAD establecido en los artículos 6, 209 y 230 de la Constitución Política de Colombia el cual se resu</w:t>
      </w:r>
      <w:r>
        <w:rPr>
          <w:rFonts w:ascii="Roboto" w:eastAsia="Roboto" w:hAnsi="Roboto" w:cs="Roboto"/>
          <w:color w:val="0E0E0E"/>
          <w:sz w:val="24"/>
          <w:szCs w:val="24"/>
        </w:rPr>
        <w:t>me en que ningún funcionario público puede actuar sino en base a las leyes validas y vigentes y no puede omitir o excederse en el ejercicio de sus funciones.</w:t>
      </w:r>
    </w:p>
    <w:p w14:paraId="0000004C" w14:textId="77777777" w:rsidR="009F7819" w:rsidRDefault="0053359F">
      <w:pP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 xml:space="preserve">Por otro lado, es preciso recordar los términos establecidos para la respuesta de los derechos de </w:t>
      </w:r>
      <w:r>
        <w:rPr>
          <w:rFonts w:ascii="Roboto" w:eastAsia="Roboto" w:hAnsi="Roboto" w:cs="Roboto"/>
          <w:color w:val="0E0E0E"/>
          <w:sz w:val="24"/>
          <w:szCs w:val="24"/>
        </w:rPr>
        <w:t>petición consagrados en la Ley 1437 de 2011 en su artículo 14 (modificado por la ley 1755 de 2015):</w:t>
      </w:r>
    </w:p>
    <w:p w14:paraId="0000004D" w14:textId="77777777" w:rsidR="009F7819" w:rsidRDefault="0053359F">
      <w:pPr>
        <w:shd w:val="clear" w:color="auto" w:fill="FFFFFF"/>
        <w:spacing w:after="280" w:line="240" w:lineRule="auto"/>
        <w:jc w:val="both"/>
        <w:rPr>
          <w:rFonts w:ascii="Roboto" w:eastAsia="Roboto" w:hAnsi="Roboto" w:cs="Roboto"/>
          <w:color w:val="0E0E0E"/>
          <w:sz w:val="24"/>
          <w:szCs w:val="24"/>
        </w:rPr>
      </w:pPr>
      <w:sdt>
        <w:sdtPr>
          <w:tag w:val="goog_rdk_17"/>
          <w:id w:val="-1418550663"/>
        </w:sdtPr>
        <w:sdtEndPr/>
        <w:sdtContent>
          <w:r>
            <w:rPr>
              <w:rFonts w:ascii="Arial" w:eastAsia="Arial" w:hAnsi="Arial" w:cs="Arial"/>
              <w:color w:val="0E0E0E"/>
              <w:sz w:val="24"/>
              <w:szCs w:val="24"/>
            </w:rPr>
            <w:t xml:space="preserve">ARTÍCULO 14. Salvo norma legal especial y so pena de sanción disciplinaria, toda petición deberá resolverse dentro de los quince (15) días siguientes a su </w:t>
          </w:r>
          <w:r>
            <w:rPr>
              <w:rFonts w:ascii="Arial" w:eastAsia="Arial" w:hAnsi="Arial" w:cs="Arial"/>
              <w:color w:val="0E0E0E"/>
              <w:sz w:val="24"/>
              <w:szCs w:val="24"/>
            </w:rPr>
            <w:t>recepción.</w:t>
          </w:r>
        </w:sdtContent>
      </w:sdt>
    </w:p>
    <w:p w14:paraId="0000004E" w14:textId="77777777" w:rsidR="009F7819" w:rsidRDefault="0053359F">
      <w:pPr>
        <w:shd w:val="clear" w:color="auto" w:fill="FFFFFF"/>
        <w:spacing w:after="280" w:line="240" w:lineRule="auto"/>
        <w:jc w:val="center"/>
        <w:rPr>
          <w:rFonts w:ascii="Roboto" w:eastAsia="Roboto" w:hAnsi="Roboto" w:cs="Roboto"/>
          <w:b/>
          <w:color w:val="0E0E0E"/>
          <w:sz w:val="24"/>
          <w:szCs w:val="24"/>
        </w:rPr>
      </w:pPr>
      <w:r>
        <w:rPr>
          <w:rFonts w:ascii="Roboto" w:eastAsia="Roboto" w:hAnsi="Roboto" w:cs="Roboto"/>
          <w:b/>
          <w:color w:val="0E0E0E"/>
          <w:sz w:val="24"/>
          <w:szCs w:val="24"/>
        </w:rPr>
        <w:t>PRETENSIONES</w:t>
      </w:r>
    </w:p>
    <w:p w14:paraId="0000004F" w14:textId="77777777" w:rsidR="009F7819" w:rsidRDefault="0053359F">
      <w:pPr>
        <w:numPr>
          <w:ilvl w:val="0"/>
          <w:numId w:val="2"/>
        </w:numPr>
        <w:pBdr>
          <w:top w:val="nil"/>
          <w:left w:val="nil"/>
          <w:bottom w:val="nil"/>
          <w:right w:val="nil"/>
          <w:between w:val="nil"/>
        </w:pBdr>
        <w:shd w:val="clear" w:color="auto" w:fill="FFFFFF"/>
        <w:spacing w:after="280" w:line="240" w:lineRule="auto"/>
        <w:jc w:val="both"/>
        <w:rPr>
          <w:rFonts w:ascii="Roboto" w:eastAsia="Roboto" w:hAnsi="Roboto" w:cs="Roboto"/>
          <w:color w:val="0E0E0E"/>
          <w:sz w:val="24"/>
          <w:szCs w:val="24"/>
        </w:rPr>
      </w:pPr>
      <w:r>
        <w:rPr>
          <w:rFonts w:ascii="Roboto" w:eastAsia="Roboto" w:hAnsi="Roboto" w:cs="Roboto"/>
          <w:color w:val="0E0E0E"/>
          <w:sz w:val="24"/>
          <w:szCs w:val="24"/>
        </w:rPr>
        <w:t>Solicito responder a este derecho de petición resolviendo cada solicitud punto por punto y no de manera general teniendo en cuenta el artículo 16, parágrafo único de la Ley 1437 de 2011 que reza:</w:t>
      </w:r>
    </w:p>
    <w:p w14:paraId="00000050" w14:textId="77777777" w:rsidR="009F7819" w:rsidRDefault="0053359F">
      <w:pPr>
        <w:shd w:val="clear" w:color="auto" w:fill="FFFFFF"/>
        <w:spacing w:after="280" w:line="240" w:lineRule="auto"/>
        <w:ind w:left="708" w:firstLine="12"/>
        <w:jc w:val="both"/>
        <w:rPr>
          <w:rFonts w:ascii="Roboto" w:eastAsia="Roboto" w:hAnsi="Roboto" w:cs="Roboto"/>
          <w:color w:val="0E0E0E"/>
          <w:sz w:val="24"/>
          <w:szCs w:val="24"/>
        </w:rPr>
      </w:pPr>
      <w:r>
        <w:rPr>
          <w:rFonts w:ascii="Roboto" w:eastAsia="Roboto" w:hAnsi="Roboto" w:cs="Roboto"/>
          <w:color w:val="0E0E0E"/>
          <w:sz w:val="24"/>
          <w:szCs w:val="24"/>
        </w:rPr>
        <w:t xml:space="preserve">PARÁGRAFO. </w:t>
      </w:r>
      <w:r>
        <w:rPr>
          <w:rFonts w:ascii="Roboto" w:eastAsia="Roboto" w:hAnsi="Roboto" w:cs="Roboto"/>
          <w:color w:val="0E0E0E"/>
          <w:sz w:val="24"/>
          <w:szCs w:val="24"/>
          <w:u w:val="single"/>
        </w:rPr>
        <w:t>La autoridad tiene la obligación de examinar integralmente la petición</w:t>
      </w:r>
      <w:r>
        <w:rPr>
          <w:rFonts w:ascii="Roboto" w:eastAsia="Roboto" w:hAnsi="Roboto" w:cs="Roboto"/>
          <w:color w:val="0E0E0E"/>
          <w:sz w:val="24"/>
          <w:szCs w:val="24"/>
        </w:rPr>
        <w:t>, y en ningún caso la estimará incompleta por falta de requisitos o documentos que no se encuentren dentro del marco jurídico vigente y que no sean necesarios para resolverla.</w:t>
      </w:r>
    </w:p>
    <w:p w14:paraId="00000051" w14:textId="77777777" w:rsidR="009F7819" w:rsidRDefault="0053359F">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Solicitó</w:t>
      </w:r>
      <w:r>
        <w:rPr>
          <w:rFonts w:ascii="Roboto" w:eastAsia="Roboto" w:hAnsi="Roboto" w:cs="Roboto"/>
          <w:color w:val="0E0E0E"/>
          <w:sz w:val="24"/>
          <w:szCs w:val="24"/>
        </w:rPr>
        <w:t xml:space="preserve"> se analice la posibilidad de estudiar el comparendo No. </w:t>
      </w:r>
      <w:r>
        <w:rPr>
          <w:rFonts w:ascii="Roboto" w:eastAsia="Roboto" w:hAnsi="Roboto" w:cs="Roboto"/>
          <w:color w:val="FF9900"/>
          <w:sz w:val="24"/>
          <w:szCs w:val="24"/>
        </w:rPr>
        <w:t>XXXXXXXXXX</w:t>
      </w:r>
      <w:r>
        <w:rPr>
          <w:rFonts w:ascii="Roboto" w:eastAsia="Roboto" w:hAnsi="Roboto" w:cs="Roboto"/>
          <w:color w:val="0E0E0E"/>
          <w:sz w:val="24"/>
          <w:szCs w:val="24"/>
        </w:rPr>
        <w:t xml:space="preserve"> y en su defecto se reinicie el procedimiento contravencional como quiera que no han enviado la notificación por aviso tal como lo ordena el artículo 69 de la ley 1437 de 2011, por </w:t>
      </w:r>
      <w:r>
        <w:rPr>
          <w:rFonts w:ascii="Roboto" w:eastAsia="Roboto" w:hAnsi="Roboto" w:cs="Roboto"/>
          <w:color w:val="0E0E0E"/>
          <w:sz w:val="24"/>
          <w:szCs w:val="24"/>
        </w:rPr>
        <w:t xml:space="preserve">favor pido se aplique la nulidad inmersa dentro del artículo 133 No 5 del Código General del Proceso y que </w:t>
      </w:r>
      <w:r>
        <w:rPr>
          <w:rFonts w:ascii="Roboto" w:eastAsia="Roboto" w:hAnsi="Roboto" w:cs="Roboto"/>
          <w:color w:val="FF9900"/>
          <w:sz w:val="24"/>
          <w:szCs w:val="24"/>
        </w:rPr>
        <w:t>el/los mismo(s) y se retire(n) </w:t>
      </w:r>
      <w:r>
        <w:rPr>
          <w:rFonts w:ascii="Roboto" w:eastAsia="Roboto" w:hAnsi="Roboto" w:cs="Roboto"/>
          <w:color w:val="0E0E0E"/>
          <w:sz w:val="24"/>
          <w:szCs w:val="24"/>
        </w:rPr>
        <w:t>de todas las bases de datos incluido el SIMIT pues se estaría presentando violación al derecho fundamental al debido p</w:t>
      </w:r>
      <w:r>
        <w:rPr>
          <w:rFonts w:ascii="Roboto" w:eastAsia="Roboto" w:hAnsi="Roboto" w:cs="Roboto"/>
          <w:color w:val="0E0E0E"/>
          <w:sz w:val="24"/>
          <w:szCs w:val="24"/>
        </w:rPr>
        <w:t>roceso, legalidad y defensa del artículo 29 de la Constitución Política de Colombia y en concordancia con la sentencia T-247 de 1997 que establece que el no seguir el debido proceso por parte de la administración genera nulidad de lo actuado.</w:t>
      </w:r>
    </w:p>
    <w:p w14:paraId="00000052" w14:textId="77777777" w:rsidR="009F7819" w:rsidRDefault="009F7819">
      <w:pPr>
        <w:pBdr>
          <w:top w:val="nil"/>
          <w:left w:val="nil"/>
          <w:bottom w:val="nil"/>
          <w:right w:val="nil"/>
          <w:between w:val="nil"/>
        </w:pBdr>
        <w:shd w:val="clear" w:color="auto" w:fill="FFFFFF"/>
        <w:spacing w:after="0" w:line="240" w:lineRule="auto"/>
        <w:ind w:left="720"/>
        <w:jc w:val="both"/>
        <w:rPr>
          <w:rFonts w:ascii="Roboto" w:eastAsia="Roboto" w:hAnsi="Roboto" w:cs="Roboto"/>
          <w:color w:val="0E0E0E"/>
          <w:sz w:val="24"/>
          <w:szCs w:val="24"/>
        </w:rPr>
      </w:pPr>
    </w:p>
    <w:p w14:paraId="00000053" w14:textId="77777777" w:rsidR="009F7819" w:rsidRDefault="0053359F">
      <w:pPr>
        <w:numPr>
          <w:ilvl w:val="0"/>
          <w:numId w:val="2"/>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Solicito que</w:t>
      </w:r>
      <w:r>
        <w:rPr>
          <w:rFonts w:ascii="Roboto" w:eastAsia="Roboto" w:hAnsi="Roboto" w:cs="Roboto"/>
          <w:color w:val="0E0E0E"/>
          <w:sz w:val="24"/>
          <w:szCs w:val="24"/>
        </w:rPr>
        <w:t xml:space="preserve"> se allegue fiel copia íntegra y digital de todo el procedimiento contravencional y que contenga lo siguiente:</w:t>
      </w:r>
    </w:p>
    <w:p w14:paraId="00000054" w14:textId="77777777" w:rsidR="009F7819" w:rsidRDefault="0053359F">
      <w:pPr>
        <w:numPr>
          <w:ilvl w:val="0"/>
          <w:numId w:val="3"/>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Audiencia donde se declaró contraventor.</w:t>
      </w:r>
    </w:p>
    <w:p w14:paraId="00000055" w14:textId="77777777" w:rsidR="009F7819" w:rsidRDefault="0053359F">
      <w:pPr>
        <w:numPr>
          <w:ilvl w:val="0"/>
          <w:numId w:val="3"/>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Nombre completo, numero de cedula, resolución de nombramiento, manual de funciones del inspector y/o aut</w:t>
      </w:r>
      <w:r>
        <w:rPr>
          <w:rFonts w:ascii="Roboto" w:eastAsia="Roboto" w:hAnsi="Roboto" w:cs="Roboto"/>
          <w:color w:val="0E0E0E"/>
          <w:sz w:val="24"/>
          <w:szCs w:val="24"/>
        </w:rPr>
        <w:t xml:space="preserve">oridad de </w:t>
      </w:r>
      <w:r>
        <w:rPr>
          <w:rFonts w:ascii="Roboto" w:eastAsia="Roboto" w:hAnsi="Roboto" w:cs="Roboto"/>
          <w:color w:val="0E0E0E"/>
          <w:sz w:val="24"/>
          <w:szCs w:val="24"/>
        </w:rPr>
        <w:t>tránsito</w:t>
      </w:r>
      <w:r>
        <w:rPr>
          <w:rFonts w:ascii="Roboto" w:eastAsia="Roboto" w:hAnsi="Roboto" w:cs="Roboto"/>
          <w:color w:val="0E0E0E"/>
          <w:sz w:val="24"/>
          <w:szCs w:val="24"/>
        </w:rPr>
        <w:t xml:space="preserve"> que sancionó al peticionario. </w:t>
      </w:r>
    </w:p>
    <w:p w14:paraId="00000056" w14:textId="77777777" w:rsidR="009F7819" w:rsidRDefault="0053359F">
      <w:pPr>
        <w:numPr>
          <w:ilvl w:val="0"/>
          <w:numId w:val="3"/>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Copia del Libro consecutivo donde se haya registrado la resolución sancionatoria en sus bases de datos.</w:t>
      </w:r>
    </w:p>
    <w:p w14:paraId="00000057" w14:textId="77777777" w:rsidR="009F7819" w:rsidRDefault="0053359F">
      <w:pPr>
        <w:numPr>
          <w:ilvl w:val="0"/>
          <w:numId w:val="3"/>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Resoluciones sancionatorias (de fallo, mandamiento de pago, notificación de mandamiento de pago, decre</w:t>
      </w:r>
      <w:r>
        <w:rPr>
          <w:rFonts w:ascii="Roboto" w:eastAsia="Roboto" w:hAnsi="Roboto" w:cs="Roboto"/>
          <w:color w:val="0E0E0E"/>
          <w:sz w:val="24"/>
          <w:szCs w:val="24"/>
        </w:rPr>
        <w:t xml:space="preserve">to de pruebas donde se haya determinado que es el infractor) </w:t>
      </w:r>
    </w:p>
    <w:p w14:paraId="00000058" w14:textId="77777777" w:rsidR="009F7819" w:rsidRDefault="0053359F">
      <w:pPr>
        <w:numPr>
          <w:ilvl w:val="0"/>
          <w:numId w:val="3"/>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 xml:space="preserve">Copia del video y fotografía de la validación de la infracción. </w:t>
      </w:r>
    </w:p>
    <w:p w14:paraId="00000059" w14:textId="77777777" w:rsidR="009F7819" w:rsidRDefault="0053359F">
      <w:pPr>
        <w:numPr>
          <w:ilvl w:val="0"/>
          <w:numId w:val="3"/>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 xml:space="preserve">Auto que ordena Notificación personal de los mandamientos de pago. </w:t>
      </w:r>
    </w:p>
    <w:p w14:paraId="0000005A" w14:textId="77777777" w:rsidR="009F7819" w:rsidRDefault="0053359F">
      <w:pPr>
        <w:numPr>
          <w:ilvl w:val="0"/>
          <w:numId w:val="3"/>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Las guías del correo certificado y planilla del correo (primera y segunda) de entrega donde se notifica la orden de comparendo personalmente, es decir, copia del aviso de llegada 1 y aviso</w:t>
      </w:r>
      <w:r>
        <w:rPr>
          <w:rFonts w:ascii="Roboto" w:eastAsia="Roboto" w:hAnsi="Roboto" w:cs="Roboto"/>
          <w:color w:val="0E0E0E"/>
          <w:sz w:val="24"/>
          <w:szCs w:val="24"/>
        </w:rPr>
        <w:t xml:space="preserve"> de llegada 2 (en caso de que el motivo de devolución fuera otros/cerrado) para </w:t>
      </w:r>
      <w:r>
        <w:rPr>
          <w:rFonts w:ascii="Roboto" w:eastAsia="Roboto" w:hAnsi="Roboto" w:cs="Roboto"/>
          <w:color w:val="FF9900"/>
          <w:sz w:val="24"/>
          <w:szCs w:val="24"/>
        </w:rPr>
        <w:t>el (los) comparendo(s) “Foto-multas”</w:t>
      </w:r>
      <w:r>
        <w:rPr>
          <w:rFonts w:ascii="Roboto" w:eastAsia="Roboto" w:hAnsi="Roboto" w:cs="Roboto"/>
          <w:color w:val="FF0000"/>
          <w:sz w:val="24"/>
          <w:szCs w:val="24"/>
        </w:rPr>
        <w:t xml:space="preserve"> </w:t>
      </w:r>
      <w:r>
        <w:rPr>
          <w:rFonts w:ascii="Roboto" w:eastAsia="Roboto" w:hAnsi="Roboto" w:cs="Roboto"/>
          <w:color w:val="0E0E0E"/>
          <w:sz w:val="24"/>
          <w:szCs w:val="24"/>
        </w:rPr>
        <w:t>tal como lo establece el artículo 10 de la Resolución 3095 del año 2011 de la Comisión de Regulación de Comunicaciones y en concordancia co</w:t>
      </w:r>
      <w:r>
        <w:rPr>
          <w:rFonts w:ascii="Roboto" w:eastAsia="Roboto" w:hAnsi="Roboto" w:cs="Roboto"/>
          <w:color w:val="0E0E0E"/>
          <w:sz w:val="24"/>
          <w:szCs w:val="24"/>
        </w:rPr>
        <w:t>n el artículo 74 de la Constitución Política de Colombia.</w:t>
      </w:r>
    </w:p>
    <w:p w14:paraId="0000005B" w14:textId="77777777" w:rsidR="009F7819" w:rsidRDefault="0053359F">
      <w:pPr>
        <w:numPr>
          <w:ilvl w:val="0"/>
          <w:numId w:val="3"/>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 xml:space="preserve">Les solicito por favor copia de la Notificación por Aviso para </w:t>
      </w:r>
      <w:r>
        <w:rPr>
          <w:rFonts w:ascii="Roboto" w:eastAsia="Roboto" w:hAnsi="Roboto" w:cs="Roboto"/>
          <w:color w:val="FF9900"/>
          <w:sz w:val="24"/>
          <w:szCs w:val="24"/>
        </w:rPr>
        <w:t xml:space="preserve">el (los) comparendo(s) “Foto-multas” </w:t>
      </w:r>
      <w:sdt>
        <w:sdtPr>
          <w:tag w:val="goog_rdk_18"/>
          <w:id w:val="1470784467"/>
        </w:sdtPr>
        <w:sdtEndPr/>
        <w:sdtContent>
          <w:r>
            <w:rPr>
              <w:rFonts w:ascii="Arial" w:eastAsia="Arial" w:hAnsi="Arial" w:cs="Arial"/>
              <w:color w:val="0E0E0E"/>
              <w:sz w:val="24"/>
              <w:szCs w:val="24"/>
            </w:rPr>
            <w:t>para verificar que tenga anexa la copia íntegra del acto administrativo y los recursos que legalme</w:t>
          </w:r>
          <w:r>
            <w:rPr>
              <w:rFonts w:ascii="Arial" w:eastAsia="Arial" w:hAnsi="Arial" w:cs="Arial"/>
              <w:color w:val="0E0E0E"/>
              <w:sz w:val="24"/>
              <w:szCs w:val="24"/>
            </w:rPr>
            <w:t>nte proceden tal como lo ordena el artículo 69 de la Ley 1437 de 2011 o de lo contrario la notificación seria nula tal como lo establece el artículo 72 ibídem.</w:t>
          </w:r>
        </w:sdtContent>
      </w:sdt>
    </w:p>
    <w:p w14:paraId="0000005C" w14:textId="77777777" w:rsidR="009F7819" w:rsidRDefault="0053359F">
      <w:pPr>
        <w:numPr>
          <w:ilvl w:val="0"/>
          <w:numId w:val="3"/>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 xml:space="preserve">Las guías del correo certificado y planilla del correo (primera y segunda) de entrega donde se notifica el </w:t>
      </w:r>
      <w:r>
        <w:rPr>
          <w:rFonts w:ascii="Roboto" w:eastAsia="Roboto" w:hAnsi="Roboto" w:cs="Roboto"/>
          <w:b/>
          <w:color w:val="0E0E0E"/>
          <w:sz w:val="24"/>
          <w:szCs w:val="24"/>
        </w:rPr>
        <w:t>mandamiento de pago</w:t>
      </w:r>
      <w:r>
        <w:rPr>
          <w:rFonts w:ascii="Roboto" w:eastAsia="Roboto" w:hAnsi="Roboto" w:cs="Roboto"/>
          <w:color w:val="0E0E0E"/>
          <w:sz w:val="24"/>
          <w:szCs w:val="24"/>
        </w:rPr>
        <w:t xml:space="preserve">. </w:t>
      </w:r>
    </w:p>
    <w:p w14:paraId="0000005D" w14:textId="77777777" w:rsidR="009F7819" w:rsidRDefault="0053359F">
      <w:pPr>
        <w:numPr>
          <w:ilvl w:val="0"/>
          <w:numId w:val="3"/>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 xml:space="preserve">Copia de la orden de comparendo. </w:t>
      </w:r>
    </w:p>
    <w:p w14:paraId="0000005E" w14:textId="77777777" w:rsidR="009F7819" w:rsidRDefault="0053359F">
      <w:pPr>
        <w:numPr>
          <w:ilvl w:val="0"/>
          <w:numId w:val="3"/>
        </w:numPr>
        <w:pBdr>
          <w:top w:val="nil"/>
          <w:left w:val="nil"/>
          <w:bottom w:val="nil"/>
          <w:right w:val="nil"/>
          <w:between w:val="nil"/>
        </w:pBdr>
        <w:shd w:val="clear" w:color="auto" w:fill="FFFFFF"/>
        <w:spacing w:after="0" w:line="240" w:lineRule="auto"/>
        <w:jc w:val="both"/>
        <w:rPr>
          <w:rFonts w:ascii="Roboto" w:eastAsia="Roboto" w:hAnsi="Roboto" w:cs="Roboto"/>
          <w:color w:val="0E0E0E"/>
          <w:sz w:val="24"/>
          <w:szCs w:val="24"/>
        </w:rPr>
      </w:pPr>
      <w:r>
        <w:rPr>
          <w:rFonts w:ascii="Roboto" w:eastAsia="Roboto" w:hAnsi="Roboto" w:cs="Roboto"/>
          <w:color w:val="0E0E0E"/>
          <w:sz w:val="24"/>
          <w:szCs w:val="24"/>
        </w:rPr>
        <w:t xml:space="preserve">Auto u oficio donde ordena comunicar al SIMIT, en cumplimiento del artículo 10 de la Ley 769 </w:t>
      </w:r>
      <w:r>
        <w:rPr>
          <w:rFonts w:ascii="Roboto" w:eastAsia="Roboto" w:hAnsi="Roboto" w:cs="Roboto"/>
          <w:color w:val="0E0E0E"/>
          <w:sz w:val="24"/>
          <w:szCs w:val="24"/>
        </w:rPr>
        <w:t xml:space="preserve">del 2002, que actualice el comparendo de referencia  para </w:t>
      </w:r>
      <w:r>
        <w:rPr>
          <w:rFonts w:ascii="Roboto" w:eastAsia="Roboto" w:hAnsi="Roboto" w:cs="Roboto"/>
          <w:b/>
          <w:color w:val="0E0E0E"/>
          <w:sz w:val="24"/>
          <w:szCs w:val="24"/>
        </w:rPr>
        <w:t>pasar de comparendo a resolución sancionatoria</w:t>
      </w:r>
      <w:r>
        <w:rPr>
          <w:rFonts w:ascii="Roboto" w:eastAsia="Roboto" w:hAnsi="Roboto" w:cs="Roboto"/>
          <w:color w:val="0E0E0E"/>
          <w:sz w:val="24"/>
          <w:szCs w:val="24"/>
        </w:rPr>
        <w:t>, en virtud del principio de publicidad.</w:t>
      </w:r>
    </w:p>
    <w:p w14:paraId="0000005F" w14:textId="77777777" w:rsidR="009F7819" w:rsidRDefault="0053359F">
      <w:pPr>
        <w:numPr>
          <w:ilvl w:val="0"/>
          <w:numId w:val="3"/>
        </w:numPr>
        <w:pBdr>
          <w:top w:val="nil"/>
          <w:left w:val="nil"/>
          <w:bottom w:val="nil"/>
          <w:right w:val="nil"/>
          <w:between w:val="nil"/>
        </w:pBdr>
        <w:shd w:val="clear" w:color="auto" w:fill="FFFFFF"/>
        <w:spacing w:after="280" w:line="240" w:lineRule="auto"/>
        <w:jc w:val="both"/>
        <w:rPr>
          <w:rFonts w:ascii="Roboto" w:eastAsia="Roboto" w:hAnsi="Roboto" w:cs="Roboto"/>
          <w:color w:val="0E0E0E"/>
          <w:sz w:val="24"/>
          <w:szCs w:val="24"/>
        </w:rPr>
      </w:pPr>
      <w:sdt>
        <w:sdtPr>
          <w:tag w:val="goog_rdk_19"/>
          <w:id w:val="-107195946"/>
        </w:sdtPr>
        <w:sdtEndPr/>
        <w:sdtContent>
          <w:r>
            <w:rPr>
              <w:rFonts w:ascii="Arial" w:eastAsia="Arial" w:hAnsi="Arial" w:cs="Arial"/>
              <w:color w:val="0E0E0E"/>
              <w:sz w:val="24"/>
              <w:szCs w:val="24"/>
            </w:rPr>
            <w:t xml:space="preserve">Les solicito por favor me informen con qué dirección aparezco </w:t>
          </w:r>
        </w:sdtContent>
      </w:sdt>
      <w:r>
        <w:rPr>
          <w:rFonts w:ascii="Roboto" w:eastAsia="Roboto" w:hAnsi="Roboto" w:cs="Roboto"/>
          <w:color w:val="FF9900"/>
          <w:sz w:val="24"/>
          <w:szCs w:val="24"/>
        </w:rPr>
        <w:t>registrado(a)</w:t>
      </w:r>
      <w:r>
        <w:rPr>
          <w:rFonts w:ascii="Roboto" w:eastAsia="Roboto" w:hAnsi="Roboto" w:cs="Roboto"/>
          <w:color w:val="FF0000"/>
          <w:sz w:val="24"/>
          <w:szCs w:val="24"/>
        </w:rPr>
        <w:t> </w:t>
      </w:r>
      <w:r>
        <w:rPr>
          <w:rFonts w:ascii="Roboto" w:eastAsia="Roboto" w:hAnsi="Roboto" w:cs="Roboto"/>
          <w:color w:val="0E0E0E"/>
          <w:sz w:val="24"/>
          <w:szCs w:val="24"/>
        </w:rPr>
        <w:t>en el RUNT. En caso de que la di</w:t>
      </w:r>
      <w:r>
        <w:rPr>
          <w:rFonts w:ascii="Roboto" w:eastAsia="Roboto" w:hAnsi="Roboto" w:cs="Roboto"/>
          <w:color w:val="0E0E0E"/>
          <w:sz w:val="24"/>
          <w:szCs w:val="24"/>
        </w:rPr>
        <w:t>rección del RUNT no sea la misma que aparece en la guía de entrega la cual se supone que es a donde me debieron enviar el Formulario Único Nacional de Comparendo y la foto de la infracción como lo establece el inciso segundo del artículo 137 del Código Nac</w:t>
      </w:r>
      <w:r>
        <w:rPr>
          <w:rFonts w:ascii="Roboto" w:eastAsia="Roboto" w:hAnsi="Roboto" w:cs="Roboto"/>
          <w:color w:val="0E0E0E"/>
          <w:sz w:val="24"/>
          <w:szCs w:val="24"/>
        </w:rPr>
        <w:t xml:space="preserve">ional de Tránsito. </w:t>
      </w:r>
    </w:p>
    <w:p w14:paraId="00000060" w14:textId="77777777" w:rsidR="009F7819" w:rsidRDefault="0053359F">
      <w:pPr>
        <w:shd w:val="clear" w:color="auto" w:fill="FFFFFF"/>
        <w:spacing w:after="280" w:line="240" w:lineRule="auto"/>
        <w:jc w:val="both"/>
        <w:rPr>
          <w:rFonts w:ascii="Roboto" w:eastAsia="Roboto" w:hAnsi="Roboto" w:cs="Roboto"/>
          <w:color w:val="FF9900"/>
          <w:sz w:val="24"/>
          <w:szCs w:val="24"/>
        </w:rPr>
      </w:pPr>
      <w:r>
        <w:rPr>
          <w:rFonts w:ascii="Roboto" w:eastAsia="Roboto" w:hAnsi="Roboto" w:cs="Roboto"/>
          <w:color w:val="0E0E0E"/>
          <w:sz w:val="24"/>
          <w:szCs w:val="24"/>
        </w:rPr>
        <w:t xml:space="preserve">Recibo respuesta a este derecho de petición en </w:t>
      </w:r>
      <w:r>
        <w:rPr>
          <w:rFonts w:ascii="Roboto" w:eastAsia="Roboto" w:hAnsi="Roboto" w:cs="Roboto"/>
          <w:color w:val="FF9900"/>
          <w:sz w:val="24"/>
          <w:szCs w:val="24"/>
        </w:rPr>
        <w:t>ciudad_______________  dirección _______________________ y para notificaciones al número telefónico  ________________ email _______________________________</w:t>
      </w:r>
    </w:p>
    <w:p w14:paraId="00000061" w14:textId="77777777" w:rsidR="009F7819" w:rsidRDefault="009F7819">
      <w:pPr>
        <w:shd w:val="clear" w:color="auto" w:fill="FFFFFF"/>
        <w:spacing w:after="280" w:line="240" w:lineRule="auto"/>
        <w:jc w:val="both"/>
        <w:rPr>
          <w:rFonts w:ascii="Roboto" w:eastAsia="Roboto" w:hAnsi="Roboto" w:cs="Roboto"/>
          <w:color w:val="0E0E0E"/>
          <w:sz w:val="24"/>
          <w:szCs w:val="24"/>
        </w:rPr>
      </w:pPr>
    </w:p>
    <w:p w14:paraId="00000062" w14:textId="77777777" w:rsidR="009F7819" w:rsidRDefault="0053359F">
      <w:pPr>
        <w:shd w:val="clear" w:color="auto" w:fill="FFFFFF"/>
        <w:spacing w:before="280" w:after="280" w:line="240" w:lineRule="auto"/>
        <w:jc w:val="both"/>
        <w:rPr>
          <w:rFonts w:ascii="Roboto" w:eastAsia="Roboto" w:hAnsi="Roboto" w:cs="Roboto"/>
          <w:color w:val="000000"/>
          <w:sz w:val="24"/>
          <w:szCs w:val="24"/>
        </w:rPr>
      </w:pPr>
      <w:r>
        <w:rPr>
          <w:rFonts w:ascii="Roboto" w:eastAsia="Roboto" w:hAnsi="Roboto" w:cs="Roboto"/>
          <w:i/>
          <w:color w:val="000000"/>
          <w:sz w:val="24"/>
          <w:szCs w:val="24"/>
        </w:rPr>
        <w:t>Cordialmente,</w:t>
      </w:r>
    </w:p>
    <w:p w14:paraId="00000063" w14:textId="77777777" w:rsidR="009F7819" w:rsidRDefault="0053359F">
      <w:pPr>
        <w:shd w:val="clear" w:color="auto" w:fill="FFFFFF"/>
        <w:spacing w:before="280" w:after="280" w:line="240" w:lineRule="auto"/>
        <w:jc w:val="both"/>
        <w:rPr>
          <w:rFonts w:ascii="Roboto" w:eastAsia="Roboto" w:hAnsi="Roboto" w:cs="Roboto"/>
          <w:color w:val="000000"/>
          <w:sz w:val="24"/>
          <w:szCs w:val="24"/>
        </w:rPr>
      </w:pPr>
      <w:r>
        <w:rPr>
          <w:rFonts w:ascii="Roboto" w:eastAsia="Roboto" w:hAnsi="Roboto" w:cs="Roboto"/>
          <w:i/>
          <w:color w:val="000000"/>
          <w:sz w:val="24"/>
          <w:szCs w:val="24"/>
        </w:rPr>
        <w:t> </w:t>
      </w:r>
    </w:p>
    <w:p w14:paraId="00000064" w14:textId="77777777" w:rsidR="009F7819" w:rsidRDefault="0053359F">
      <w:pPr>
        <w:shd w:val="clear" w:color="auto" w:fill="FFFFFF"/>
        <w:spacing w:before="280" w:after="280" w:line="240" w:lineRule="auto"/>
        <w:jc w:val="both"/>
        <w:rPr>
          <w:rFonts w:ascii="Roboto" w:eastAsia="Roboto" w:hAnsi="Roboto" w:cs="Roboto"/>
          <w:color w:val="FF9900"/>
          <w:sz w:val="24"/>
          <w:szCs w:val="24"/>
        </w:rPr>
      </w:pPr>
      <w:r>
        <w:rPr>
          <w:rFonts w:ascii="Roboto" w:eastAsia="Roboto" w:hAnsi="Roboto" w:cs="Roboto"/>
          <w:i/>
          <w:color w:val="FF9900"/>
          <w:sz w:val="24"/>
          <w:szCs w:val="24"/>
        </w:rPr>
        <w:t>[Nombre completo]</w:t>
      </w:r>
    </w:p>
    <w:p w14:paraId="00000065" w14:textId="77777777" w:rsidR="009F7819" w:rsidRDefault="0053359F">
      <w:pPr>
        <w:shd w:val="clear" w:color="auto" w:fill="FFFFFF"/>
        <w:spacing w:before="280" w:after="280" w:line="240" w:lineRule="auto"/>
        <w:jc w:val="both"/>
        <w:rPr>
          <w:rFonts w:ascii="Roboto" w:eastAsia="Roboto" w:hAnsi="Roboto" w:cs="Roboto"/>
          <w:color w:val="FF9900"/>
          <w:sz w:val="24"/>
          <w:szCs w:val="24"/>
        </w:rPr>
      </w:pPr>
      <w:r>
        <w:rPr>
          <w:rFonts w:ascii="Roboto" w:eastAsia="Roboto" w:hAnsi="Roboto" w:cs="Roboto"/>
          <w:i/>
          <w:color w:val="FF9900"/>
          <w:sz w:val="24"/>
          <w:szCs w:val="24"/>
        </w:rPr>
        <w:t>(XXXX) [Número de documento]</w:t>
      </w:r>
    </w:p>
    <w:p w14:paraId="00000066" w14:textId="77777777" w:rsidR="009F7819" w:rsidRDefault="009F7819">
      <w:pPr>
        <w:shd w:val="clear" w:color="auto" w:fill="FFFFFF"/>
        <w:spacing w:after="280" w:line="240" w:lineRule="auto"/>
        <w:jc w:val="both"/>
        <w:rPr>
          <w:rFonts w:ascii="Roboto" w:eastAsia="Roboto" w:hAnsi="Roboto" w:cs="Roboto"/>
          <w:color w:val="0E0E0E"/>
          <w:sz w:val="24"/>
          <w:szCs w:val="24"/>
        </w:rPr>
      </w:pPr>
    </w:p>
    <w:p w14:paraId="00000067" w14:textId="77777777" w:rsidR="009F7819" w:rsidRDefault="009F7819">
      <w:pPr>
        <w:shd w:val="clear" w:color="auto" w:fill="FFFFFF"/>
        <w:spacing w:line="240" w:lineRule="auto"/>
        <w:jc w:val="both"/>
        <w:rPr>
          <w:rFonts w:ascii="Roboto" w:eastAsia="Roboto" w:hAnsi="Roboto" w:cs="Roboto"/>
          <w:color w:val="0E0E0E"/>
          <w:sz w:val="24"/>
          <w:szCs w:val="24"/>
        </w:rPr>
      </w:pPr>
    </w:p>
    <w:sectPr w:rsidR="009F7819">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Roboto">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DA51880"/>
    <w:multiLevelType w:val="multilevel"/>
    <w:tmpl w:val="446A186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72712D73"/>
    <w:multiLevelType w:val="multilevel"/>
    <w:tmpl w:val="B81A696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7ECE087F"/>
    <w:multiLevelType w:val="multilevel"/>
    <w:tmpl w:val="323A3C28"/>
    <w:lvl w:ilvl="0">
      <w:start w:val="1"/>
      <w:numFmt w:val="decimal"/>
      <w:lvlText w:val="%1."/>
      <w:lvlJc w:val="left"/>
      <w:pPr>
        <w:ind w:left="1068" w:hanging="360"/>
      </w:p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7819"/>
    <w:rsid w:val="0053359F"/>
    <w:rsid w:val="009F781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15AB8"/>
  <w15:docId w15:val="{6611E6A5-921F-4190-A0D2-48491B6F8A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D40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qFormat/>
    <w:rsid w:val="001D401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1055F6"/>
    <w:pPr>
      <w:spacing w:before="100" w:beforeAutospacing="1" w:after="100" w:afterAutospacing="1" w:line="240" w:lineRule="auto"/>
    </w:pPr>
    <w:rPr>
      <w:rFonts w:ascii="Times New Roman" w:eastAsia="Times New Roman" w:hAnsi="Times New Roman" w:cs="Times New Roman"/>
      <w:sz w:val="24"/>
      <w:szCs w:val="24"/>
    </w:rPr>
  </w:style>
  <w:style w:type="character" w:styleId="nfasis">
    <w:name w:val="Emphasis"/>
    <w:basedOn w:val="Fuentedeprrafopredeter"/>
    <w:uiPriority w:val="20"/>
    <w:qFormat/>
    <w:rsid w:val="001055F6"/>
    <w:rPr>
      <w:i/>
      <w:iCs/>
    </w:rPr>
  </w:style>
  <w:style w:type="character" w:styleId="Textoennegrita">
    <w:name w:val="Strong"/>
    <w:basedOn w:val="Fuentedeprrafopredeter"/>
    <w:uiPriority w:val="22"/>
    <w:qFormat/>
    <w:rsid w:val="00453589"/>
    <w:rPr>
      <w:b/>
      <w:bCs/>
    </w:rPr>
  </w:style>
  <w:style w:type="paragraph" w:customStyle="1" w:styleId="Default">
    <w:name w:val="Default"/>
    <w:rsid w:val="0062390E"/>
    <w:pPr>
      <w:autoSpaceDE w:val="0"/>
      <w:autoSpaceDN w:val="0"/>
      <w:adjustRightInd w:val="0"/>
      <w:spacing w:after="0" w:line="240" w:lineRule="auto"/>
    </w:pPr>
    <w:rPr>
      <w:rFonts w:ascii="Arial" w:hAnsi="Arial" w:cs="Arial"/>
      <w:color w:val="000000"/>
      <w:sz w:val="24"/>
      <w:szCs w:val="24"/>
      <w:lang w:val="en-US"/>
    </w:rPr>
  </w:style>
  <w:style w:type="paragraph" w:styleId="Prrafodelista">
    <w:name w:val="List Paragraph"/>
    <w:basedOn w:val="Normal"/>
    <w:uiPriority w:val="34"/>
    <w:qFormat/>
    <w:rsid w:val="0062390E"/>
    <w:pPr>
      <w:ind w:left="720"/>
      <w:contextualSpacing/>
    </w:pPr>
  </w:style>
  <w:style w:type="paragraph" w:customStyle="1" w:styleId="TableParagraph">
    <w:name w:val="Table Paragraph"/>
    <w:basedOn w:val="Normal"/>
    <w:uiPriority w:val="1"/>
    <w:qFormat/>
    <w:rsid w:val="008B3512"/>
    <w:pPr>
      <w:widowControl w:val="0"/>
      <w:autoSpaceDE w:val="0"/>
      <w:autoSpaceDN w:val="0"/>
      <w:spacing w:after="0" w:line="240" w:lineRule="auto"/>
    </w:pPr>
    <w:rPr>
      <w:rFonts w:ascii="Arial" w:eastAsia="Arial" w:hAnsi="Arial" w:cs="Arial"/>
      <w:lang w:val="es-ES"/>
    </w:rPr>
  </w:style>
  <w:style w:type="paragraph" w:styleId="Sinespaciado">
    <w:name w:val="No Spacing"/>
    <w:uiPriority w:val="1"/>
    <w:qFormat/>
    <w:rsid w:val="001D4019"/>
    <w:pPr>
      <w:spacing w:after="0" w:line="240" w:lineRule="auto"/>
    </w:pPr>
  </w:style>
  <w:style w:type="character" w:customStyle="1" w:styleId="Ttulo1Car">
    <w:name w:val="Título 1 Car"/>
    <w:basedOn w:val="Fuentedeprrafopredeter"/>
    <w:link w:val="Ttulo1"/>
    <w:uiPriority w:val="9"/>
    <w:rsid w:val="001D4019"/>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1D4019"/>
    <w:rPr>
      <w:rFonts w:asciiTheme="majorHAnsi" w:eastAsiaTheme="majorEastAsia" w:hAnsiTheme="majorHAnsi" w:cstheme="majorBidi"/>
      <w:color w:val="2F5496" w:themeColor="accent1" w:themeShade="BF"/>
      <w:sz w:val="26"/>
      <w:szCs w:val="26"/>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NUjnSAap0xXQw00o3nu0Mi33wQ==">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
  <TotalTime>1</TotalTime>
  <Pages>6</Pages>
  <Words>3840</Words>
  <Characters>21122</Characters>
  <Application>Microsoft Office Word</Application>
  <DocSecurity>0</DocSecurity>
  <Lines>176</Lines>
  <Paragraphs>49</Paragraphs>
  <ScaleCrop>false</ScaleCrop>
  <Company/>
  <LinksUpToDate>false</LinksUpToDate>
  <CharactersWithSpaces>24913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2</cp:revision>
  <dcterms:created xsi:type="dcterms:W3CDTF">2023-02-23T16:40:00Z</dcterms:created>
  <dcterms:modified xsi:type="dcterms:W3CDTF">2024-08-13T01:26:00Z</dcterms:modified>
</cp:coreProperties>
</file>