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3FA2B5" w14:textId="77777777" w:rsidR="00B90AA1" w:rsidRDefault="00B90AA1">
      <w:pPr>
        <w:widowControl w:val="0"/>
        <w:pBdr>
          <w:top w:val="nil"/>
          <w:left w:val="nil"/>
          <w:bottom w:val="nil"/>
          <w:right w:val="nil"/>
          <w:between w:val="nil"/>
        </w:pBdr>
        <w:rPr>
          <w:rFonts w:ascii="Arial" w:eastAsia="Arial" w:hAnsi="Arial" w:cs="Arial"/>
          <w:b/>
          <w:color w:val="FF0000"/>
          <w:sz w:val="22"/>
          <w:szCs w:val="22"/>
        </w:rPr>
      </w:pPr>
    </w:p>
    <w:p w14:paraId="2951E521" w14:textId="77777777" w:rsidR="00B90AA1" w:rsidRDefault="00B90AA1">
      <w:pPr>
        <w:widowControl w:val="0"/>
        <w:pBdr>
          <w:top w:val="nil"/>
          <w:left w:val="nil"/>
          <w:bottom w:val="nil"/>
          <w:right w:val="nil"/>
          <w:between w:val="nil"/>
        </w:pBdr>
        <w:rPr>
          <w:rFonts w:ascii="Arial" w:eastAsia="Arial" w:hAnsi="Arial" w:cs="Arial"/>
          <w:b/>
          <w:color w:val="FF0000"/>
          <w:sz w:val="22"/>
          <w:szCs w:val="22"/>
        </w:rPr>
      </w:pPr>
    </w:p>
    <w:p w14:paraId="45CFE1A1" w14:textId="77777777" w:rsidR="00B90AA1" w:rsidRDefault="00494976">
      <w:pPr>
        <w:widowControl w:val="0"/>
        <w:pBdr>
          <w:top w:val="nil"/>
          <w:left w:val="nil"/>
          <w:bottom w:val="nil"/>
          <w:right w:val="nil"/>
          <w:between w:val="nil"/>
        </w:pBdr>
        <w:rPr>
          <w:rFonts w:ascii="Arial" w:eastAsia="Arial" w:hAnsi="Arial" w:cs="Arial"/>
          <w:b/>
          <w:color w:val="FF9900"/>
          <w:sz w:val="22"/>
          <w:szCs w:val="22"/>
        </w:rPr>
      </w:pPr>
      <w:r>
        <w:rPr>
          <w:rFonts w:ascii="Arial" w:eastAsia="Arial" w:hAnsi="Arial" w:cs="Arial"/>
          <w:b/>
          <w:color w:val="FF9900"/>
          <w:sz w:val="22"/>
          <w:szCs w:val="22"/>
        </w:rPr>
        <w:t>Ciudad, fecha (día, mes y año).</w:t>
      </w:r>
    </w:p>
    <w:p w14:paraId="530FB1A2" w14:textId="77777777" w:rsidR="00B90AA1" w:rsidRDefault="00B90AA1">
      <w:pPr>
        <w:widowControl w:val="0"/>
        <w:pBdr>
          <w:top w:val="nil"/>
          <w:left w:val="nil"/>
          <w:bottom w:val="nil"/>
          <w:right w:val="nil"/>
          <w:between w:val="nil"/>
        </w:pBdr>
        <w:rPr>
          <w:rFonts w:ascii="Arial" w:eastAsia="Arial" w:hAnsi="Arial" w:cs="Arial"/>
          <w:b/>
          <w:color w:val="FF9900"/>
          <w:sz w:val="22"/>
          <w:szCs w:val="22"/>
        </w:rPr>
      </w:pPr>
    </w:p>
    <w:p w14:paraId="1C1E6D05" w14:textId="77777777" w:rsidR="00B90AA1" w:rsidRDefault="00494976">
      <w:pPr>
        <w:widowControl w:val="0"/>
        <w:pBdr>
          <w:top w:val="nil"/>
          <w:left w:val="nil"/>
          <w:bottom w:val="nil"/>
          <w:right w:val="nil"/>
          <w:between w:val="nil"/>
        </w:pBdr>
        <w:rPr>
          <w:rFonts w:ascii="Arial" w:eastAsia="Arial" w:hAnsi="Arial" w:cs="Arial"/>
          <w:b/>
          <w:color w:val="FF9900"/>
          <w:sz w:val="23"/>
          <w:szCs w:val="23"/>
        </w:rPr>
      </w:pPr>
      <w:r>
        <w:rPr>
          <w:rFonts w:ascii="Arial" w:eastAsia="Arial" w:hAnsi="Arial" w:cs="Arial"/>
          <w:b/>
          <w:color w:val="FF9900"/>
          <w:sz w:val="23"/>
          <w:szCs w:val="23"/>
        </w:rPr>
        <w:t>Señores</w:t>
      </w:r>
      <w:r>
        <w:rPr>
          <w:rFonts w:ascii="Arial" w:eastAsia="Arial" w:hAnsi="Arial" w:cs="Arial"/>
          <w:b/>
          <w:color w:val="FF9900"/>
          <w:sz w:val="23"/>
          <w:szCs w:val="23"/>
        </w:rPr>
        <w:br/>
        <w:t>SECRETARÍA DE MOVILIDAD DE __________________</w:t>
      </w:r>
    </w:p>
    <w:p w14:paraId="56491223" w14:textId="77777777" w:rsidR="00B90AA1" w:rsidRDefault="00494976">
      <w:pPr>
        <w:widowControl w:val="0"/>
        <w:pBdr>
          <w:top w:val="nil"/>
          <w:left w:val="nil"/>
          <w:bottom w:val="nil"/>
          <w:right w:val="nil"/>
          <w:between w:val="nil"/>
        </w:pBdr>
        <w:rPr>
          <w:rFonts w:ascii="Arial" w:eastAsia="Arial" w:hAnsi="Arial" w:cs="Arial"/>
          <w:b/>
          <w:color w:val="FF9900"/>
          <w:sz w:val="23"/>
          <w:szCs w:val="23"/>
        </w:rPr>
      </w:pPr>
      <w:r>
        <w:rPr>
          <w:rFonts w:ascii="Arial" w:eastAsia="Arial" w:hAnsi="Arial" w:cs="Arial"/>
          <w:b/>
          <w:color w:val="FF9900"/>
          <w:sz w:val="23"/>
          <w:szCs w:val="23"/>
        </w:rPr>
        <w:t>Dirección y Ciudad</w:t>
      </w:r>
    </w:p>
    <w:p w14:paraId="4C49A0D5" w14:textId="77777777" w:rsidR="00B90AA1" w:rsidRDefault="00494976">
      <w:pPr>
        <w:widowControl w:val="0"/>
        <w:pBdr>
          <w:top w:val="nil"/>
          <w:left w:val="nil"/>
          <w:bottom w:val="nil"/>
          <w:right w:val="nil"/>
          <w:between w:val="nil"/>
        </w:pBdr>
        <w:rPr>
          <w:rFonts w:ascii="Arial" w:eastAsia="Arial" w:hAnsi="Arial" w:cs="Arial"/>
          <w:b/>
          <w:color w:val="FF9900"/>
          <w:sz w:val="23"/>
          <w:szCs w:val="23"/>
        </w:rPr>
      </w:pPr>
      <w:r>
        <w:rPr>
          <w:rFonts w:ascii="Arial" w:eastAsia="Arial" w:hAnsi="Arial" w:cs="Arial"/>
          <w:b/>
          <w:color w:val="FF9900"/>
          <w:sz w:val="23"/>
          <w:szCs w:val="23"/>
        </w:rPr>
        <w:t>Teléfono</w:t>
      </w:r>
    </w:p>
    <w:p w14:paraId="3FABD63C" w14:textId="77777777" w:rsidR="00B90AA1" w:rsidRDefault="00494976">
      <w:pPr>
        <w:widowControl w:val="0"/>
        <w:pBdr>
          <w:top w:val="nil"/>
          <w:left w:val="nil"/>
          <w:bottom w:val="nil"/>
          <w:right w:val="nil"/>
          <w:between w:val="nil"/>
        </w:pBdr>
        <w:rPr>
          <w:rFonts w:ascii="Arial" w:eastAsia="Arial" w:hAnsi="Arial" w:cs="Arial"/>
          <w:b/>
          <w:color w:val="FF9900"/>
          <w:sz w:val="23"/>
          <w:szCs w:val="23"/>
        </w:rPr>
      </w:pPr>
      <w:r>
        <w:rPr>
          <w:rFonts w:ascii="Arial" w:eastAsia="Arial" w:hAnsi="Arial" w:cs="Arial"/>
          <w:b/>
          <w:color w:val="FF9900"/>
          <w:sz w:val="23"/>
          <w:szCs w:val="23"/>
        </w:rPr>
        <w:t>Correo electrónico</w:t>
      </w:r>
    </w:p>
    <w:p w14:paraId="3E4680E2" w14:textId="77777777" w:rsidR="00B90AA1" w:rsidRDefault="00494976">
      <w:pPr>
        <w:widowControl w:val="0"/>
        <w:pBdr>
          <w:top w:val="nil"/>
          <w:left w:val="nil"/>
          <w:bottom w:val="nil"/>
          <w:right w:val="nil"/>
          <w:between w:val="nil"/>
        </w:pBdr>
        <w:rPr>
          <w:rFonts w:ascii="Arial" w:eastAsia="Arial" w:hAnsi="Arial" w:cs="Arial"/>
          <w:b/>
          <w:color w:val="FF9900"/>
          <w:sz w:val="22"/>
          <w:szCs w:val="22"/>
        </w:rPr>
      </w:pPr>
      <w:r>
        <w:rPr>
          <w:rFonts w:ascii="Arial" w:eastAsia="Arial" w:hAnsi="Arial" w:cs="Arial"/>
          <w:b/>
          <w:color w:val="FF9900"/>
          <w:sz w:val="22"/>
          <w:szCs w:val="22"/>
        </w:rPr>
        <w:t>E.S.D.</w:t>
      </w:r>
    </w:p>
    <w:p w14:paraId="31CB23B6" w14:textId="77777777" w:rsidR="00B90AA1" w:rsidRDefault="00494976">
      <w:pPr>
        <w:spacing w:before="280" w:after="280"/>
        <w:jc w:val="center"/>
        <w:rPr>
          <w:rFonts w:ascii="Arial" w:eastAsia="Arial" w:hAnsi="Arial" w:cs="Arial"/>
        </w:rPr>
      </w:pPr>
      <w:r>
        <w:rPr>
          <w:rFonts w:ascii="Arial" w:eastAsia="Arial" w:hAnsi="Arial" w:cs="Arial"/>
          <w:b/>
        </w:rPr>
        <w:t>Asunto:</w:t>
      </w:r>
      <w:r>
        <w:rPr>
          <w:rFonts w:ascii="Arial" w:eastAsia="Arial" w:hAnsi="Arial" w:cs="Arial"/>
        </w:rPr>
        <w:t xml:space="preserve"> Derecho de petición por prescripción.</w:t>
      </w:r>
    </w:p>
    <w:p w14:paraId="5925CD24" w14:textId="77777777" w:rsidR="00B90AA1" w:rsidRDefault="00B90AA1">
      <w:pPr>
        <w:spacing w:before="280" w:after="280"/>
        <w:jc w:val="both"/>
        <w:rPr>
          <w:rFonts w:ascii="Arial" w:eastAsia="Arial" w:hAnsi="Arial" w:cs="Arial"/>
        </w:rPr>
      </w:pPr>
    </w:p>
    <w:p w14:paraId="1A3BB79F" w14:textId="77777777" w:rsidR="00B90AA1" w:rsidRDefault="00494976">
      <w:pPr>
        <w:spacing w:before="280" w:after="280"/>
        <w:jc w:val="both"/>
        <w:rPr>
          <w:rFonts w:ascii="Arial" w:eastAsia="Arial" w:hAnsi="Arial" w:cs="Arial"/>
        </w:rPr>
      </w:pPr>
      <w:r>
        <w:rPr>
          <w:rFonts w:ascii="Arial" w:eastAsia="Arial" w:hAnsi="Arial" w:cs="Arial"/>
        </w:rPr>
        <w:t xml:space="preserve">Yo, </w:t>
      </w:r>
      <w:r>
        <w:rPr>
          <w:rFonts w:ascii="Arial" w:eastAsia="Arial" w:hAnsi="Arial" w:cs="Arial"/>
          <w:color w:val="FF9900"/>
        </w:rPr>
        <w:t>[Nombre completo]</w:t>
      </w:r>
      <w:r>
        <w:rPr>
          <w:rFonts w:ascii="Arial" w:eastAsia="Arial" w:hAnsi="Arial" w:cs="Arial"/>
        </w:rPr>
        <w:t xml:space="preserve">, identificado con cédula de ciudadanía </w:t>
      </w:r>
      <w:r>
        <w:rPr>
          <w:rFonts w:ascii="Arial" w:eastAsia="Arial" w:hAnsi="Arial" w:cs="Arial"/>
          <w:color w:val="FF9900"/>
        </w:rPr>
        <w:t>[Número de</w:t>
      </w:r>
      <w:r>
        <w:rPr>
          <w:rFonts w:ascii="Arial" w:eastAsia="Arial" w:hAnsi="Arial" w:cs="Arial"/>
          <w:color w:val="FF0000"/>
        </w:rPr>
        <w:t xml:space="preserve"> </w:t>
      </w:r>
      <w:r>
        <w:rPr>
          <w:rFonts w:ascii="Arial" w:eastAsia="Arial" w:hAnsi="Arial" w:cs="Arial"/>
          <w:color w:val="FF9900"/>
        </w:rPr>
        <w:t>Cédula]</w:t>
      </w:r>
      <w:r>
        <w:rPr>
          <w:rFonts w:ascii="Arial" w:eastAsia="Arial" w:hAnsi="Arial" w:cs="Arial"/>
        </w:rPr>
        <w:t>, en ejercicio del derecho de petición consagrado en el artículo 23 de la Constitución Política de Colombia y cumpliendo con los requisitos de los artículos 5, 15 y 16 del Código de lo Contencioso A</w:t>
      </w:r>
      <w:r>
        <w:rPr>
          <w:rFonts w:ascii="Arial" w:eastAsia="Arial" w:hAnsi="Arial" w:cs="Arial"/>
        </w:rPr>
        <w:t>dministrativo ley 1437 de 2011 modificado por el artículo 1 de la ley 1755 de 2015, me permito dirigirme a su despacho con el propósito de formular las siguientes peticiones:</w:t>
      </w:r>
    </w:p>
    <w:p w14:paraId="00000491" w14:textId="77777777" w:rsidR="00B90AA1" w:rsidRDefault="00494976">
      <w:pPr>
        <w:spacing w:before="280" w:after="280"/>
        <w:jc w:val="both"/>
        <w:rPr>
          <w:rFonts w:ascii="Arial" w:eastAsia="Arial" w:hAnsi="Arial" w:cs="Arial"/>
          <w:color w:val="FF9900"/>
        </w:rPr>
      </w:pPr>
      <w:r>
        <w:rPr>
          <w:rFonts w:ascii="Arial" w:eastAsia="Arial" w:hAnsi="Arial" w:cs="Arial"/>
        </w:rPr>
        <w:t xml:space="preserve">Solicito de manera respetuosa que se aplique la prescripción correspondiente a </w:t>
      </w:r>
      <w:proofErr w:type="spellStart"/>
      <w:r>
        <w:rPr>
          <w:rFonts w:ascii="Arial" w:eastAsia="Arial" w:hAnsi="Arial" w:cs="Arial"/>
          <w:color w:val="FF9900"/>
        </w:rPr>
        <w:t>el</w:t>
      </w:r>
      <w:proofErr w:type="spellEnd"/>
      <w:r>
        <w:rPr>
          <w:rFonts w:ascii="Arial" w:eastAsia="Arial" w:hAnsi="Arial" w:cs="Arial"/>
          <w:color w:val="FF9900"/>
        </w:rPr>
        <w:t>/</w:t>
      </w:r>
      <w:proofErr w:type="gramStart"/>
      <w:r>
        <w:rPr>
          <w:rFonts w:ascii="Arial" w:eastAsia="Arial" w:hAnsi="Arial" w:cs="Arial"/>
          <w:color w:val="FF9900"/>
        </w:rPr>
        <w:t>los comparendo</w:t>
      </w:r>
      <w:proofErr w:type="gramEnd"/>
      <w:r>
        <w:rPr>
          <w:rFonts w:ascii="Arial" w:eastAsia="Arial" w:hAnsi="Arial" w:cs="Arial"/>
          <w:color w:val="FF9900"/>
        </w:rPr>
        <w:t>(s) identificado(s)</w:t>
      </w:r>
      <w:r>
        <w:rPr>
          <w:rFonts w:ascii="Arial" w:eastAsia="Arial" w:hAnsi="Arial" w:cs="Arial"/>
        </w:rPr>
        <w:t xml:space="preserve"> con </w:t>
      </w:r>
      <w:r>
        <w:rPr>
          <w:rFonts w:ascii="Arial" w:eastAsia="Arial" w:hAnsi="Arial" w:cs="Arial"/>
          <w:color w:val="FF9900"/>
        </w:rPr>
        <w:t xml:space="preserve">el/los número(s): </w:t>
      </w:r>
    </w:p>
    <w:p w14:paraId="1BBBCBD3" w14:textId="77777777" w:rsidR="00B90AA1" w:rsidRDefault="00494976">
      <w:pPr>
        <w:pBdr>
          <w:top w:val="nil"/>
          <w:left w:val="nil"/>
          <w:bottom w:val="nil"/>
          <w:right w:val="nil"/>
          <w:between w:val="nil"/>
        </w:pBdr>
        <w:spacing w:after="280"/>
        <w:jc w:val="both"/>
        <w:rPr>
          <w:rFonts w:ascii="Arial" w:eastAsia="Arial" w:hAnsi="Arial" w:cs="Arial"/>
          <w:color w:val="FF9900"/>
        </w:rPr>
      </w:pPr>
      <w:r>
        <w:rPr>
          <w:rFonts w:ascii="Arial" w:eastAsia="Arial" w:hAnsi="Arial" w:cs="Arial"/>
          <w:color w:val="FF9900"/>
        </w:rPr>
        <w:t>{{{SI HAY UN SOLO COMPARENDO ENTONCES BORRAR LOS DEMAS. SI HAY MÁS DE 3 ENTONCES COPIAR Y PEGAR SEGÚN LA CANTIDAD}}}</w:t>
      </w:r>
    </w:p>
    <w:p w14:paraId="0E872A62" w14:textId="77777777" w:rsidR="00B90AA1" w:rsidRDefault="00494976">
      <w:pPr>
        <w:pBdr>
          <w:top w:val="nil"/>
          <w:left w:val="nil"/>
          <w:bottom w:val="nil"/>
          <w:right w:val="nil"/>
          <w:between w:val="nil"/>
        </w:pBdr>
        <w:spacing w:after="280"/>
        <w:jc w:val="both"/>
        <w:rPr>
          <w:rFonts w:ascii="Arial" w:eastAsia="Arial" w:hAnsi="Arial" w:cs="Arial"/>
          <w:color w:val="FF9900"/>
        </w:rPr>
      </w:pPr>
      <w:r>
        <w:rPr>
          <w:rFonts w:ascii="Arial" w:eastAsia="Arial" w:hAnsi="Arial" w:cs="Arial"/>
          <w:color w:val="FF9900"/>
        </w:rPr>
        <w:t>(</w:t>
      </w:r>
      <w:proofErr w:type="gramStart"/>
      <w:r>
        <w:rPr>
          <w:rFonts w:ascii="Arial" w:eastAsia="Arial" w:hAnsi="Arial" w:cs="Arial"/>
          <w:color w:val="FF9900"/>
        </w:rPr>
        <w:t>XXXXXXXXXXX)   </w:t>
      </w:r>
      <w:proofErr w:type="gramEnd"/>
      <w:r>
        <w:rPr>
          <w:rFonts w:ascii="Arial" w:eastAsia="Arial" w:hAnsi="Arial" w:cs="Arial"/>
          <w:color w:val="FF9900"/>
        </w:rPr>
        <w:t xml:space="preserve"> placa (XXXXXX) DEL DIA (XX) DE (XXXXXXXXX) DE (XXXX)</w:t>
      </w:r>
    </w:p>
    <w:p w14:paraId="7271B2DD" w14:textId="77777777" w:rsidR="00B90AA1" w:rsidRDefault="00494976">
      <w:pPr>
        <w:pBdr>
          <w:top w:val="nil"/>
          <w:left w:val="nil"/>
          <w:bottom w:val="nil"/>
          <w:right w:val="nil"/>
          <w:between w:val="nil"/>
        </w:pBdr>
        <w:spacing w:after="280"/>
        <w:jc w:val="both"/>
        <w:rPr>
          <w:rFonts w:ascii="Arial" w:eastAsia="Arial" w:hAnsi="Arial" w:cs="Arial"/>
          <w:color w:val="FF9900"/>
        </w:rPr>
      </w:pPr>
      <w:r>
        <w:rPr>
          <w:rFonts w:ascii="Arial" w:eastAsia="Arial" w:hAnsi="Arial" w:cs="Arial"/>
          <w:color w:val="FF9900"/>
        </w:rPr>
        <w:t>(</w:t>
      </w:r>
      <w:proofErr w:type="gramStart"/>
      <w:r>
        <w:rPr>
          <w:rFonts w:ascii="Arial" w:eastAsia="Arial" w:hAnsi="Arial" w:cs="Arial"/>
          <w:color w:val="FF9900"/>
        </w:rPr>
        <w:t>XXXXXXXXXXX)   </w:t>
      </w:r>
      <w:proofErr w:type="gramEnd"/>
      <w:r>
        <w:rPr>
          <w:rFonts w:ascii="Arial" w:eastAsia="Arial" w:hAnsi="Arial" w:cs="Arial"/>
          <w:color w:val="FF9900"/>
        </w:rPr>
        <w:t xml:space="preserve"> placa (XXXXXX) DEL DIA (XX) DE (XXXXXXXXX) DE (XXXX)</w:t>
      </w:r>
    </w:p>
    <w:p w14:paraId="0EE7AA25" w14:textId="77777777" w:rsidR="00B90AA1" w:rsidRDefault="00494976">
      <w:pPr>
        <w:pBdr>
          <w:top w:val="nil"/>
          <w:left w:val="nil"/>
          <w:bottom w:val="nil"/>
          <w:right w:val="nil"/>
          <w:between w:val="nil"/>
        </w:pBdr>
        <w:spacing w:after="280"/>
        <w:jc w:val="both"/>
        <w:rPr>
          <w:rFonts w:ascii="Arial" w:eastAsia="Arial" w:hAnsi="Arial" w:cs="Arial"/>
          <w:color w:val="FF9900"/>
        </w:rPr>
      </w:pPr>
      <w:r>
        <w:rPr>
          <w:rFonts w:ascii="Arial" w:eastAsia="Arial" w:hAnsi="Arial" w:cs="Arial"/>
          <w:color w:val="FF9900"/>
        </w:rPr>
        <w:t>(</w:t>
      </w:r>
      <w:proofErr w:type="gramStart"/>
      <w:r>
        <w:rPr>
          <w:rFonts w:ascii="Arial" w:eastAsia="Arial" w:hAnsi="Arial" w:cs="Arial"/>
          <w:color w:val="FF9900"/>
        </w:rPr>
        <w:t>XXXXXXXXXXX)   </w:t>
      </w:r>
      <w:proofErr w:type="gramEnd"/>
      <w:r>
        <w:rPr>
          <w:rFonts w:ascii="Arial" w:eastAsia="Arial" w:hAnsi="Arial" w:cs="Arial"/>
          <w:color w:val="FF9900"/>
        </w:rPr>
        <w:t xml:space="preserve"> placa (XXXXXX) DEL DIA (XX) DE (XXXXXXXXX) DE (XXXX)</w:t>
      </w:r>
    </w:p>
    <w:p w14:paraId="6877099B" w14:textId="77777777" w:rsidR="00B90AA1" w:rsidRDefault="00494976">
      <w:pPr>
        <w:spacing w:before="280" w:after="280"/>
        <w:jc w:val="both"/>
        <w:rPr>
          <w:rFonts w:ascii="Arial" w:eastAsia="Arial" w:hAnsi="Arial" w:cs="Arial"/>
        </w:rPr>
      </w:pPr>
      <w:r>
        <w:rPr>
          <w:rFonts w:ascii="Arial" w:eastAsia="Arial" w:hAnsi="Arial" w:cs="Arial"/>
        </w:rPr>
        <w:t>de acuerdo con lo establecido en el artículo 159 de la ley 769 de 2002, y que sean eliminados del sistema SIMIT, en virtud de que han transcurrido más de</w:t>
      </w:r>
      <w:r>
        <w:rPr>
          <w:rFonts w:ascii="Arial" w:eastAsia="Arial" w:hAnsi="Arial" w:cs="Arial"/>
          <w:color w:val="FF9900"/>
        </w:rPr>
        <w:t xml:space="preserve"> [poner los años que tiene la mu</w:t>
      </w:r>
      <w:r>
        <w:rPr>
          <w:rFonts w:ascii="Arial" w:eastAsia="Arial" w:hAnsi="Arial" w:cs="Arial"/>
          <w:color w:val="FF9900"/>
        </w:rPr>
        <w:t xml:space="preserve">lta y estos deben ser mínimo de 3 años o más] </w:t>
      </w:r>
      <w:r>
        <w:rPr>
          <w:rFonts w:ascii="Arial" w:eastAsia="Arial" w:hAnsi="Arial" w:cs="Arial"/>
        </w:rPr>
        <w:t>años desde su imposición, y no se encuentran en estado de cobro coactivo.</w:t>
      </w:r>
    </w:p>
    <w:p w14:paraId="39B87A0B" w14:textId="77777777" w:rsidR="00B90AA1" w:rsidRDefault="00494976">
      <w:pPr>
        <w:spacing w:before="280" w:after="280"/>
        <w:jc w:val="both"/>
        <w:rPr>
          <w:rFonts w:ascii="Arial" w:eastAsia="Arial" w:hAnsi="Arial" w:cs="Arial"/>
        </w:rPr>
      </w:pPr>
      <w:r>
        <w:rPr>
          <w:rFonts w:ascii="Arial" w:eastAsia="Arial" w:hAnsi="Arial" w:cs="Arial"/>
        </w:rPr>
        <w:t xml:space="preserve">Asimismo, requiero la entrega de copia de </w:t>
      </w:r>
      <w:r>
        <w:rPr>
          <w:rFonts w:ascii="Arial" w:eastAsia="Arial" w:hAnsi="Arial" w:cs="Arial"/>
          <w:color w:val="FF9900"/>
        </w:rPr>
        <w:t>la resolución(es) sancionatoria(s) relacionada(s) con el(los) comparendo(s) " NÚMERO DEL O LOS</w:t>
      </w:r>
      <w:r>
        <w:rPr>
          <w:rFonts w:ascii="Arial" w:eastAsia="Arial" w:hAnsi="Arial" w:cs="Arial"/>
          <w:color w:val="FF9900"/>
        </w:rPr>
        <w:t xml:space="preserve"> COMPARENDOS ",</w:t>
      </w:r>
      <w:r>
        <w:rPr>
          <w:rFonts w:ascii="Arial" w:eastAsia="Arial" w:hAnsi="Arial" w:cs="Arial"/>
        </w:rPr>
        <w:t xml:space="preserve"> en caso de que dicha documentación se encuentre disponible.</w:t>
      </w:r>
    </w:p>
    <w:p w14:paraId="752EBFB3" w14:textId="77777777" w:rsidR="00B90AA1" w:rsidRDefault="00B90AA1">
      <w:pPr>
        <w:spacing w:before="280" w:after="280"/>
        <w:jc w:val="both"/>
        <w:rPr>
          <w:rFonts w:ascii="Times New Roman" w:eastAsia="Times New Roman" w:hAnsi="Times New Roman" w:cs="Times New Roman"/>
          <w:b/>
        </w:rPr>
      </w:pPr>
    </w:p>
    <w:p w14:paraId="1D7D2FB7" w14:textId="77777777" w:rsidR="00B90AA1" w:rsidRDefault="00B90AA1">
      <w:pPr>
        <w:spacing w:before="280" w:after="280"/>
        <w:jc w:val="both"/>
        <w:rPr>
          <w:rFonts w:ascii="Times New Roman" w:eastAsia="Times New Roman" w:hAnsi="Times New Roman" w:cs="Times New Roman"/>
          <w:b/>
        </w:rPr>
      </w:pPr>
    </w:p>
    <w:p w14:paraId="669C325B" w14:textId="77777777" w:rsidR="00B90AA1" w:rsidRDefault="00B90AA1">
      <w:pPr>
        <w:spacing w:before="280" w:after="280"/>
        <w:jc w:val="both"/>
        <w:rPr>
          <w:rFonts w:ascii="Times New Roman" w:eastAsia="Times New Roman" w:hAnsi="Times New Roman" w:cs="Times New Roman"/>
          <w:b/>
        </w:rPr>
      </w:pPr>
    </w:p>
    <w:p w14:paraId="1144B3B7" w14:textId="77777777" w:rsidR="00B90AA1" w:rsidRDefault="00494976">
      <w:pPr>
        <w:widowControl w:val="0"/>
        <w:numPr>
          <w:ilvl w:val="0"/>
          <w:numId w:val="1"/>
        </w:numPr>
        <w:pBdr>
          <w:top w:val="nil"/>
          <w:left w:val="nil"/>
          <w:bottom w:val="nil"/>
          <w:right w:val="nil"/>
          <w:between w:val="nil"/>
        </w:pBdr>
        <w:spacing w:before="280" w:after="280"/>
        <w:jc w:val="center"/>
        <w:rPr>
          <w:rFonts w:ascii="Arial" w:eastAsia="Arial" w:hAnsi="Arial" w:cs="Arial"/>
          <w:b/>
          <w:color w:val="000000"/>
          <w:sz w:val="22"/>
          <w:szCs w:val="22"/>
        </w:rPr>
      </w:pPr>
      <w:r>
        <w:rPr>
          <w:rFonts w:ascii="Arial" w:eastAsia="Arial" w:hAnsi="Arial" w:cs="Arial"/>
          <w:b/>
          <w:color w:val="000000"/>
          <w:sz w:val="22"/>
          <w:szCs w:val="22"/>
        </w:rPr>
        <w:t>FUNDAMENTOS JURIDICOS</w:t>
      </w:r>
    </w:p>
    <w:p w14:paraId="13AF211D" w14:textId="77777777" w:rsidR="00B90AA1" w:rsidRDefault="00494976">
      <w:pPr>
        <w:spacing w:before="280" w:after="280"/>
        <w:jc w:val="both"/>
        <w:rPr>
          <w:rFonts w:ascii="Arial" w:eastAsia="Arial" w:hAnsi="Arial" w:cs="Arial"/>
        </w:rPr>
      </w:pPr>
      <w:r>
        <w:rPr>
          <w:rFonts w:ascii="Arial" w:eastAsia="Arial" w:hAnsi="Arial" w:cs="Arial"/>
        </w:rPr>
        <w:t>Es pertinente señalar que la prescripción es una institución jurídica de regulación legal, en virtud de la cual se adquieren o extinguen derechos, por haberse agotado el termino fijado por la Ley.</w:t>
      </w:r>
    </w:p>
    <w:p w14:paraId="409620C3" w14:textId="77777777" w:rsidR="00B90AA1" w:rsidRDefault="00494976">
      <w:pPr>
        <w:spacing w:before="280" w:after="280"/>
        <w:jc w:val="both"/>
        <w:rPr>
          <w:rFonts w:ascii="Arial" w:eastAsia="Arial" w:hAnsi="Arial" w:cs="Arial"/>
        </w:rPr>
      </w:pPr>
      <w:r>
        <w:rPr>
          <w:rFonts w:ascii="Arial" w:eastAsia="Arial" w:hAnsi="Arial" w:cs="Arial"/>
        </w:rPr>
        <w:t>La Corte Constitucional en Sentencia C-556 de 2001, al anal</w:t>
      </w:r>
      <w:r>
        <w:rPr>
          <w:rFonts w:ascii="Arial" w:eastAsia="Arial" w:hAnsi="Arial" w:cs="Arial"/>
        </w:rPr>
        <w:t>izar la prescripción la definió como un ''instituto jurídico liberador", que opera por el transcurso del tiempo y cuya consecuencia, no es otra, que la perdida de la facultad sancionatoria por parte del Estado, en este sentido el Alto Tribunal advirtió:</w:t>
      </w:r>
    </w:p>
    <w:p w14:paraId="5A73C0C4" w14:textId="77777777" w:rsidR="00B90AA1" w:rsidRDefault="00494976">
      <w:pPr>
        <w:spacing w:before="1" w:line="244" w:lineRule="auto"/>
        <w:ind w:left="1109" w:right="1243" w:hanging="7"/>
        <w:jc w:val="both"/>
        <w:rPr>
          <w:i/>
          <w:sz w:val="23"/>
          <w:szCs w:val="23"/>
        </w:rPr>
      </w:pPr>
      <w:r>
        <w:rPr>
          <w:i/>
          <w:color w:val="6B6B69"/>
          <w:sz w:val="23"/>
          <w:szCs w:val="23"/>
        </w:rPr>
        <w:t>"L</w:t>
      </w:r>
      <w:r>
        <w:rPr>
          <w:i/>
          <w:color w:val="6B6B69"/>
          <w:sz w:val="23"/>
          <w:szCs w:val="23"/>
        </w:rPr>
        <w:t xml:space="preserve">a </w:t>
      </w:r>
      <w:r>
        <w:rPr>
          <w:i/>
          <w:color w:val="414242"/>
          <w:sz w:val="23"/>
          <w:szCs w:val="23"/>
        </w:rPr>
        <w:t xml:space="preserve">prescripción </w:t>
      </w:r>
      <w:r>
        <w:rPr>
          <w:i/>
          <w:color w:val="565656"/>
          <w:sz w:val="23"/>
          <w:szCs w:val="23"/>
        </w:rPr>
        <w:t xml:space="preserve">de </w:t>
      </w:r>
      <w:r>
        <w:rPr>
          <w:i/>
          <w:color w:val="414242"/>
          <w:sz w:val="23"/>
          <w:szCs w:val="23"/>
        </w:rPr>
        <w:t xml:space="preserve">la </w:t>
      </w:r>
      <w:r>
        <w:rPr>
          <w:i/>
          <w:color w:val="565656"/>
          <w:sz w:val="23"/>
          <w:szCs w:val="23"/>
        </w:rPr>
        <w:t xml:space="preserve">acción es un instituto de </w:t>
      </w:r>
      <w:r>
        <w:rPr>
          <w:i/>
          <w:color w:val="6B6B69"/>
          <w:sz w:val="23"/>
          <w:szCs w:val="23"/>
        </w:rPr>
        <w:t>orde</w:t>
      </w:r>
      <w:r>
        <w:rPr>
          <w:i/>
          <w:color w:val="414242"/>
          <w:sz w:val="23"/>
          <w:szCs w:val="23"/>
        </w:rPr>
        <w:t>n públ</w:t>
      </w:r>
      <w:r>
        <w:rPr>
          <w:i/>
          <w:color w:val="6B6B69"/>
          <w:sz w:val="23"/>
          <w:szCs w:val="23"/>
        </w:rPr>
        <w:t xml:space="preserve">ico, </w:t>
      </w:r>
      <w:r>
        <w:rPr>
          <w:i/>
          <w:color w:val="414242"/>
          <w:sz w:val="23"/>
          <w:szCs w:val="23"/>
        </w:rPr>
        <w:t>p</w:t>
      </w:r>
      <w:r>
        <w:rPr>
          <w:i/>
          <w:color w:val="6B6B69"/>
          <w:sz w:val="23"/>
          <w:szCs w:val="23"/>
        </w:rPr>
        <w:t xml:space="preserve">or </w:t>
      </w:r>
      <w:r>
        <w:rPr>
          <w:i/>
          <w:color w:val="565656"/>
          <w:sz w:val="23"/>
          <w:szCs w:val="23"/>
        </w:rPr>
        <w:t xml:space="preserve">virtud del cual, el </w:t>
      </w:r>
      <w:r>
        <w:rPr>
          <w:i/>
          <w:color w:val="414242"/>
          <w:sz w:val="23"/>
          <w:szCs w:val="23"/>
        </w:rPr>
        <w:t xml:space="preserve">Estado </w:t>
      </w:r>
      <w:r>
        <w:rPr>
          <w:i/>
          <w:color w:val="565656"/>
          <w:sz w:val="23"/>
          <w:szCs w:val="23"/>
        </w:rPr>
        <w:t xml:space="preserve">cesa su potestad punitiva -ius puniendi- por el cumplimiento </w:t>
      </w:r>
      <w:r>
        <w:rPr>
          <w:i/>
          <w:color w:val="414242"/>
          <w:sz w:val="23"/>
          <w:szCs w:val="23"/>
        </w:rPr>
        <w:t xml:space="preserve">del </w:t>
      </w:r>
      <w:proofErr w:type="spellStart"/>
      <w:r>
        <w:rPr>
          <w:i/>
          <w:color w:val="565656"/>
          <w:sz w:val="23"/>
          <w:szCs w:val="23"/>
        </w:rPr>
        <w:t>termino</w:t>
      </w:r>
      <w:proofErr w:type="spellEnd"/>
      <w:r>
        <w:rPr>
          <w:i/>
          <w:color w:val="565656"/>
          <w:sz w:val="23"/>
          <w:szCs w:val="23"/>
        </w:rPr>
        <w:t xml:space="preserve"> </w:t>
      </w:r>
      <w:r>
        <w:rPr>
          <w:i/>
          <w:color w:val="414242"/>
          <w:sz w:val="23"/>
          <w:szCs w:val="23"/>
        </w:rPr>
        <w:t>señalado po</w:t>
      </w:r>
      <w:r>
        <w:rPr>
          <w:i/>
          <w:color w:val="6B6B69"/>
          <w:sz w:val="23"/>
          <w:szCs w:val="23"/>
        </w:rPr>
        <w:t xml:space="preserve">r </w:t>
      </w:r>
      <w:r>
        <w:rPr>
          <w:i/>
          <w:color w:val="565656"/>
          <w:sz w:val="23"/>
          <w:szCs w:val="23"/>
        </w:rPr>
        <w:t xml:space="preserve">la </w:t>
      </w:r>
      <w:r>
        <w:rPr>
          <w:i/>
          <w:color w:val="414242"/>
          <w:sz w:val="23"/>
          <w:szCs w:val="23"/>
        </w:rPr>
        <w:t>Ley"</w:t>
      </w:r>
    </w:p>
    <w:p w14:paraId="25B6F692" w14:textId="77777777" w:rsidR="00B90AA1" w:rsidRDefault="00494976">
      <w:pPr>
        <w:spacing w:before="280" w:after="280"/>
        <w:jc w:val="both"/>
        <w:rPr>
          <w:rFonts w:ascii="Arial" w:eastAsia="Arial" w:hAnsi="Arial" w:cs="Arial"/>
        </w:rPr>
      </w:pPr>
      <w:r>
        <w:rPr>
          <w:rFonts w:ascii="Arial" w:eastAsia="Arial" w:hAnsi="Arial" w:cs="Arial"/>
        </w:rPr>
        <w:t xml:space="preserve">Del texto trascrito, se desprende que, si el Estado dentro del término concedido por la ley, no ejercita su potestad sancionatoria, mediante la expedición de una decisión, </w:t>
      </w:r>
      <w:proofErr w:type="gramStart"/>
      <w:r>
        <w:rPr>
          <w:rFonts w:ascii="Arial" w:eastAsia="Arial" w:hAnsi="Arial" w:cs="Arial"/>
        </w:rPr>
        <w:t>que</w:t>
      </w:r>
      <w:proofErr w:type="gramEnd"/>
      <w:r>
        <w:rPr>
          <w:rFonts w:ascii="Arial" w:eastAsia="Arial" w:hAnsi="Arial" w:cs="Arial"/>
        </w:rPr>
        <w:t xml:space="preserve"> dicho sea de paso, debe estar ejecutoriada antes del vencimiento del término de </w:t>
      </w:r>
      <w:r>
        <w:rPr>
          <w:rFonts w:ascii="Arial" w:eastAsia="Arial" w:hAnsi="Arial" w:cs="Arial"/>
        </w:rPr>
        <w:t>prescripción, pierde la posibilidad de hacerlo, es decir, su facultad decae por expreso mandate legal.</w:t>
      </w:r>
    </w:p>
    <w:p w14:paraId="771E10EF" w14:textId="77777777" w:rsidR="00B90AA1" w:rsidRDefault="00494976">
      <w:pPr>
        <w:spacing w:before="280" w:after="280"/>
        <w:jc w:val="both"/>
        <w:rPr>
          <w:rFonts w:ascii="Arial" w:eastAsia="Arial" w:hAnsi="Arial" w:cs="Arial"/>
        </w:rPr>
      </w:pPr>
      <w:r>
        <w:rPr>
          <w:rFonts w:ascii="Arial" w:eastAsia="Arial" w:hAnsi="Arial" w:cs="Arial"/>
        </w:rPr>
        <w:t>Es de especial importancia, anotar que la figura de la prescripción se produce por el vencimiento del término preclusivo, puede ser alegada por el intere</w:t>
      </w:r>
      <w:r>
        <w:rPr>
          <w:rFonts w:ascii="Arial" w:eastAsia="Arial" w:hAnsi="Arial" w:cs="Arial"/>
        </w:rPr>
        <w:t xml:space="preserve">sado o decretarse de oficio, de acuerdo con el </w:t>
      </w:r>
      <w:proofErr w:type="spellStart"/>
      <w:r>
        <w:rPr>
          <w:rFonts w:ascii="Arial" w:eastAsia="Arial" w:hAnsi="Arial" w:cs="Arial"/>
        </w:rPr>
        <w:t>articulo</w:t>
      </w:r>
      <w:proofErr w:type="spellEnd"/>
      <w:r>
        <w:rPr>
          <w:rFonts w:ascii="Arial" w:eastAsia="Arial" w:hAnsi="Arial" w:cs="Arial"/>
        </w:rPr>
        <w:t xml:space="preserve"> 8 de la Ley 1066 de 2006.</w:t>
      </w:r>
    </w:p>
    <w:p w14:paraId="577C8F1E" w14:textId="77777777" w:rsidR="00B90AA1" w:rsidRDefault="00494976">
      <w:pPr>
        <w:spacing w:before="280" w:after="280"/>
        <w:jc w:val="both"/>
        <w:rPr>
          <w:rFonts w:ascii="Arial" w:eastAsia="Arial" w:hAnsi="Arial" w:cs="Arial"/>
        </w:rPr>
      </w:pPr>
      <w:r>
        <w:rPr>
          <w:rFonts w:ascii="Arial" w:eastAsia="Arial" w:hAnsi="Arial" w:cs="Arial"/>
          <w:noProof/>
        </w:rPr>
        <mc:AlternateContent>
          <mc:Choice Requires="wps">
            <w:drawing>
              <wp:anchor distT="0" distB="0" distL="0" distR="0" simplePos="0" relativeHeight="251658240" behindDoc="0" locked="0" layoutInCell="1" hidden="0" allowOverlap="1" wp14:anchorId="300FD008" wp14:editId="69AC8F8E">
                <wp:simplePos x="0" y="0"/>
                <wp:positionH relativeFrom="page">
                  <wp:posOffset>7743289</wp:posOffset>
                </wp:positionH>
                <wp:positionV relativeFrom="page">
                  <wp:posOffset>6239398</wp:posOffset>
                </wp:positionV>
                <wp:extent cx="1270" cy="3797935"/>
                <wp:effectExtent l="0" t="0" r="0" b="0"/>
                <wp:wrapNone/>
                <wp:docPr id="35" name="Forma libre: forma 35"/>
                <wp:cNvGraphicFramePr/>
                <a:graphic xmlns:a="http://schemas.openxmlformats.org/drawingml/2006/main">
                  <a:graphicData uri="http://schemas.microsoft.com/office/word/2010/wordprocessingShape">
                    <wps:wsp>
                      <wps:cNvSpPr/>
                      <wps:spPr>
                        <a:xfrm>
                          <a:off x="5345365" y="1881033"/>
                          <a:ext cx="1270" cy="3797935"/>
                        </a:xfrm>
                        <a:custGeom>
                          <a:avLst/>
                          <a:gdLst/>
                          <a:ahLst/>
                          <a:cxnLst/>
                          <a:rect l="l" t="t" r="r" b="b"/>
                          <a:pathLst>
                            <a:path w="120000" h="3797935" extrusionOk="0">
                              <a:moveTo>
                                <a:pt x="0" y="3797768"/>
                              </a:moveTo>
                              <a:lnTo>
                                <a:pt x="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page">
                  <wp:posOffset>7743289</wp:posOffset>
                </wp:positionH>
                <wp:positionV relativeFrom="page">
                  <wp:posOffset>6239398</wp:posOffset>
                </wp:positionV>
                <wp:extent cx="1270" cy="3797935"/>
                <wp:effectExtent b="0" l="0" r="0" t="0"/>
                <wp:wrapNone/>
                <wp:docPr id="35"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1270" cy="3797935"/>
                        </a:xfrm>
                        <a:prstGeom prst="rect"/>
                        <a:ln/>
                      </pic:spPr>
                    </pic:pic>
                  </a:graphicData>
                </a:graphic>
              </wp:anchor>
            </w:drawing>
          </mc:Fallback>
        </mc:AlternateContent>
      </w:r>
      <w:r>
        <w:rPr>
          <w:rFonts w:ascii="Arial" w:eastAsia="Arial" w:hAnsi="Arial" w:cs="Arial"/>
        </w:rPr>
        <w:t xml:space="preserve">El fenómeno de la prescripción tiene </w:t>
      </w:r>
      <w:proofErr w:type="spellStart"/>
      <w:r>
        <w:rPr>
          <w:rFonts w:ascii="Arial" w:eastAsia="Arial" w:hAnsi="Arial" w:cs="Arial"/>
        </w:rPr>
        <w:t>operancia</w:t>
      </w:r>
      <w:proofErr w:type="spellEnd"/>
      <w:r>
        <w:rPr>
          <w:rFonts w:ascii="Arial" w:eastAsia="Arial" w:hAnsi="Arial" w:cs="Arial"/>
        </w:rPr>
        <w:t xml:space="preserve"> en materia de ejecución de las sanciones que se impongan por violación de las normas de tránsito, cuando la administración rep</w:t>
      </w:r>
      <w:r>
        <w:rPr>
          <w:rFonts w:ascii="Arial" w:eastAsia="Arial" w:hAnsi="Arial" w:cs="Arial"/>
        </w:rPr>
        <w:t>resentada por los organismos de tránsito deja vencer el plazo señalado por el legislador sin haber iniciado el proceso coactivo, el cual se entiende surtido cuando se dicta el mandamiento de pago.</w:t>
      </w:r>
    </w:p>
    <w:p w14:paraId="608B5A1F" w14:textId="77777777" w:rsidR="00B90AA1" w:rsidRDefault="00494976">
      <w:pPr>
        <w:spacing w:before="280" w:after="280"/>
        <w:jc w:val="both"/>
        <w:rPr>
          <w:rFonts w:ascii="Arial" w:eastAsia="Arial" w:hAnsi="Arial" w:cs="Arial"/>
        </w:rPr>
      </w:pPr>
      <w:r>
        <w:rPr>
          <w:rFonts w:ascii="Arial" w:eastAsia="Arial" w:hAnsi="Arial" w:cs="Arial"/>
        </w:rPr>
        <w:t xml:space="preserve">El </w:t>
      </w:r>
      <w:proofErr w:type="spellStart"/>
      <w:r>
        <w:rPr>
          <w:rFonts w:ascii="Arial" w:eastAsia="Arial" w:hAnsi="Arial" w:cs="Arial"/>
        </w:rPr>
        <w:t>articulo</w:t>
      </w:r>
      <w:proofErr w:type="spellEnd"/>
      <w:r>
        <w:rPr>
          <w:rFonts w:ascii="Arial" w:eastAsia="Arial" w:hAnsi="Arial" w:cs="Arial"/>
        </w:rPr>
        <w:t xml:space="preserve"> 159 de la Ley 769 de 2002, modificado por el </w:t>
      </w:r>
      <w:proofErr w:type="spellStart"/>
      <w:r>
        <w:rPr>
          <w:rFonts w:ascii="Arial" w:eastAsia="Arial" w:hAnsi="Arial" w:cs="Arial"/>
        </w:rPr>
        <w:t>ar</w:t>
      </w:r>
      <w:r>
        <w:rPr>
          <w:rFonts w:ascii="Arial" w:eastAsia="Arial" w:hAnsi="Arial" w:cs="Arial"/>
        </w:rPr>
        <w:t>ticulo</w:t>
      </w:r>
      <w:proofErr w:type="spellEnd"/>
      <w:r>
        <w:rPr>
          <w:rFonts w:ascii="Arial" w:eastAsia="Arial" w:hAnsi="Arial" w:cs="Arial"/>
        </w:rPr>
        <w:t xml:space="preserve"> 26 de la Ley 1383 de 2010 faculta a las autoridades de tránsito de la jurisdicción donde se cometió el hecho generador de sanciones por violación a las normas de tránsito a adelantar el procedimiento respectivo para hacer efectivo el cobro de dichas</w:t>
      </w:r>
      <w:r>
        <w:rPr>
          <w:rFonts w:ascii="Arial" w:eastAsia="Arial" w:hAnsi="Arial" w:cs="Arial"/>
        </w:rPr>
        <w:t xml:space="preserve"> sanciones, invistiéndolas de jurisdicción coactiva para el efecto. Señala igualmente esta disposición que el termino de prescripción es de tres (3) años, contados a partir de la ocurrencia del hecho.</w:t>
      </w:r>
    </w:p>
    <w:p w14:paraId="5D0D4A80" w14:textId="77777777" w:rsidR="00B90AA1" w:rsidRDefault="00494976">
      <w:pPr>
        <w:spacing w:before="280" w:after="280"/>
        <w:jc w:val="both"/>
        <w:rPr>
          <w:rFonts w:ascii="Arial" w:eastAsia="Arial" w:hAnsi="Arial" w:cs="Arial"/>
        </w:rPr>
      </w:pPr>
      <w:r>
        <w:rPr>
          <w:rFonts w:ascii="Arial" w:eastAsia="Arial" w:hAnsi="Arial" w:cs="Arial"/>
        </w:rPr>
        <w:t>En ese orden de ideas, la prescripción en materia de tr</w:t>
      </w:r>
      <w:r>
        <w:rPr>
          <w:rFonts w:ascii="Arial" w:eastAsia="Arial" w:hAnsi="Arial" w:cs="Arial"/>
        </w:rPr>
        <w:t>ánsito se presenta cuando la administración no inicia el proceso de jurisdicción coactiva dentro de los tres (3) años contados a partir de la ocurrencia del hecho1, el cual se entiende interrumpido cuando se dicta mandamiento de pago•</w:t>
      </w:r>
    </w:p>
    <w:p w14:paraId="61EFF846" w14:textId="77777777" w:rsidR="00B90AA1" w:rsidRDefault="00494976">
      <w:pPr>
        <w:spacing w:before="280" w:after="280"/>
        <w:jc w:val="both"/>
        <w:rPr>
          <w:rFonts w:ascii="Arial" w:eastAsia="Arial" w:hAnsi="Arial" w:cs="Arial"/>
        </w:rPr>
      </w:pPr>
      <w:r>
        <w:rPr>
          <w:rFonts w:ascii="Arial" w:eastAsia="Arial" w:hAnsi="Arial" w:cs="Arial"/>
        </w:rPr>
        <w:lastRenderedPageBreak/>
        <w:t>La prescripción puede</w:t>
      </w:r>
      <w:r>
        <w:rPr>
          <w:rFonts w:ascii="Arial" w:eastAsia="Arial" w:hAnsi="Arial" w:cs="Arial"/>
        </w:rPr>
        <w:t xml:space="preserve"> ser alegada por el interesado o decretarse de oficio.</w:t>
      </w:r>
    </w:p>
    <w:p w14:paraId="4E148539" w14:textId="77777777" w:rsidR="00B90AA1" w:rsidRDefault="00494976">
      <w:pPr>
        <w:spacing w:before="280" w:after="280"/>
        <w:jc w:val="both"/>
        <w:rPr>
          <w:rFonts w:ascii="Arial" w:eastAsia="Arial" w:hAnsi="Arial" w:cs="Arial"/>
        </w:rPr>
      </w:pPr>
      <w:r>
        <w:rPr>
          <w:rFonts w:ascii="Arial" w:eastAsia="Arial" w:hAnsi="Arial" w:cs="Arial"/>
        </w:rPr>
        <w:t xml:space="preserve">Por expresa disposición del </w:t>
      </w:r>
      <w:proofErr w:type="spellStart"/>
      <w:r>
        <w:rPr>
          <w:rFonts w:ascii="Arial" w:eastAsia="Arial" w:hAnsi="Arial" w:cs="Arial"/>
        </w:rPr>
        <w:t>articulo</w:t>
      </w:r>
      <w:proofErr w:type="spellEnd"/>
      <w:r>
        <w:rPr>
          <w:rFonts w:ascii="Arial" w:eastAsia="Arial" w:hAnsi="Arial" w:cs="Arial"/>
        </w:rPr>
        <w:t xml:space="preserve"> 50 de la Ley 1066 de 2.0063 las normas que regulan el procedimiento de cobro coactivo que deben adelantar las autoridades públicas investidas de jurisdicción coacti</w:t>
      </w:r>
      <w:r>
        <w:rPr>
          <w:rFonts w:ascii="Arial" w:eastAsia="Arial" w:hAnsi="Arial" w:cs="Arial"/>
        </w:rPr>
        <w:t>va es el regulado en el Estatuto Tributario -Decreto 624 de 1.989-. En este sentido dispone la Ley 1066 de 2006:</w:t>
      </w:r>
    </w:p>
    <w:p w14:paraId="0447B5DA" w14:textId="77777777" w:rsidR="00B90AA1" w:rsidRDefault="00494976">
      <w:pPr>
        <w:spacing w:before="188" w:line="242" w:lineRule="auto"/>
        <w:ind w:left="1098" w:right="1250" w:hanging="35"/>
        <w:jc w:val="both"/>
        <w:rPr>
          <w:i/>
          <w:color w:val="565656"/>
          <w:sz w:val="23"/>
          <w:szCs w:val="23"/>
        </w:rPr>
      </w:pPr>
      <w:r>
        <w:rPr>
          <w:b/>
          <w:i/>
          <w:color w:val="777775"/>
          <w:sz w:val="23"/>
          <w:szCs w:val="23"/>
        </w:rPr>
        <w:t>"</w:t>
      </w:r>
      <w:proofErr w:type="spellStart"/>
      <w:r>
        <w:rPr>
          <w:b/>
          <w:i/>
          <w:color w:val="3F3F3F"/>
          <w:sz w:val="23"/>
          <w:szCs w:val="23"/>
        </w:rPr>
        <w:t>Articulo</w:t>
      </w:r>
      <w:proofErr w:type="spellEnd"/>
      <w:r>
        <w:rPr>
          <w:b/>
          <w:i/>
          <w:color w:val="3F3F3F"/>
          <w:sz w:val="23"/>
          <w:szCs w:val="23"/>
        </w:rPr>
        <w:t xml:space="preserve"> 5o. Facultad de cobro coactivo </w:t>
      </w:r>
      <w:r>
        <w:rPr>
          <w:rFonts w:ascii="Times New Roman" w:eastAsia="Times New Roman" w:hAnsi="Times New Roman" w:cs="Times New Roman"/>
          <w:b/>
          <w:i/>
          <w:color w:val="3F3F3F"/>
          <w:sz w:val="25"/>
          <w:szCs w:val="25"/>
        </w:rPr>
        <w:t xml:space="preserve">y </w:t>
      </w:r>
      <w:r>
        <w:rPr>
          <w:b/>
          <w:i/>
          <w:color w:val="3F3F3F"/>
          <w:sz w:val="23"/>
          <w:szCs w:val="23"/>
        </w:rPr>
        <w:t>procedimiento para las entidades públicas</w:t>
      </w:r>
      <w:r>
        <w:rPr>
          <w:b/>
          <w:i/>
          <w:color w:val="777775"/>
          <w:sz w:val="23"/>
          <w:szCs w:val="23"/>
        </w:rPr>
        <w:t xml:space="preserve">. </w:t>
      </w:r>
      <w:r>
        <w:rPr>
          <w:i/>
          <w:color w:val="565656"/>
          <w:sz w:val="23"/>
          <w:szCs w:val="23"/>
        </w:rPr>
        <w:t>Las entidades públicas que de manera permanente tengan a su cargo el ejercicio de las actividades y funciones administrativas o la prestación de servicios del Estado colombiano y que en virtud de estas tengan que recaudar rentas o caudales públicas, del ni</w:t>
      </w:r>
      <w:r>
        <w:rPr>
          <w:i/>
          <w:color w:val="565656"/>
          <w:sz w:val="23"/>
          <w:szCs w:val="23"/>
        </w:rPr>
        <w:t>vel nacional, territorial, incluidos los órganos autónomos y entidades con régimen especial otorgada por la Constitución Política, tienen jurisdicción coactiva para hacer efectivas las obligaciones exigibles a su favor y, para estos efectos, deberán seguir</w:t>
      </w:r>
      <w:r>
        <w:rPr>
          <w:i/>
          <w:color w:val="565656"/>
          <w:sz w:val="23"/>
          <w:szCs w:val="23"/>
        </w:rPr>
        <w:t xml:space="preserve"> el procedimiento descrito en el Estatuto Tributario.</w:t>
      </w:r>
    </w:p>
    <w:p w14:paraId="4E180D03" w14:textId="77777777" w:rsidR="00B90AA1" w:rsidRDefault="00494976">
      <w:pPr>
        <w:spacing w:before="231" w:line="242" w:lineRule="auto"/>
        <w:ind w:left="1098" w:right="1236" w:firstLine="10"/>
        <w:jc w:val="both"/>
        <w:rPr>
          <w:i/>
          <w:color w:val="565656"/>
          <w:sz w:val="23"/>
          <w:szCs w:val="23"/>
        </w:rPr>
      </w:pPr>
      <w:r>
        <w:rPr>
          <w:b/>
          <w:i/>
          <w:color w:val="3F3F3F"/>
          <w:sz w:val="23"/>
          <w:szCs w:val="23"/>
        </w:rPr>
        <w:t xml:space="preserve">Parágrafo 1o. </w:t>
      </w:r>
      <w:r>
        <w:rPr>
          <w:i/>
          <w:color w:val="565656"/>
          <w:sz w:val="23"/>
          <w:szCs w:val="23"/>
        </w:rPr>
        <w:t>Se excluyen del campo de aplicación de la presente ley las deudas generadas en contratos de mutua o aquellas derivadas de obligaciones civiles o comerciales en las que las entidades indica</w:t>
      </w:r>
      <w:r>
        <w:rPr>
          <w:i/>
          <w:color w:val="565656"/>
          <w:sz w:val="23"/>
          <w:szCs w:val="23"/>
        </w:rPr>
        <w:t xml:space="preserve">das en este artículo desarrollan una actividad de cobranza similar o igual a las particulares, en desarrollo del régimen privado que se aplica al giro principal de sus negocios, cuando dicho régimen este consagrado en la ley o en los estatutos sociales de </w:t>
      </w:r>
      <w:r>
        <w:rPr>
          <w:i/>
          <w:color w:val="565656"/>
          <w:sz w:val="23"/>
          <w:szCs w:val="23"/>
        </w:rPr>
        <w:t>la sociedad.</w:t>
      </w:r>
    </w:p>
    <w:p w14:paraId="0BB81B5D" w14:textId="77777777" w:rsidR="00B90AA1" w:rsidRDefault="00494976">
      <w:pPr>
        <w:spacing w:before="93" w:line="244" w:lineRule="auto"/>
        <w:ind w:left="1099" w:right="1246" w:firstLine="9"/>
        <w:jc w:val="both"/>
        <w:rPr>
          <w:i/>
          <w:color w:val="565656"/>
          <w:sz w:val="23"/>
          <w:szCs w:val="23"/>
        </w:rPr>
      </w:pPr>
      <w:r>
        <w:rPr>
          <w:b/>
          <w:i/>
          <w:color w:val="414242"/>
          <w:sz w:val="23"/>
          <w:szCs w:val="23"/>
        </w:rPr>
        <w:t xml:space="preserve">Parágrafo 2o. </w:t>
      </w:r>
      <w:r>
        <w:rPr>
          <w:i/>
          <w:color w:val="565656"/>
          <w:sz w:val="23"/>
          <w:szCs w:val="23"/>
        </w:rPr>
        <w:t>Los representantes legales de las entidades a que hace referencia el presente artículo, para efectos de dar por terminados los procesos de cobro coactivo y proceder a su archivo, quedan facultados para dar aplicación a los inciso</w:t>
      </w:r>
      <w:r>
        <w:rPr>
          <w:i/>
          <w:color w:val="565656"/>
          <w:sz w:val="23"/>
          <w:szCs w:val="23"/>
        </w:rPr>
        <w:t>s 1o y 2o del artículo 820 del Estatuto Tributario.</w:t>
      </w:r>
    </w:p>
    <w:p w14:paraId="30FE6826" w14:textId="77777777" w:rsidR="00B90AA1" w:rsidRDefault="00494976">
      <w:pPr>
        <w:spacing w:before="93" w:line="244" w:lineRule="auto"/>
        <w:ind w:left="1099" w:right="1246" w:firstLine="9"/>
        <w:jc w:val="both"/>
        <w:rPr>
          <w:i/>
          <w:color w:val="565656"/>
          <w:sz w:val="23"/>
          <w:szCs w:val="23"/>
        </w:rPr>
      </w:pPr>
      <w:r>
        <w:rPr>
          <w:b/>
          <w:i/>
          <w:color w:val="414242"/>
          <w:sz w:val="23"/>
          <w:szCs w:val="23"/>
        </w:rPr>
        <w:t xml:space="preserve">Parágrafo 3o. </w:t>
      </w:r>
      <w:r>
        <w:rPr>
          <w:i/>
          <w:color w:val="565656"/>
          <w:sz w:val="23"/>
          <w:szCs w:val="23"/>
        </w:rPr>
        <w:t>Las Administradoras de Régimen de Prima Media con Prestación Definida seguirán ejerciendo la facultad de cobro coactivo que les fue otorgada por la Ley 100 de 1993 y normas reglamentarias."</w:t>
      </w:r>
    </w:p>
    <w:p w14:paraId="2AEE3779" w14:textId="77777777" w:rsidR="00B90AA1" w:rsidRDefault="00494976">
      <w:pPr>
        <w:spacing w:before="280" w:after="280"/>
        <w:jc w:val="both"/>
        <w:rPr>
          <w:rFonts w:ascii="Arial" w:eastAsia="Arial" w:hAnsi="Arial" w:cs="Arial"/>
        </w:rPr>
      </w:pPr>
      <w:r>
        <w:rPr>
          <w:rFonts w:ascii="Arial" w:eastAsia="Arial" w:hAnsi="Arial" w:cs="Arial"/>
        </w:rPr>
        <w:t>Esta misma norma que modifica el Estatuto Tributario consagra la oficiosidad de la prescripción en los procedimientos de cobro de obligaciones a favor del Estado al señalar:</w:t>
      </w:r>
    </w:p>
    <w:p w14:paraId="0FD2E33E" w14:textId="77777777" w:rsidR="00B90AA1" w:rsidRDefault="00494976">
      <w:pPr>
        <w:spacing w:before="1" w:line="232" w:lineRule="auto"/>
        <w:ind w:left="1099" w:right="1251"/>
        <w:jc w:val="both"/>
        <w:rPr>
          <w:i/>
          <w:sz w:val="23"/>
          <w:szCs w:val="23"/>
        </w:rPr>
      </w:pPr>
      <w:r>
        <w:rPr>
          <w:b/>
          <w:i/>
          <w:color w:val="545654"/>
          <w:sz w:val="23"/>
          <w:szCs w:val="23"/>
        </w:rPr>
        <w:t xml:space="preserve">"Articulo </w:t>
      </w:r>
      <w:r>
        <w:rPr>
          <w:b/>
          <w:i/>
          <w:color w:val="414242"/>
          <w:sz w:val="23"/>
          <w:szCs w:val="23"/>
        </w:rPr>
        <w:t xml:space="preserve">8. </w:t>
      </w:r>
      <w:r>
        <w:rPr>
          <w:i/>
          <w:color w:val="565656"/>
          <w:sz w:val="23"/>
          <w:szCs w:val="23"/>
        </w:rPr>
        <w:t>Modifíquese el inciso 2° del artículo 817 del Estatuto Tributario, el</w:t>
      </w:r>
      <w:r>
        <w:rPr>
          <w:i/>
          <w:color w:val="565656"/>
          <w:sz w:val="23"/>
          <w:szCs w:val="23"/>
        </w:rPr>
        <w:t xml:space="preserve"> cual queda así: "La competencia para decretar la prescripción de la acción de cobra será de los Administradores de impuestos o de impuestos y Aduanas Nacionales respectivos, y será decretada de oficio o a petición de parte".</w:t>
      </w:r>
    </w:p>
    <w:p w14:paraId="28648389" w14:textId="77777777" w:rsidR="00B90AA1" w:rsidRDefault="00494976">
      <w:pPr>
        <w:spacing w:before="221"/>
        <w:ind w:left="1092"/>
        <w:jc w:val="both"/>
        <w:rPr>
          <w:i/>
          <w:sz w:val="23"/>
          <w:szCs w:val="23"/>
        </w:rPr>
      </w:pPr>
      <w:r>
        <w:rPr>
          <w:i/>
          <w:color w:val="545654"/>
          <w:sz w:val="23"/>
          <w:szCs w:val="23"/>
        </w:rPr>
        <w:t>(</w:t>
      </w:r>
      <w:r>
        <w:rPr>
          <w:rFonts w:ascii="Times New Roman" w:eastAsia="Times New Roman" w:hAnsi="Times New Roman" w:cs="Times New Roman"/>
          <w:i/>
          <w:color w:val="6D6D6D"/>
          <w:sz w:val="22"/>
          <w:szCs w:val="22"/>
        </w:rPr>
        <w:t>..</w:t>
      </w:r>
      <w:r>
        <w:rPr>
          <w:i/>
          <w:color w:val="545654"/>
          <w:sz w:val="23"/>
          <w:szCs w:val="23"/>
        </w:rPr>
        <w:t>.)</w:t>
      </w:r>
    </w:p>
    <w:p w14:paraId="3316F995" w14:textId="77777777" w:rsidR="00B90AA1" w:rsidRDefault="00B90AA1">
      <w:pPr>
        <w:widowControl w:val="0"/>
        <w:pBdr>
          <w:top w:val="nil"/>
          <w:left w:val="nil"/>
          <w:bottom w:val="nil"/>
          <w:right w:val="nil"/>
          <w:between w:val="nil"/>
        </w:pBdr>
        <w:spacing w:before="10"/>
        <w:jc w:val="both"/>
        <w:rPr>
          <w:rFonts w:ascii="Arial" w:eastAsia="Arial" w:hAnsi="Arial" w:cs="Arial"/>
          <w:i/>
          <w:color w:val="000000"/>
          <w:sz w:val="20"/>
          <w:szCs w:val="20"/>
        </w:rPr>
      </w:pPr>
    </w:p>
    <w:p w14:paraId="1371A8AA" w14:textId="77777777" w:rsidR="00B90AA1" w:rsidRDefault="00494976">
      <w:pPr>
        <w:spacing w:line="244" w:lineRule="auto"/>
        <w:ind w:left="1099" w:right="1235" w:firstLine="7"/>
        <w:jc w:val="both"/>
        <w:rPr>
          <w:i/>
          <w:sz w:val="23"/>
          <w:szCs w:val="23"/>
        </w:rPr>
      </w:pPr>
      <w:r>
        <w:rPr>
          <w:b/>
          <w:i/>
          <w:color w:val="414242"/>
          <w:sz w:val="23"/>
          <w:szCs w:val="23"/>
        </w:rPr>
        <w:lastRenderedPageBreak/>
        <w:t xml:space="preserve">Artículo 17. </w:t>
      </w:r>
      <w:r>
        <w:rPr>
          <w:i/>
          <w:color w:val="565656"/>
          <w:sz w:val="23"/>
          <w:szCs w:val="23"/>
        </w:rPr>
        <w:t>Lo establecido en los artículos 8° y 9° de la presente ley para la DIAN, se aplicará también a los procesos administrativos de cobro que adelanten otras entidades públicas. Para estos efectos, es competente para decretar la prescripción de oficio el jefe d</w:t>
      </w:r>
      <w:r>
        <w:rPr>
          <w:i/>
          <w:color w:val="565656"/>
          <w:sz w:val="23"/>
          <w:szCs w:val="23"/>
        </w:rPr>
        <w:t>e la respectiva entidad".</w:t>
      </w:r>
    </w:p>
    <w:p w14:paraId="0A604BF1" w14:textId="77777777" w:rsidR="00B90AA1" w:rsidRDefault="00494976">
      <w:pPr>
        <w:spacing w:before="280" w:after="280"/>
        <w:jc w:val="both"/>
        <w:rPr>
          <w:rFonts w:ascii="Arial" w:eastAsia="Arial" w:hAnsi="Arial" w:cs="Arial"/>
        </w:rPr>
      </w:pPr>
      <w:r>
        <w:rPr>
          <w:rFonts w:ascii="Arial" w:eastAsia="Arial" w:hAnsi="Arial" w:cs="Arial"/>
        </w:rPr>
        <w:t>De otra parte, el artículo 134 del Código Nacional de Tránsito asigna la competencia para conocer de las contravenciones a las disposiciones de tránsito a los organismos de tránsito de las diferentes jurisdicciones del país, al di</w:t>
      </w:r>
      <w:r>
        <w:rPr>
          <w:rFonts w:ascii="Arial" w:eastAsia="Arial" w:hAnsi="Arial" w:cs="Arial"/>
        </w:rPr>
        <w:t>sponer:</w:t>
      </w:r>
    </w:p>
    <w:p w14:paraId="2B4E0949" w14:textId="77777777" w:rsidR="00B90AA1" w:rsidRDefault="00494976">
      <w:pPr>
        <w:spacing w:line="242" w:lineRule="auto"/>
        <w:ind w:left="1096" w:right="1245"/>
        <w:jc w:val="both"/>
        <w:rPr>
          <w:sz w:val="23"/>
          <w:szCs w:val="23"/>
        </w:rPr>
      </w:pPr>
      <w:r>
        <w:rPr>
          <w:b/>
          <w:i/>
          <w:color w:val="6D6D6D"/>
          <w:sz w:val="23"/>
          <w:szCs w:val="23"/>
        </w:rPr>
        <w:t>"</w:t>
      </w:r>
      <w:r>
        <w:rPr>
          <w:b/>
          <w:i/>
          <w:color w:val="414242"/>
          <w:sz w:val="23"/>
          <w:szCs w:val="23"/>
        </w:rPr>
        <w:t>Artículo 134</w:t>
      </w:r>
      <w:r>
        <w:rPr>
          <w:b/>
          <w:i/>
          <w:color w:val="6D6D6D"/>
          <w:sz w:val="23"/>
          <w:szCs w:val="23"/>
        </w:rPr>
        <w:t xml:space="preserve">. </w:t>
      </w:r>
      <w:r>
        <w:rPr>
          <w:b/>
          <w:i/>
          <w:color w:val="414242"/>
          <w:sz w:val="23"/>
          <w:szCs w:val="23"/>
        </w:rPr>
        <w:t xml:space="preserve">Jurisdicción </w:t>
      </w:r>
      <w:r>
        <w:rPr>
          <w:rFonts w:ascii="Times New Roman" w:eastAsia="Times New Roman" w:hAnsi="Times New Roman" w:cs="Times New Roman"/>
          <w:b/>
          <w:i/>
          <w:color w:val="414242"/>
          <w:sz w:val="25"/>
          <w:szCs w:val="25"/>
        </w:rPr>
        <w:t xml:space="preserve">y </w:t>
      </w:r>
      <w:r>
        <w:rPr>
          <w:b/>
          <w:i/>
          <w:color w:val="414242"/>
          <w:sz w:val="23"/>
          <w:szCs w:val="23"/>
        </w:rPr>
        <w:t xml:space="preserve">competencia. </w:t>
      </w:r>
      <w:r>
        <w:rPr>
          <w:b/>
          <w:i/>
          <w:color w:val="414242"/>
          <w:sz w:val="23"/>
          <w:szCs w:val="23"/>
          <w:u w:val="single"/>
        </w:rPr>
        <w:t>Los organismos de tránsito</w:t>
      </w:r>
      <w:r>
        <w:rPr>
          <w:b/>
          <w:i/>
          <w:color w:val="414242"/>
          <w:sz w:val="23"/>
          <w:szCs w:val="23"/>
        </w:rPr>
        <w:t xml:space="preserve"> </w:t>
      </w:r>
      <w:r>
        <w:rPr>
          <w:b/>
          <w:i/>
          <w:color w:val="414242"/>
          <w:sz w:val="23"/>
          <w:szCs w:val="23"/>
          <w:u w:val="single"/>
        </w:rPr>
        <w:t>conocerán de las faltas ocurridas dentro del territorio de su jurisdicción</w:t>
      </w:r>
      <w:r>
        <w:rPr>
          <w:b/>
          <w:i/>
          <w:color w:val="6D6D6D"/>
          <w:sz w:val="23"/>
          <w:szCs w:val="23"/>
        </w:rPr>
        <w:t xml:space="preserve">, </w:t>
      </w:r>
      <w:r>
        <w:rPr>
          <w:i/>
          <w:color w:val="545654"/>
          <w:sz w:val="23"/>
          <w:szCs w:val="23"/>
        </w:rPr>
        <w:t xml:space="preserve">así:  </w:t>
      </w:r>
      <w:r>
        <w:rPr>
          <w:i/>
          <w:color w:val="565656"/>
          <w:sz w:val="23"/>
          <w:szCs w:val="23"/>
        </w:rPr>
        <w:t>Las inspecciones de tránsito o quienes hagan sus veces en única instancia de las infracciones sa</w:t>
      </w:r>
      <w:r>
        <w:rPr>
          <w:i/>
          <w:color w:val="565656"/>
          <w:sz w:val="23"/>
          <w:szCs w:val="23"/>
        </w:rPr>
        <w:t>ncionadas con multas de hasta veinte (20) salarios, y en primera instancia de las infracciones sancionadas con multas superiores a veinte (20) salarios mínimos diarios legales vigentes o las sancionadas con suspensión o cancelación de la licencia para cond</w:t>
      </w:r>
      <w:r>
        <w:rPr>
          <w:i/>
          <w:color w:val="565656"/>
          <w:sz w:val="23"/>
          <w:szCs w:val="23"/>
        </w:rPr>
        <w:t>ucir, siendo la segunda instancia su superior jerárquico." El destacado se encuentra fuera del texto original.</w:t>
      </w:r>
    </w:p>
    <w:p w14:paraId="6BC6F9DA" w14:textId="77777777" w:rsidR="00B90AA1" w:rsidRDefault="00494976">
      <w:pPr>
        <w:spacing w:before="280" w:after="280"/>
        <w:jc w:val="both"/>
        <w:rPr>
          <w:rFonts w:ascii="Arial" w:eastAsia="Arial" w:hAnsi="Arial" w:cs="Arial"/>
        </w:rPr>
      </w:pPr>
      <w:r>
        <w:rPr>
          <w:rFonts w:ascii="Arial" w:eastAsia="Arial" w:hAnsi="Arial" w:cs="Arial"/>
        </w:rPr>
        <w:t>Consecuencialmente el artículo 135 del mismo código, modificado por el artículo 22 de la Ley 1383 de 2010 señala el procedimiento ante la comisió</w:t>
      </w:r>
      <w:r>
        <w:rPr>
          <w:rFonts w:ascii="Arial" w:eastAsia="Arial" w:hAnsi="Arial" w:cs="Arial"/>
        </w:rPr>
        <w:t>n de una contravención a las normas de tránsito, indicando que, una vez elaborado el comparendo debe remitirse a la autoridad competente de acuerdo con las competencias establecidas en el artículo 134 transcrito, que en el caso de las infracciones ocurrida</w:t>
      </w:r>
      <w:r>
        <w:rPr>
          <w:rFonts w:ascii="Arial" w:eastAsia="Arial" w:hAnsi="Arial" w:cs="Arial"/>
        </w:rPr>
        <w:t>s en la jurisdicción municipal, es el organismo de tránsito municipal y en el evento que no exista, ni tenga sede el departamental, el alcalde municipal podrá designarlo.</w:t>
      </w:r>
    </w:p>
    <w:p w14:paraId="4B6C1336" w14:textId="77777777" w:rsidR="00B90AA1" w:rsidRDefault="00494976">
      <w:pPr>
        <w:spacing w:before="280" w:after="280"/>
        <w:jc w:val="both"/>
        <w:rPr>
          <w:rFonts w:ascii="Arial" w:eastAsia="Arial" w:hAnsi="Arial" w:cs="Arial"/>
        </w:rPr>
      </w:pPr>
      <w:r>
        <w:rPr>
          <w:rFonts w:ascii="Arial" w:eastAsia="Arial" w:hAnsi="Arial" w:cs="Arial"/>
          <w:noProof/>
        </w:rPr>
        <mc:AlternateContent>
          <mc:Choice Requires="wpg">
            <w:drawing>
              <wp:anchor distT="0" distB="0" distL="0" distR="0" simplePos="0" relativeHeight="251659264" behindDoc="0" locked="0" layoutInCell="1" hidden="0" allowOverlap="1" wp14:anchorId="1C0C33D3" wp14:editId="1B2CD516">
                <wp:simplePos x="0" y="0"/>
                <wp:positionH relativeFrom="page">
                  <wp:posOffset>7747348</wp:posOffset>
                </wp:positionH>
                <wp:positionV relativeFrom="page">
                  <wp:posOffset>3967150</wp:posOffset>
                </wp:positionV>
                <wp:extent cx="6985" cy="6070600"/>
                <wp:effectExtent l="0" t="0" r="0" b="0"/>
                <wp:wrapNone/>
                <wp:docPr id="34" name="Grupo 34"/>
                <wp:cNvGraphicFramePr/>
                <a:graphic xmlns:a="http://schemas.openxmlformats.org/drawingml/2006/main">
                  <a:graphicData uri="http://schemas.microsoft.com/office/word/2010/wordprocessingGroup">
                    <wpg:wgp>
                      <wpg:cNvGrpSpPr/>
                      <wpg:grpSpPr>
                        <a:xfrm>
                          <a:off x="0" y="0"/>
                          <a:ext cx="6985" cy="6070600"/>
                          <a:chOff x="5340025" y="744700"/>
                          <a:chExt cx="14125" cy="6070600"/>
                        </a:xfrm>
                      </wpg:grpSpPr>
                      <wpg:grpSp>
                        <wpg:cNvPr id="2" name="Grupo 2"/>
                        <wpg:cNvGrpSpPr/>
                        <wpg:grpSpPr>
                          <a:xfrm>
                            <a:off x="5342508" y="744700"/>
                            <a:ext cx="8144" cy="6070600"/>
                            <a:chOff x="0" y="0"/>
                            <a:chExt cx="8144" cy="6070600"/>
                          </a:xfrm>
                        </wpg:grpSpPr>
                        <wps:wsp>
                          <wps:cNvPr id="3" name="Rectángulo 3"/>
                          <wps:cNvSpPr/>
                          <wps:spPr>
                            <a:xfrm>
                              <a:off x="0" y="0"/>
                              <a:ext cx="6975" cy="6070600"/>
                            </a:xfrm>
                            <a:prstGeom prst="rect">
                              <a:avLst/>
                            </a:prstGeom>
                            <a:noFill/>
                            <a:ln>
                              <a:noFill/>
                            </a:ln>
                          </wps:spPr>
                          <wps:txbx>
                            <w:txbxContent>
                              <w:p w14:paraId="37943E68" w14:textId="77777777" w:rsidR="00B90AA1" w:rsidRDefault="00B90AA1">
                                <w:pPr>
                                  <w:textDirection w:val="btLr"/>
                                </w:pPr>
                              </w:p>
                            </w:txbxContent>
                          </wps:txbx>
                          <wps:bodyPr spcFirstLastPara="1" wrap="square" lIns="91425" tIns="91425" rIns="91425" bIns="91425" anchor="ctr" anchorCtr="0">
                            <a:noAutofit/>
                          </wps:bodyPr>
                        </wps:wsp>
                        <wps:wsp>
                          <wps:cNvPr id="4" name="Forma libre: forma 4"/>
                          <wps:cNvSpPr/>
                          <wps:spPr>
                            <a:xfrm>
                              <a:off x="6874" y="0"/>
                              <a:ext cx="1270" cy="701040"/>
                            </a:xfrm>
                            <a:custGeom>
                              <a:avLst/>
                              <a:gdLst/>
                              <a:ahLst/>
                              <a:cxnLst/>
                              <a:rect l="l" t="t" r="r" b="b"/>
                              <a:pathLst>
                                <a:path w="120000" h="701040" extrusionOk="0">
                                  <a:moveTo>
                                    <a:pt x="0" y="700915"/>
                                  </a:moveTo>
                                  <a:lnTo>
                                    <a:pt x="0" y="0"/>
                                  </a:lnTo>
                                </a:path>
                              </a:pathLst>
                            </a:custGeom>
                            <a:noFill/>
                            <a:ln w="9525" cap="flat" cmpd="sng">
                              <a:solidFill>
                                <a:srgbClr val="C3C8C6"/>
                              </a:solidFill>
                              <a:prstDash val="solid"/>
                              <a:round/>
                              <a:headEnd type="none" w="sm" len="sm"/>
                              <a:tailEnd type="none" w="sm" len="sm"/>
                            </a:ln>
                          </wps:spPr>
                          <wps:bodyPr spcFirstLastPara="1" wrap="square" lIns="91425" tIns="91425" rIns="91425" bIns="91425" anchor="ctr" anchorCtr="0">
                            <a:noAutofit/>
                          </wps:bodyPr>
                        </wps:wsp>
                        <wps:wsp>
                          <wps:cNvPr id="5" name="Forma libre: forma 5"/>
                          <wps:cNvSpPr/>
                          <wps:spPr>
                            <a:xfrm>
                              <a:off x="2291" y="719239"/>
                              <a:ext cx="1270" cy="5351145"/>
                            </a:xfrm>
                            <a:custGeom>
                              <a:avLst/>
                              <a:gdLst/>
                              <a:ahLst/>
                              <a:cxnLst/>
                              <a:rect l="l" t="t" r="r" b="b"/>
                              <a:pathLst>
                                <a:path w="120000" h="5351145" extrusionOk="0">
                                  <a:moveTo>
                                    <a:pt x="0" y="5350776"/>
                                  </a:moveTo>
                                  <a:lnTo>
                                    <a:pt x="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page">
                  <wp:posOffset>7747348</wp:posOffset>
                </wp:positionH>
                <wp:positionV relativeFrom="page">
                  <wp:posOffset>3967150</wp:posOffset>
                </wp:positionV>
                <wp:extent cx="6985" cy="6070600"/>
                <wp:effectExtent b="0" l="0" r="0" t="0"/>
                <wp:wrapNone/>
                <wp:docPr id="34" name="image1.png"/>
                <a:graphic>
                  <a:graphicData uri="http://schemas.openxmlformats.org/drawingml/2006/picture">
                    <pic:pic>
                      <pic:nvPicPr>
                        <pic:cNvPr id="0" name="image1.png"/>
                        <pic:cNvPicPr preferRelativeResize="0"/>
                      </pic:nvPicPr>
                      <pic:blipFill>
                        <a:blip r:embed="rId9"/>
                        <a:srcRect/>
                        <a:stretch>
                          <a:fillRect/>
                        </a:stretch>
                      </pic:blipFill>
                      <pic:spPr>
                        <a:xfrm>
                          <a:off x="0" y="0"/>
                          <a:ext cx="6985" cy="6070600"/>
                        </a:xfrm>
                        <a:prstGeom prst="rect"/>
                        <a:ln/>
                      </pic:spPr>
                    </pic:pic>
                  </a:graphicData>
                </a:graphic>
              </wp:anchor>
            </w:drawing>
          </mc:Fallback>
        </mc:AlternateContent>
      </w:r>
      <w:r>
        <w:rPr>
          <w:rFonts w:ascii="Arial" w:eastAsia="Arial" w:hAnsi="Arial" w:cs="Arial"/>
        </w:rPr>
        <w:t>Son claras estas normas en determinar la competencia para adelantar el trámite ad</w:t>
      </w:r>
      <w:r>
        <w:rPr>
          <w:rFonts w:ascii="Arial" w:eastAsia="Arial" w:hAnsi="Arial" w:cs="Arial"/>
        </w:rPr>
        <w:t xml:space="preserve">ministrativo de investigación, el cual puede derivar o no en la imposición de la respectiva sanción </w:t>
      </w:r>
      <w:proofErr w:type="gramStart"/>
      <w:r>
        <w:rPr>
          <w:rFonts w:ascii="Arial" w:eastAsia="Arial" w:hAnsi="Arial" w:cs="Arial"/>
        </w:rPr>
        <w:t>y</w:t>
      </w:r>
      <w:proofErr w:type="gramEnd"/>
      <w:r>
        <w:rPr>
          <w:rFonts w:ascii="Arial" w:eastAsia="Arial" w:hAnsi="Arial" w:cs="Arial"/>
        </w:rPr>
        <w:t xml:space="preserve"> en consecuencia, pronunciarse sabre la declaratoria de los fenómenos de Caducidad o Prescripción, en los términos establecidos en el numeral precedente.</w:t>
      </w:r>
    </w:p>
    <w:p w14:paraId="0C29D191" w14:textId="77777777" w:rsidR="00B90AA1" w:rsidRDefault="00494976">
      <w:pPr>
        <w:spacing w:before="280" w:after="280"/>
        <w:jc w:val="both"/>
        <w:rPr>
          <w:rFonts w:ascii="Arial" w:eastAsia="Arial" w:hAnsi="Arial" w:cs="Arial"/>
        </w:rPr>
      </w:pPr>
      <w:r>
        <w:rPr>
          <w:rFonts w:ascii="Arial" w:eastAsia="Arial" w:hAnsi="Arial" w:cs="Arial"/>
        </w:rPr>
        <w:t>F</w:t>
      </w:r>
      <w:r>
        <w:rPr>
          <w:rFonts w:ascii="Arial" w:eastAsia="Arial" w:hAnsi="Arial" w:cs="Arial"/>
        </w:rPr>
        <w:t>inalmente, es menester precisar que los organismos de tránsito, de conformidad con el mandate constitucional establecido en el artículo 6, en caso de encontrarse frente a la caducidad o la prescripción y estando facultados para decretarlas de oficio, deben</w:t>
      </w:r>
      <w:r>
        <w:rPr>
          <w:rFonts w:ascii="Arial" w:eastAsia="Arial" w:hAnsi="Arial" w:cs="Arial"/>
        </w:rPr>
        <w:t xml:space="preserve"> en ejercicio de sus funciones proceder de conformidad.</w:t>
      </w:r>
    </w:p>
    <w:p w14:paraId="3B595E13" w14:textId="77777777" w:rsidR="00B90AA1" w:rsidRDefault="00494976">
      <w:pPr>
        <w:pBdr>
          <w:top w:val="nil"/>
          <w:left w:val="nil"/>
          <w:bottom w:val="nil"/>
          <w:right w:val="nil"/>
          <w:between w:val="nil"/>
        </w:pBdr>
        <w:jc w:val="both"/>
        <w:rPr>
          <w:rFonts w:ascii="Arial" w:eastAsia="Arial" w:hAnsi="Arial" w:cs="Arial"/>
          <w:i/>
          <w:color w:val="000000"/>
        </w:rPr>
      </w:pPr>
      <w:r>
        <w:rPr>
          <w:rFonts w:ascii="Arial" w:eastAsia="Arial" w:hAnsi="Arial" w:cs="Arial"/>
          <w:i/>
          <w:color w:val="000000"/>
        </w:rPr>
        <w:t>Según lo estipulado en el artículo 159 de la ley 769 de 2002, dice:</w:t>
      </w:r>
    </w:p>
    <w:p w14:paraId="6E7AD3CB" w14:textId="77777777" w:rsidR="00B90AA1" w:rsidRDefault="00494976">
      <w:pPr>
        <w:spacing w:line="242" w:lineRule="auto"/>
        <w:ind w:left="1096" w:right="1245"/>
        <w:jc w:val="both"/>
        <w:rPr>
          <w:i/>
          <w:color w:val="565656"/>
          <w:sz w:val="23"/>
          <w:szCs w:val="23"/>
        </w:rPr>
      </w:pPr>
      <w:r>
        <w:rPr>
          <w:i/>
          <w:color w:val="565656"/>
          <w:sz w:val="23"/>
          <w:szCs w:val="23"/>
        </w:rPr>
        <w:t xml:space="preserve">CUMPLIMIENTO. Modificado por el art. 26, Ley 1383 de 2010, Modificado por el art. 206, Decreto Nacional 019 de 2012. La ejecución de las sanciones que se impongan por violación de las normas de tránsito, estará a cargo de las autoridades de tránsito de la </w:t>
      </w:r>
      <w:r>
        <w:rPr>
          <w:i/>
          <w:color w:val="565656"/>
          <w:sz w:val="23"/>
          <w:szCs w:val="23"/>
        </w:rPr>
        <w:t xml:space="preserve">jurisdicción </w:t>
      </w:r>
      <w:r>
        <w:rPr>
          <w:i/>
          <w:color w:val="565656"/>
          <w:sz w:val="23"/>
          <w:szCs w:val="23"/>
        </w:rPr>
        <w:lastRenderedPageBreak/>
        <w:t>donde se cometió el hecho, quienes estarán investidas de jurisdicción coactiva para el cobro, cuando ello fuere necesario y prescribirán en tres años contados a partir de la ocurrencia del hecho y se interrumpirá con la presentación de la dema</w:t>
      </w:r>
      <w:r>
        <w:rPr>
          <w:i/>
          <w:color w:val="565656"/>
          <w:sz w:val="23"/>
          <w:szCs w:val="23"/>
        </w:rPr>
        <w:t xml:space="preserve">nda. </w:t>
      </w:r>
    </w:p>
    <w:p w14:paraId="791C0B3A" w14:textId="77777777" w:rsidR="00B90AA1" w:rsidRDefault="00494976">
      <w:pPr>
        <w:pBdr>
          <w:top w:val="nil"/>
          <w:left w:val="nil"/>
          <w:bottom w:val="nil"/>
          <w:right w:val="nil"/>
          <w:between w:val="nil"/>
        </w:pBdr>
        <w:jc w:val="both"/>
        <w:rPr>
          <w:rFonts w:ascii="Arial" w:eastAsia="Arial" w:hAnsi="Arial" w:cs="Arial"/>
          <w:i/>
          <w:color w:val="000000"/>
        </w:rPr>
      </w:pPr>
      <w:r>
        <w:rPr>
          <w:rFonts w:ascii="Arial" w:eastAsia="Arial" w:hAnsi="Arial" w:cs="Arial"/>
          <w:i/>
          <w:color w:val="000000"/>
        </w:rPr>
        <w:t>Según lo estipulado en el artículo 8 de la ley 1066 de 2006, dice:</w:t>
      </w:r>
    </w:p>
    <w:p w14:paraId="43E7B345" w14:textId="77777777" w:rsidR="00B90AA1" w:rsidRDefault="00494976">
      <w:pPr>
        <w:pBdr>
          <w:top w:val="nil"/>
          <w:left w:val="nil"/>
          <w:bottom w:val="nil"/>
          <w:right w:val="nil"/>
          <w:between w:val="nil"/>
        </w:pBdr>
        <w:rPr>
          <w:rFonts w:ascii="Arial" w:eastAsia="Arial" w:hAnsi="Arial" w:cs="Arial"/>
          <w:color w:val="000000"/>
        </w:rPr>
      </w:pPr>
      <w:r>
        <w:rPr>
          <w:rFonts w:ascii="Arial" w:eastAsia="Arial" w:hAnsi="Arial" w:cs="Arial"/>
          <w:i/>
          <w:color w:val="000000"/>
        </w:rPr>
        <w:t xml:space="preserve">Modifíquese el inciso 2° del artículo 817 del Estatuto Tributario, el cual queda así: </w:t>
      </w:r>
    </w:p>
    <w:p w14:paraId="2AD53A01" w14:textId="77777777" w:rsidR="00B90AA1" w:rsidRDefault="00494976">
      <w:pPr>
        <w:spacing w:line="242" w:lineRule="auto"/>
        <w:ind w:left="1096" w:right="1245"/>
        <w:jc w:val="both"/>
        <w:rPr>
          <w:i/>
          <w:color w:val="565656"/>
          <w:sz w:val="23"/>
          <w:szCs w:val="23"/>
        </w:rPr>
      </w:pPr>
      <w:r>
        <w:rPr>
          <w:i/>
          <w:color w:val="565656"/>
          <w:sz w:val="23"/>
          <w:szCs w:val="23"/>
        </w:rPr>
        <w:t xml:space="preserve">“La competencia para decretar la prescripción de la acción de cobro será de los Administradores de Impuestos o de Impuestos y Aduanas Nacionales respectivos, y será decretada de oficio o a petición de parte” </w:t>
      </w:r>
    </w:p>
    <w:p w14:paraId="511F0D55" w14:textId="77777777" w:rsidR="00B90AA1" w:rsidRDefault="00494976">
      <w:pPr>
        <w:pBdr>
          <w:top w:val="nil"/>
          <w:left w:val="nil"/>
          <w:bottom w:val="nil"/>
          <w:right w:val="nil"/>
          <w:between w:val="nil"/>
        </w:pBdr>
        <w:jc w:val="both"/>
        <w:rPr>
          <w:rFonts w:ascii="Arial" w:eastAsia="Arial" w:hAnsi="Arial" w:cs="Arial"/>
          <w:i/>
          <w:color w:val="000000"/>
        </w:rPr>
      </w:pPr>
      <w:r>
        <w:rPr>
          <w:rFonts w:ascii="Arial" w:eastAsia="Arial" w:hAnsi="Arial" w:cs="Arial"/>
          <w:color w:val="000000"/>
        </w:rPr>
        <w:t xml:space="preserve">Y </w:t>
      </w:r>
      <w:r>
        <w:rPr>
          <w:rFonts w:ascii="Arial" w:eastAsia="Arial" w:hAnsi="Arial" w:cs="Arial"/>
          <w:i/>
          <w:color w:val="000000"/>
        </w:rPr>
        <w:t>según lo estipulado en el artículo 17 de la m</w:t>
      </w:r>
      <w:r>
        <w:rPr>
          <w:rFonts w:ascii="Arial" w:eastAsia="Arial" w:hAnsi="Arial" w:cs="Arial"/>
          <w:i/>
          <w:color w:val="000000"/>
        </w:rPr>
        <w:t>isma ley, dice:</w:t>
      </w:r>
    </w:p>
    <w:p w14:paraId="2F4F4EF8" w14:textId="77777777" w:rsidR="00B90AA1" w:rsidRDefault="00494976">
      <w:pPr>
        <w:spacing w:line="242" w:lineRule="auto"/>
        <w:ind w:left="1096" w:right="1245"/>
        <w:jc w:val="both"/>
        <w:rPr>
          <w:i/>
          <w:color w:val="565656"/>
          <w:sz w:val="23"/>
          <w:szCs w:val="23"/>
        </w:rPr>
      </w:pPr>
      <w:r>
        <w:rPr>
          <w:i/>
          <w:color w:val="565656"/>
          <w:sz w:val="23"/>
          <w:szCs w:val="23"/>
        </w:rPr>
        <w:t xml:space="preserve">“Lo establecido en los artículos 8 y 9 de la presente ley para la DIAN, se aplicará también a los procesos administrativos de cobro que adelanten otras entidades públicas. Para estos efectos, es competente para decretar la prescripción de </w:t>
      </w:r>
      <w:r>
        <w:rPr>
          <w:i/>
          <w:color w:val="565656"/>
          <w:sz w:val="23"/>
          <w:szCs w:val="23"/>
        </w:rPr>
        <w:t xml:space="preserve">oficio el jefe de la respectiva entidad”. </w:t>
      </w:r>
    </w:p>
    <w:p w14:paraId="109558D0" w14:textId="77777777" w:rsidR="00B90AA1" w:rsidRDefault="00494976">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El principio de la legalidad, consagrado tanto en el artículo 6 como en el artículo 230 de la Constitución Política de Colombia, establece que ningún funcionario público puede llevar a cabo acciones que no estén r</w:t>
      </w:r>
      <w:r>
        <w:rPr>
          <w:rFonts w:ascii="Arial" w:eastAsia="Arial" w:hAnsi="Arial" w:cs="Arial"/>
          <w:color w:val="000000"/>
        </w:rPr>
        <w:t>espaldadas por leyes válidas y vigentes, ni puede excederse o ignorar los límites establecidos para el ejercicio de sus funciones. En el presente caso, dado que la prescripción de la obligación en cuestión cumple con el requisito de tiempo establecido en l</w:t>
      </w:r>
      <w:r>
        <w:rPr>
          <w:rFonts w:ascii="Arial" w:eastAsia="Arial" w:hAnsi="Arial" w:cs="Arial"/>
          <w:color w:val="000000"/>
        </w:rPr>
        <w:t>a ley y no ha sido realizada de oficio, procedo a efectuar la solicitud correspondiente.</w:t>
      </w:r>
    </w:p>
    <w:p w14:paraId="4C7CD96F" w14:textId="77777777" w:rsidR="00B90AA1" w:rsidRDefault="00494976">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Es importante destacar que la Constitución Política de Colombia también confiere facultades al ciudadano para garantizar el cumplimiento de leyes y actos administrativ</w:t>
      </w:r>
      <w:r>
        <w:rPr>
          <w:rFonts w:ascii="Arial" w:eastAsia="Arial" w:hAnsi="Arial" w:cs="Arial"/>
          <w:color w:val="000000"/>
        </w:rPr>
        <w:t>os. En esta ocasión, la solicitud se basa en la efectividad del artículo 52 del Código Contencioso Administrativo y el artículo 159 del Código Nacional de Tránsito. Estas facultades se encuentran amparadas por el artículo 87 de la Constitución, que dispone</w:t>
      </w:r>
      <w:r>
        <w:rPr>
          <w:rFonts w:ascii="Arial" w:eastAsia="Arial" w:hAnsi="Arial" w:cs="Arial"/>
          <w:color w:val="000000"/>
        </w:rPr>
        <w:t xml:space="preserve"> lo siguiente: </w:t>
      </w:r>
    </w:p>
    <w:p w14:paraId="6CAE682A" w14:textId="77777777" w:rsidR="00B90AA1" w:rsidRDefault="00494976">
      <w:pPr>
        <w:pBdr>
          <w:top w:val="nil"/>
          <w:left w:val="nil"/>
          <w:bottom w:val="nil"/>
          <w:right w:val="nil"/>
          <w:between w:val="nil"/>
        </w:pBdr>
        <w:ind w:left="708"/>
        <w:jc w:val="both"/>
        <w:rPr>
          <w:rFonts w:ascii="Arial" w:eastAsia="Arial" w:hAnsi="Arial" w:cs="Arial"/>
          <w:color w:val="000000"/>
        </w:rPr>
      </w:pPr>
      <w:r>
        <w:rPr>
          <w:rFonts w:ascii="Arial" w:eastAsia="Arial" w:hAnsi="Arial" w:cs="Arial"/>
          <w:color w:val="000000"/>
        </w:rPr>
        <w:t>“</w:t>
      </w:r>
      <w:r>
        <w:rPr>
          <w:i/>
          <w:color w:val="565656"/>
          <w:sz w:val="23"/>
          <w:szCs w:val="23"/>
        </w:rPr>
        <w:t>Toda persona podrá acudir ante la autoridad judicial para hacer efectivo el cumplimiento de una ley o un acto administrativo. En caso de prosperar la acción, la sentencia ordenará a la autoridad renuente el cumplimiento del deber omitido”</w:t>
      </w:r>
      <w:r>
        <w:rPr>
          <w:i/>
          <w:color w:val="565656"/>
          <w:sz w:val="23"/>
          <w:szCs w:val="23"/>
        </w:rPr>
        <w:t>.</w:t>
      </w:r>
      <w:r>
        <w:rPr>
          <w:rFonts w:ascii="Arial" w:eastAsia="Arial" w:hAnsi="Arial" w:cs="Arial"/>
          <w:color w:val="000000"/>
        </w:rPr>
        <w:t xml:space="preserve"> </w:t>
      </w:r>
    </w:p>
    <w:p w14:paraId="79DF0239" w14:textId="77777777" w:rsidR="00B90AA1" w:rsidRDefault="00494976">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Por último, es importante considerar lo establecido en el artículo 31 de la ley 1437 de 2011, referente a la debida respuesta que deben recibir los derechos de petición:</w:t>
      </w:r>
    </w:p>
    <w:p w14:paraId="7B65455B" w14:textId="77777777" w:rsidR="00B90AA1" w:rsidRDefault="00494976">
      <w:pPr>
        <w:pBdr>
          <w:top w:val="nil"/>
          <w:left w:val="nil"/>
          <w:bottom w:val="nil"/>
          <w:right w:val="nil"/>
          <w:between w:val="nil"/>
        </w:pBdr>
        <w:ind w:left="708"/>
        <w:jc w:val="both"/>
        <w:rPr>
          <w:i/>
          <w:color w:val="565656"/>
          <w:sz w:val="23"/>
          <w:szCs w:val="23"/>
        </w:rPr>
      </w:pPr>
      <w:r>
        <w:rPr>
          <w:i/>
          <w:color w:val="565656"/>
          <w:sz w:val="23"/>
          <w:szCs w:val="23"/>
        </w:rPr>
        <w:t>ARTÍCULO 31. La falta de atención a las peticiones y a los términos para resolver,</w:t>
      </w:r>
      <w:r>
        <w:rPr>
          <w:i/>
          <w:color w:val="565656"/>
          <w:sz w:val="23"/>
          <w:szCs w:val="23"/>
        </w:rPr>
        <w:t xml:space="preserve"> la contravención a las prohibiciones y el desconocimiento de los derechos de las personas de que trata esta Parte Primera del Código; constituirán falta gravísima para el servidor público y darán lugar a las sanciones correspondientes de acuerdo con la le</w:t>
      </w:r>
      <w:r>
        <w:rPr>
          <w:i/>
          <w:color w:val="565656"/>
          <w:sz w:val="23"/>
          <w:szCs w:val="23"/>
        </w:rPr>
        <w:t xml:space="preserve">y disciplinaria. </w:t>
      </w:r>
    </w:p>
    <w:p w14:paraId="7722AF9D" w14:textId="77777777" w:rsidR="00B90AA1" w:rsidRDefault="00B90AA1">
      <w:pPr>
        <w:pBdr>
          <w:top w:val="nil"/>
          <w:left w:val="nil"/>
          <w:bottom w:val="nil"/>
          <w:right w:val="nil"/>
          <w:between w:val="nil"/>
        </w:pBdr>
        <w:ind w:left="708"/>
        <w:jc w:val="both"/>
        <w:rPr>
          <w:rFonts w:ascii="Arial" w:eastAsia="Arial" w:hAnsi="Arial" w:cs="Arial"/>
          <w:color w:val="000000"/>
        </w:rPr>
      </w:pPr>
    </w:p>
    <w:p w14:paraId="08B8081C" w14:textId="77777777" w:rsidR="00B90AA1" w:rsidRDefault="00B90AA1">
      <w:pPr>
        <w:pBdr>
          <w:top w:val="nil"/>
          <w:left w:val="nil"/>
          <w:bottom w:val="nil"/>
          <w:right w:val="nil"/>
          <w:between w:val="nil"/>
        </w:pBdr>
        <w:ind w:left="708"/>
        <w:jc w:val="both"/>
        <w:rPr>
          <w:rFonts w:ascii="Arial" w:eastAsia="Arial" w:hAnsi="Arial" w:cs="Arial"/>
          <w:color w:val="000000"/>
        </w:rPr>
      </w:pPr>
    </w:p>
    <w:p w14:paraId="171BC735" w14:textId="77777777" w:rsidR="00B90AA1" w:rsidRDefault="00B90AA1">
      <w:pPr>
        <w:pBdr>
          <w:top w:val="nil"/>
          <w:left w:val="nil"/>
          <w:bottom w:val="nil"/>
          <w:right w:val="nil"/>
          <w:between w:val="nil"/>
        </w:pBdr>
        <w:ind w:left="708"/>
        <w:jc w:val="both"/>
        <w:rPr>
          <w:rFonts w:ascii="Arial" w:eastAsia="Arial" w:hAnsi="Arial" w:cs="Arial"/>
          <w:color w:val="000000"/>
        </w:rPr>
      </w:pPr>
    </w:p>
    <w:p w14:paraId="1FB5F61A" w14:textId="77777777" w:rsidR="00B90AA1" w:rsidRDefault="00B90AA1">
      <w:pPr>
        <w:pBdr>
          <w:top w:val="nil"/>
          <w:left w:val="nil"/>
          <w:bottom w:val="nil"/>
          <w:right w:val="nil"/>
          <w:between w:val="nil"/>
        </w:pBdr>
        <w:ind w:left="708"/>
        <w:jc w:val="both"/>
        <w:rPr>
          <w:rFonts w:ascii="Arial" w:eastAsia="Arial" w:hAnsi="Arial" w:cs="Arial"/>
          <w:color w:val="000000"/>
        </w:rPr>
      </w:pPr>
    </w:p>
    <w:p w14:paraId="22AEFF9D" w14:textId="77777777" w:rsidR="00B90AA1" w:rsidRDefault="00494976">
      <w:pPr>
        <w:numPr>
          <w:ilvl w:val="0"/>
          <w:numId w:val="1"/>
        </w:numPr>
        <w:pBdr>
          <w:top w:val="nil"/>
          <w:left w:val="nil"/>
          <w:bottom w:val="nil"/>
          <w:right w:val="nil"/>
          <w:between w:val="nil"/>
        </w:pBdr>
        <w:spacing w:after="280"/>
        <w:jc w:val="center"/>
        <w:rPr>
          <w:rFonts w:ascii="Arial" w:eastAsia="Arial" w:hAnsi="Arial" w:cs="Arial"/>
          <w:b/>
          <w:color w:val="101010"/>
        </w:rPr>
      </w:pPr>
      <w:r>
        <w:rPr>
          <w:rFonts w:ascii="Arial" w:eastAsia="Arial" w:hAnsi="Arial" w:cs="Arial"/>
          <w:b/>
          <w:color w:val="101010"/>
        </w:rPr>
        <w:t>HECHOS</w:t>
      </w:r>
    </w:p>
    <w:p w14:paraId="2E90FE68" w14:textId="77777777" w:rsidR="00B90AA1" w:rsidRDefault="00494976">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lastRenderedPageBreak/>
        <w:t xml:space="preserve">1   </w:t>
      </w:r>
      <w:proofErr w:type="gramStart"/>
      <w:r>
        <w:rPr>
          <w:rFonts w:ascii="Arial" w:eastAsia="Arial" w:hAnsi="Arial" w:cs="Arial"/>
          <w:color w:val="000000"/>
        </w:rPr>
        <w:t>Han</w:t>
      </w:r>
      <w:proofErr w:type="gramEnd"/>
      <w:r>
        <w:rPr>
          <w:rFonts w:ascii="Arial" w:eastAsia="Arial" w:hAnsi="Arial" w:cs="Arial"/>
          <w:color w:val="000000"/>
        </w:rPr>
        <w:t xml:space="preserve"> pasado más de </w:t>
      </w:r>
      <w:r>
        <w:rPr>
          <w:rFonts w:ascii="Arial" w:eastAsia="Arial" w:hAnsi="Arial" w:cs="Arial"/>
          <w:color w:val="FF9900"/>
        </w:rPr>
        <w:t>(X) CANTIDAD DE AÑOS QUE HAN PASADO DESDE LA IMPOSICION DEL COMPARENDO</w:t>
      </w:r>
      <w:r>
        <w:rPr>
          <w:rFonts w:ascii="Arial" w:eastAsia="Arial" w:hAnsi="Arial" w:cs="Arial"/>
          <w:color w:val="000000"/>
        </w:rPr>
        <w:t xml:space="preserve"> años sin que se haya realizado el pago de la obligación.</w:t>
      </w:r>
    </w:p>
    <w:p w14:paraId="0B7CA37E" w14:textId="77777777" w:rsidR="00B90AA1" w:rsidRDefault="00494976">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2   </w:t>
      </w:r>
      <w:proofErr w:type="gramStart"/>
      <w:r>
        <w:rPr>
          <w:rFonts w:ascii="Arial" w:eastAsia="Arial" w:hAnsi="Arial" w:cs="Arial"/>
          <w:color w:val="000000"/>
        </w:rPr>
        <w:t>A</w:t>
      </w:r>
      <w:proofErr w:type="gramEnd"/>
      <w:r>
        <w:rPr>
          <w:rFonts w:ascii="Arial" w:eastAsia="Arial" w:hAnsi="Arial" w:cs="Arial"/>
          <w:color w:val="000000"/>
        </w:rPr>
        <w:t xml:space="preserve"> la fecha no he sido notificado por ningún cobro coactivo y mucho menos se me ha hecho efectivo dicho derecho reclamado.</w:t>
      </w:r>
    </w:p>
    <w:p w14:paraId="4798C5BB" w14:textId="77777777" w:rsidR="00B90AA1" w:rsidRDefault="00B90AA1">
      <w:pPr>
        <w:pBdr>
          <w:top w:val="nil"/>
          <w:left w:val="nil"/>
          <w:bottom w:val="nil"/>
          <w:right w:val="nil"/>
          <w:between w:val="nil"/>
        </w:pBdr>
        <w:spacing w:after="280"/>
        <w:jc w:val="both"/>
        <w:rPr>
          <w:rFonts w:ascii="Arial" w:eastAsia="Arial" w:hAnsi="Arial" w:cs="Arial"/>
          <w:color w:val="101010"/>
        </w:rPr>
      </w:pPr>
    </w:p>
    <w:p w14:paraId="4AE6702C" w14:textId="77777777" w:rsidR="00B90AA1" w:rsidRDefault="00494976">
      <w:pPr>
        <w:numPr>
          <w:ilvl w:val="0"/>
          <w:numId w:val="1"/>
        </w:numPr>
        <w:pBdr>
          <w:top w:val="nil"/>
          <w:left w:val="nil"/>
          <w:bottom w:val="nil"/>
          <w:right w:val="nil"/>
          <w:between w:val="nil"/>
        </w:pBdr>
        <w:spacing w:after="280"/>
        <w:jc w:val="center"/>
        <w:rPr>
          <w:rFonts w:ascii="Arial" w:eastAsia="Arial" w:hAnsi="Arial" w:cs="Arial"/>
          <w:b/>
          <w:color w:val="101010"/>
        </w:rPr>
      </w:pPr>
      <w:r>
        <w:rPr>
          <w:rFonts w:ascii="Arial" w:eastAsia="Arial" w:hAnsi="Arial" w:cs="Arial"/>
          <w:b/>
          <w:color w:val="101010"/>
        </w:rPr>
        <w:t>PRETENSIÓN</w:t>
      </w:r>
    </w:p>
    <w:p w14:paraId="056A2EA4" w14:textId="77777777" w:rsidR="00B90AA1" w:rsidRDefault="00494976">
      <w:pPr>
        <w:pBdr>
          <w:top w:val="nil"/>
          <w:left w:val="nil"/>
          <w:bottom w:val="nil"/>
          <w:right w:val="nil"/>
          <w:between w:val="nil"/>
        </w:pBdr>
        <w:jc w:val="both"/>
        <w:rPr>
          <w:rFonts w:ascii="Arial" w:eastAsia="Arial" w:hAnsi="Arial" w:cs="Arial"/>
          <w:color w:val="FF9900"/>
        </w:rPr>
      </w:pPr>
      <w:r>
        <w:rPr>
          <w:rFonts w:ascii="Arial" w:eastAsia="Arial" w:hAnsi="Arial" w:cs="Arial"/>
          <w:color w:val="000000"/>
        </w:rPr>
        <w:t xml:space="preserve">Con base en lo anterior solicito se le dé la debida prescripción </w:t>
      </w:r>
      <w:r>
        <w:rPr>
          <w:rFonts w:ascii="Arial" w:eastAsia="Arial" w:hAnsi="Arial" w:cs="Arial"/>
          <w:color w:val="FF9900"/>
        </w:rPr>
        <w:t xml:space="preserve">de (l) </w:t>
      </w:r>
      <w:proofErr w:type="gramStart"/>
      <w:r>
        <w:rPr>
          <w:rFonts w:ascii="Arial" w:eastAsia="Arial" w:hAnsi="Arial" w:cs="Arial"/>
          <w:color w:val="FF9900"/>
        </w:rPr>
        <w:t>los comparendo</w:t>
      </w:r>
      <w:proofErr w:type="gramEnd"/>
      <w:r>
        <w:rPr>
          <w:rFonts w:ascii="Arial" w:eastAsia="Arial" w:hAnsi="Arial" w:cs="Arial"/>
          <w:color w:val="FF9900"/>
        </w:rPr>
        <w:t>(s) aquí nombrado(s):</w:t>
      </w:r>
    </w:p>
    <w:p w14:paraId="558BF735" w14:textId="77777777" w:rsidR="00B90AA1" w:rsidRDefault="00494976">
      <w:pPr>
        <w:pBdr>
          <w:top w:val="nil"/>
          <w:left w:val="nil"/>
          <w:bottom w:val="nil"/>
          <w:right w:val="nil"/>
          <w:between w:val="nil"/>
        </w:pBdr>
        <w:spacing w:after="280"/>
        <w:jc w:val="both"/>
        <w:rPr>
          <w:rFonts w:ascii="Arial" w:eastAsia="Arial" w:hAnsi="Arial" w:cs="Arial"/>
          <w:color w:val="FF9900"/>
        </w:rPr>
      </w:pPr>
      <w:r>
        <w:rPr>
          <w:rFonts w:ascii="Arial" w:eastAsia="Arial" w:hAnsi="Arial" w:cs="Arial"/>
          <w:color w:val="FF9900"/>
        </w:rPr>
        <w:t>{PONER EL O LOS # COMPARENDOS}</w:t>
      </w:r>
    </w:p>
    <w:p w14:paraId="75979DD8" w14:textId="77777777" w:rsidR="00B90AA1" w:rsidRDefault="00494976">
      <w:pPr>
        <w:pBdr>
          <w:top w:val="nil"/>
          <w:left w:val="nil"/>
          <w:bottom w:val="nil"/>
          <w:right w:val="nil"/>
          <w:between w:val="nil"/>
        </w:pBdr>
        <w:spacing w:after="280"/>
        <w:jc w:val="both"/>
        <w:rPr>
          <w:rFonts w:ascii="Arial" w:eastAsia="Arial" w:hAnsi="Arial" w:cs="Arial"/>
          <w:color w:val="FF9900"/>
        </w:rPr>
      </w:pPr>
      <w:r>
        <w:rPr>
          <w:rFonts w:ascii="Arial" w:eastAsia="Arial" w:hAnsi="Arial" w:cs="Arial"/>
          <w:color w:val="FF9900"/>
        </w:rPr>
        <w:t>(XXXXXXXXXXXXXXXXXXXX)</w:t>
      </w:r>
    </w:p>
    <w:p w14:paraId="548F4F65" w14:textId="77777777" w:rsidR="00B90AA1" w:rsidRDefault="00494976">
      <w:pPr>
        <w:pBdr>
          <w:top w:val="nil"/>
          <w:left w:val="nil"/>
          <w:bottom w:val="nil"/>
          <w:right w:val="nil"/>
          <w:between w:val="nil"/>
        </w:pBdr>
        <w:spacing w:after="280"/>
        <w:jc w:val="both"/>
        <w:rPr>
          <w:rFonts w:ascii="Arial" w:eastAsia="Arial" w:hAnsi="Arial" w:cs="Arial"/>
          <w:color w:val="FF9900"/>
        </w:rPr>
      </w:pPr>
      <w:r>
        <w:rPr>
          <w:rFonts w:ascii="Arial" w:eastAsia="Arial" w:hAnsi="Arial" w:cs="Arial"/>
          <w:color w:val="FF9900"/>
        </w:rPr>
        <w:t>(XXXXXXXXXXXXXXXXXXXX)</w:t>
      </w:r>
    </w:p>
    <w:p w14:paraId="18E5AD23" w14:textId="77777777" w:rsidR="00B90AA1" w:rsidRDefault="00494976">
      <w:pPr>
        <w:pBdr>
          <w:top w:val="nil"/>
          <w:left w:val="nil"/>
          <w:bottom w:val="nil"/>
          <w:right w:val="nil"/>
          <w:between w:val="nil"/>
        </w:pBdr>
        <w:spacing w:after="280"/>
        <w:jc w:val="both"/>
        <w:rPr>
          <w:rFonts w:ascii="Arial" w:eastAsia="Arial" w:hAnsi="Arial" w:cs="Arial"/>
          <w:color w:val="FF9900"/>
        </w:rPr>
      </w:pPr>
      <w:r>
        <w:rPr>
          <w:rFonts w:ascii="Arial" w:eastAsia="Arial" w:hAnsi="Arial" w:cs="Arial"/>
          <w:color w:val="FF9900"/>
        </w:rPr>
        <w:t>(XXXXXXXXXXXXXXXXXXXX)</w:t>
      </w:r>
    </w:p>
    <w:p w14:paraId="3E2FCA38" w14:textId="77777777" w:rsidR="00B90AA1" w:rsidRDefault="00494976">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Que se eliminen las multas de cualquier base de </w:t>
      </w:r>
      <w:r>
        <w:rPr>
          <w:rFonts w:ascii="Arial" w:eastAsia="Arial" w:hAnsi="Arial" w:cs="Arial"/>
          <w:color w:val="000000"/>
        </w:rPr>
        <w:t>datos tanto del SIMIT y plataforma similar.</w:t>
      </w:r>
    </w:p>
    <w:p w14:paraId="4A6D8A27" w14:textId="77777777" w:rsidR="00B90AA1" w:rsidRDefault="00494976">
      <w:pPr>
        <w:pBdr>
          <w:top w:val="nil"/>
          <w:left w:val="nil"/>
          <w:bottom w:val="nil"/>
          <w:right w:val="nil"/>
          <w:between w:val="nil"/>
        </w:pBdr>
        <w:jc w:val="both"/>
        <w:rPr>
          <w:rFonts w:ascii="Arial" w:eastAsia="Arial" w:hAnsi="Arial" w:cs="Arial"/>
          <w:b/>
          <w:i/>
          <w:color w:val="000000"/>
          <w:u w:val="single"/>
        </w:rPr>
      </w:pPr>
      <w:r>
        <w:rPr>
          <w:rFonts w:ascii="Arial" w:eastAsia="Arial" w:hAnsi="Arial" w:cs="Arial"/>
          <w:color w:val="000000"/>
        </w:rPr>
        <w:t xml:space="preserve">Haciendo uso del derecho a las habeas data, me permito solicitar que la siguiente información como respuesta entre otras, al tratarse de derechos fundamentales y atributos de la personalidad como el nombre entre </w:t>
      </w:r>
      <w:r>
        <w:rPr>
          <w:rFonts w:ascii="Arial" w:eastAsia="Arial" w:hAnsi="Arial" w:cs="Arial"/>
          <w:color w:val="000000"/>
        </w:rPr>
        <w:t xml:space="preserve">otros sea enviada </w:t>
      </w:r>
      <w:r>
        <w:rPr>
          <w:rFonts w:ascii="Arial" w:eastAsia="Arial" w:hAnsi="Arial" w:cs="Arial"/>
          <w:b/>
          <w:i/>
          <w:color w:val="000000"/>
          <w:u w:val="single"/>
        </w:rPr>
        <w:t xml:space="preserve">a este E-MAIL </w:t>
      </w:r>
      <w:r>
        <w:rPr>
          <w:rFonts w:ascii="Arial" w:eastAsia="Arial" w:hAnsi="Arial" w:cs="Arial"/>
          <w:b/>
          <w:i/>
          <w:color w:val="FF9900"/>
          <w:u w:val="single"/>
        </w:rPr>
        <w:t xml:space="preserve">(PONER CORREO AQUÍ) </w:t>
      </w:r>
      <w:r>
        <w:rPr>
          <w:rFonts w:ascii="Arial" w:eastAsia="Arial" w:hAnsi="Arial" w:cs="Arial"/>
          <w:b/>
          <w:i/>
          <w:color w:val="000000"/>
          <w:u w:val="single"/>
        </w:rPr>
        <w:t>y que es el registrado en esta petición y NO publicada en medios electrónicos como páginas web, motores de búsqueda, aplicaciones, redes sociales y similares.</w:t>
      </w:r>
    </w:p>
    <w:p w14:paraId="6759E2C4" w14:textId="77777777" w:rsidR="00B90AA1" w:rsidRDefault="00494976">
      <w:pPr>
        <w:pBdr>
          <w:top w:val="nil"/>
          <w:left w:val="nil"/>
          <w:bottom w:val="nil"/>
          <w:right w:val="nil"/>
          <w:between w:val="nil"/>
        </w:pBdr>
        <w:jc w:val="both"/>
        <w:rPr>
          <w:rFonts w:ascii="Arial" w:eastAsia="Arial" w:hAnsi="Arial" w:cs="Arial"/>
          <w:i/>
          <w:color w:val="000000"/>
        </w:rPr>
      </w:pPr>
      <w:r>
        <w:rPr>
          <w:rFonts w:ascii="Arial" w:eastAsia="Arial" w:hAnsi="Arial" w:cs="Arial"/>
          <w:i/>
          <w:color w:val="000000"/>
        </w:rPr>
        <w:t>Agradezco sinceramente su atención y consideración en este asunto.</w:t>
      </w:r>
    </w:p>
    <w:p w14:paraId="7E5D68EB" w14:textId="77777777" w:rsidR="00B90AA1" w:rsidRDefault="00494976">
      <w:pPr>
        <w:pBdr>
          <w:top w:val="nil"/>
          <w:left w:val="nil"/>
          <w:bottom w:val="nil"/>
          <w:right w:val="nil"/>
          <w:between w:val="nil"/>
        </w:pBdr>
        <w:jc w:val="both"/>
        <w:rPr>
          <w:rFonts w:ascii="Arial" w:eastAsia="Arial" w:hAnsi="Arial" w:cs="Arial"/>
          <w:i/>
          <w:color w:val="000000"/>
        </w:rPr>
      </w:pPr>
      <w:r>
        <w:rPr>
          <w:rFonts w:ascii="Arial" w:eastAsia="Arial" w:hAnsi="Arial" w:cs="Arial"/>
          <w:i/>
          <w:color w:val="000000"/>
        </w:rPr>
        <w:t>Cordialmente,</w:t>
      </w:r>
    </w:p>
    <w:p w14:paraId="608EF8E7" w14:textId="77777777" w:rsidR="00B90AA1" w:rsidRDefault="00B90AA1">
      <w:pPr>
        <w:pBdr>
          <w:top w:val="nil"/>
          <w:left w:val="nil"/>
          <w:bottom w:val="nil"/>
          <w:right w:val="nil"/>
          <w:between w:val="nil"/>
        </w:pBdr>
        <w:jc w:val="both"/>
        <w:rPr>
          <w:rFonts w:ascii="Arial" w:eastAsia="Arial" w:hAnsi="Arial" w:cs="Arial"/>
          <w:i/>
          <w:color w:val="FF0000"/>
        </w:rPr>
      </w:pPr>
    </w:p>
    <w:p w14:paraId="67EFA7BB" w14:textId="77777777" w:rsidR="00B90AA1" w:rsidRDefault="00494976">
      <w:pPr>
        <w:pBdr>
          <w:top w:val="nil"/>
          <w:left w:val="nil"/>
          <w:bottom w:val="nil"/>
          <w:right w:val="nil"/>
          <w:between w:val="nil"/>
        </w:pBdr>
        <w:jc w:val="both"/>
        <w:rPr>
          <w:rFonts w:ascii="Arial" w:eastAsia="Arial" w:hAnsi="Arial" w:cs="Arial"/>
          <w:b/>
          <w:i/>
          <w:color w:val="FF9900"/>
        </w:rPr>
      </w:pPr>
      <w:r>
        <w:rPr>
          <w:rFonts w:ascii="Arial" w:eastAsia="Arial" w:hAnsi="Arial" w:cs="Arial"/>
          <w:b/>
          <w:i/>
          <w:color w:val="FF9900"/>
        </w:rPr>
        <w:t xml:space="preserve">[Nombre completo] </w:t>
      </w:r>
    </w:p>
    <w:p w14:paraId="7002ADC3" w14:textId="77777777" w:rsidR="00B90AA1" w:rsidRDefault="00494976">
      <w:pPr>
        <w:pBdr>
          <w:top w:val="nil"/>
          <w:left w:val="nil"/>
          <w:bottom w:val="nil"/>
          <w:right w:val="nil"/>
          <w:between w:val="nil"/>
        </w:pBdr>
        <w:jc w:val="both"/>
        <w:rPr>
          <w:rFonts w:ascii="Arial" w:eastAsia="Arial" w:hAnsi="Arial" w:cs="Arial"/>
          <w:b/>
          <w:i/>
          <w:color w:val="FF9900"/>
        </w:rPr>
      </w:pPr>
      <w:r>
        <w:rPr>
          <w:rFonts w:ascii="Arial" w:eastAsia="Arial" w:hAnsi="Arial" w:cs="Arial"/>
          <w:b/>
          <w:i/>
          <w:color w:val="FF9900"/>
        </w:rPr>
        <w:t>[Tipo de documento} [Número de documento]</w:t>
      </w:r>
    </w:p>
    <w:p w14:paraId="31D10335" w14:textId="77777777" w:rsidR="00B90AA1" w:rsidRDefault="00B90AA1">
      <w:pPr>
        <w:pBdr>
          <w:top w:val="nil"/>
          <w:left w:val="nil"/>
          <w:bottom w:val="nil"/>
          <w:right w:val="nil"/>
          <w:between w:val="nil"/>
        </w:pBdr>
        <w:jc w:val="both"/>
        <w:rPr>
          <w:rFonts w:ascii="Arial" w:eastAsia="Arial" w:hAnsi="Arial" w:cs="Arial"/>
          <w:b/>
          <w:i/>
          <w:color w:val="FF9900"/>
        </w:rPr>
      </w:pPr>
    </w:p>
    <w:p w14:paraId="3A74DB5A" w14:textId="77777777" w:rsidR="00B90AA1" w:rsidRDefault="00494976">
      <w:pPr>
        <w:pBdr>
          <w:top w:val="nil"/>
          <w:left w:val="nil"/>
          <w:bottom w:val="nil"/>
          <w:right w:val="nil"/>
          <w:between w:val="nil"/>
        </w:pBdr>
        <w:jc w:val="both"/>
        <w:rPr>
          <w:rFonts w:ascii="Arial" w:eastAsia="Arial" w:hAnsi="Arial" w:cs="Arial"/>
          <w:b/>
          <w:i/>
          <w:color w:val="980000"/>
        </w:rPr>
      </w:pPr>
      <w:proofErr w:type="spellStart"/>
      <w:r>
        <w:rPr>
          <w:rFonts w:ascii="Arial" w:eastAsia="Arial" w:hAnsi="Arial" w:cs="Arial"/>
          <w:b/>
          <w:i/>
          <w:color w:val="980000"/>
        </w:rPr>
        <w:t>Asuntojuridico</w:t>
      </w:r>
      <w:proofErr w:type="spellEnd"/>
      <w:r>
        <w:rPr>
          <w:rFonts w:ascii="Arial" w:eastAsia="Arial" w:hAnsi="Arial" w:cs="Arial"/>
          <w:b/>
          <w:i/>
          <w:color w:val="980000"/>
        </w:rPr>
        <w:t>.</w:t>
      </w:r>
    </w:p>
    <w:sectPr w:rsidR="00B90AA1">
      <w:footerReference w:type="default" r:id="rId10"/>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CC5183" w14:textId="77777777" w:rsidR="00494976" w:rsidRDefault="00494976">
      <w:r>
        <w:separator/>
      </w:r>
    </w:p>
  </w:endnote>
  <w:endnote w:type="continuationSeparator" w:id="0">
    <w:p w14:paraId="04D55EA2" w14:textId="77777777" w:rsidR="00494976" w:rsidRDefault="004949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BDD032" w14:textId="77777777" w:rsidR="00B90AA1" w:rsidRDefault="00B90AA1">
    <w:pPr>
      <w:widowControl w:val="0"/>
      <w:pBdr>
        <w:top w:val="nil"/>
        <w:left w:val="nil"/>
        <w:bottom w:val="nil"/>
        <w:right w:val="nil"/>
        <w:between w:val="nil"/>
      </w:pBdr>
      <w:spacing w:line="14" w:lineRule="auto"/>
      <w:rPr>
        <w:rFonts w:ascii="Arial" w:eastAsia="Arial" w:hAnsi="Arial" w:cs="Arial"/>
        <w:color w:val="000000"/>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DF8DF1" w14:textId="77777777" w:rsidR="00494976" w:rsidRDefault="00494976">
      <w:r>
        <w:separator/>
      </w:r>
    </w:p>
  </w:footnote>
  <w:footnote w:type="continuationSeparator" w:id="0">
    <w:p w14:paraId="7FF0B038" w14:textId="77777777" w:rsidR="00494976" w:rsidRDefault="004949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DEA5A1A"/>
    <w:multiLevelType w:val="multilevel"/>
    <w:tmpl w:val="DDFEF2FE"/>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0AA1"/>
    <w:rsid w:val="002B226C"/>
    <w:rsid w:val="00494976"/>
    <w:rsid w:val="00B90AA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5FA10"/>
  <w15:docId w15:val="{6611E6A5-921F-4190-A0D2-48491B6F8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rPr>
  </w:style>
  <w:style w:type="paragraph" w:styleId="Ttulo1">
    <w:name w:val="heading 1"/>
    <w:basedOn w:val="Normal"/>
    <w:link w:val="Ttulo1Car"/>
    <w:uiPriority w:val="9"/>
    <w:qFormat/>
    <w:rsid w:val="00C2325F"/>
    <w:pPr>
      <w:widowControl w:val="0"/>
      <w:autoSpaceDE w:val="0"/>
      <w:autoSpaceDN w:val="0"/>
      <w:ind w:left="416" w:hanging="2"/>
      <w:jc w:val="both"/>
      <w:outlineLvl w:val="0"/>
    </w:pPr>
    <w:rPr>
      <w:rFonts w:ascii="Arial" w:eastAsia="Arial" w:hAnsi="Arial" w:cs="Arial"/>
      <w:b/>
      <w:bCs/>
      <w:sz w:val="23"/>
      <w:szCs w:val="23"/>
      <w:lang w:val="es-ES"/>
    </w:rPr>
  </w:style>
  <w:style w:type="paragraph" w:styleId="Ttulo2">
    <w:name w:val="heading 2"/>
    <w:basedOn w:val="Normal"/>
    <w:link w:val="Ttulo2Car"/>
    <w:uiPriority w:val="9"/>
    <w:semiHidden/>
    <w:unhideWhenUsed/>
    <w:qFormat/>
    <w:rsid w:val="00C2325F"/>
    <w:pPr>
      <w:widowControl w:val="0"/>
      <w:autoSpaceDE w:val="0"/>
      <w:autoSpaceDN w:val="0"/>
      <w:ind w:left="1121" w:hanging="356"/>
      <w:outlineLvl w:val="1"/>
    </w:pPr>
    <w:rPr>
      <w:rFonts w:ascii="Arial" w:eastAsia="Arial" w:hAnsi="Arial" w:cs="Arial"/>
      <w:b/>
      <w:bCs/>
      <w:i/>
      <w:iCs/>
      <w:sz w:val="23"/>
      <w:szCs w:val="23"/>
      <w:u w:val="single" w:color="000000"/>
      <w:lang w:val="es-ES"/>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link w:val="TtuloCar"/>
    <w:uiPriority w:val="10"/>
    <w:qFormat/>
    <w:rsid w:val="00C2325F"/>
    <w:pPr>
      <w:widowControl w:val="0"/>
      <w:autoSpaceDE w:val="0"/>
      <w:autoSpaceDN w:val="0"/>
      <w:spacing w:before="42"/>
      <w:ind w:left="492"/>
    </w:pPr>
    <w:rPr>
      <w:rFonts w:ascii="Times New Roman" w:eastAsia="Times New Roman" w:hAnsi="Times New Roman" w:cs="Times New Roman"/>
      <w:b/>
      <w:bCs/>
      <w:sz w:val="84"/>
      <w:szCs w:val="84"/>
      <w:lang w:val="es-ES"/>
    </w:rPr>
  </w:style>
  <w:style w:type="paragraph" w:styleId="NormalWeb">
    <w:name w:val="Normal (Web)"/>
    <w:basedOn w:val="Normal"/>
    <w:uiPriority w:val="99"/>
    <w:unhideWhenUsed/>
    <w:rsid w:val="00C2325F"/>
    <w:pPr>
      <w:spacing w:before="100" w:beforeAutospacing="1" w:after="100" w:afterAutospacing="1"/>
    </w:pPr>
    <w:rPr>
      <w:rFonts w:ascii="Times New Roman" w:eastAsia="Times New Roman" w:hAnsi="Times New Roman" w:cs="Times New Roman"/>
      <w:lang w:val="es-CO" w:eastAsia="es-MX"/>
    </w:rPr>
  </w:style>
  <w:style w:type="character" w:customStyle="1" w:styleId="Ttulo1Car">
    <w:name w:val="Título 1 Car"/>
    <w:basedOn w:val="Fuentedeprrafopredeter"/>
    <w:link w:val="Ttulo1"/>
    <w:uiPriority w:val="9"/>
    <w:rsid w:val="00C2325F"/>
    <w:rPr>
      <w:rFonts w:ascii="Arial" w:eastAsia="Arial" w:hAnsi="Arial" w:cs="Arial"/>
      <w:b/>
      <w:bCs/>
      <w:kern w:val="0"/>
      <w:sz w:val="23"/>
      <w:szCs w:val="23"/>
      <w:lang w:val="es-ES"/>
    </w:rPr>
  </w:style>
  <w:style w:type="character" w:customStyle="1" w:styleId="Ttulo2Car">
    <w:name w:val="Título 2 Car"/>
    <w:basedOn w:val="Fuentedeprrafopredeter"/>
    <w:link w:val="Ttulo2"/>
    <w:uiPriority w:val="9"/>
    <w:rsid w:val="00C2325F"/>
    <w:rPr>
      <w:rFonts w:ascii="Arial" w:eastAsia="Arial" w:hAnsi="Arial" w:cs="Arial"/>
      <w:b/>
      <w:bCs/>
      <w:i/>
      <w:iCs/>
      <w:kern w:val="0"/>
      <w:sz w:val="23"/>
      <w:szCs w:val="23"/>
      <w:u w:val="single" w:color="000000"/>
      <w:lang w:val="es-ES"/>
    </w:rPr>
  </w:style>
  <w:style w:type="table" w:customStyle="1" w:styleId="TableNormal0">
    <w:name w:val="Table Normal"/>
    <w:uiPriority w:val="2"/>
    <w:semiHidden/>
    <w:unhideWhenUsed/>
    <w:qFormat/>
    <w:rsid w:val="00C2325F"/>
    <w:pPr>
      <w:widowControl w:val="0"/>
      <w:autoSpaceDE w:val="0"/>
      <w:autoSpaceDN w:val="0"/>
    </w:pPr>
    <w:rPr>
      <w:sz w:val="22"/>
      <w:szCs w:val="22"/>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C2325F"/>
    <w:pPr>
      <w:widowControl w:val="0"/>
      <w:autoSpaceDE w:val="0"/>
      <w:autoSpaceDN w:val="0"/>
    </w:pPr>
    <w:rPr>
      <w:rFonts w:ascii="Arial" w:eastAsia="Arial" w:hAnsi="Arial" w:cs="Arial"/>
      <w:sz w:val="23"/>
      <w:szCs w:val="23"/>
      <w:lang w:val="es-ES"/>
    </w:rPr>
  </w:style>
  <w:style w:type="character" w:customStyle="1" w:styleId="TextoindependienteCar">
    <w:name w:val="Texto independiente Car"/>
    <w:basedOn w:val="Fuentedeprrafopredeter"/>
    <w:link w:val="Textoindependiente"/>
    <w:uiPriority w:val="1"/>
    <w:rsid w:val="00C2325F"/>
    <w:rPr>
      <w:rFonts w:ascii="Arial" w:eastAsia="Arial" w:hAnsi="Arial" w:cs="Arial"/>
      <w:kern w:val="0"/>
      <w:sz w:val="23"/>
      <w:szCs w:val="23"/>
      <w:lang w:val="es-ES"/>
    </w:rPr>
  </w:style>
  <w:style w:type="character" w:customStyle="1" w:styleId="TtuloCar">
    <w:name w:val="Título Car"/>
    <w:basedOn w:val="Fuentedeprrafopredeter"/>
    <w:link w:val="Ttulo"/>
    <w:uiPriority w:val="10"/>
    <w:rsid w:val="00C2325F"/>
    <w:rPr>
      <w:rFonts w:ascii="Times New Roman" w:eastAsia="Times New Roman" w:hAnsi="Times New Roman" w:cs="Times New Roman"/>
      <w:b/>
      <w:bCs/>
      <w:kern w:val="0"/>
      <w:sz w:val="84"/>
      <w:szCs w:val="84"/>
      <w:lang w:val="es-ES"/>
    </w:rPr>
  </w:style>
  <w:style w:type="paragraph" w:styleId="Prrafodelista">
    <w:name w:val="List Paragraph"/>
    <w:basedOn w:val="Normal"/>
    <w:uiPriority w:val="1"/>
    <w:qFormat/>
    <w:rsid w:val="00C2325F"/>
    <w:pPr>
      <w:widowControl w:val="0"/>
      <w:autoSpaceDE w:val="0"/>
      <w:autoSpaceDN w:val="0"/>
      <w:ind w:left="521" w:hanging="356"/>
    </w:pPr>
    <w:rPr>
      <w:rFonts w:ascii="Arial" w:eastAsia="Arial" w:hAnsi="Arial" w:cs="Arial"/>
      <w:sz w:val="22"/>
      <w:szCs w:val="22"/>
      <w:lang w:val="es-ES"/>
    </w:rPr>
  </w:style>
  <w:style w:type="paragraph" w:customStyle="1" w:styleId="TableParagraph">
    <w:name w:val="Table Paragraph"/>
    <w:basedOn w:val="Normal"/>
    <w:uiPriority w:val="1"/>
    <w:qFormat/>
    <w:rsid w:val="00C2325F"/>
    <w:pPr>
      <w:widowControl w:val="0"/>
      <w:autoSpaceDE w:val="0"/>
      <w:autoSpaceDN w:val="0"/>
    </w:pPr>
    <w:rPr>
      <w:rFonts w:ascii="Arial" w:eastAsia="Arial" w:hAnsi="Arial" w:cs="Arial"/>
      <w:sz w:val="22"/>
      <w:szCs w:val="22"/>
      <w:lang w:val="es-ES"/>
    </w:rPr>
  </w:style>
  <w:style w:type="character" w:styleId="nfasis">
    <w:name w:val="Emphasis"/>
    <w:basedOn w:val="Fuentedeprrafopredeter"/>
    <w:uiPriority w:val="20"/>
    <w:qFormat/>
    <w:rsid w:val="00F255CA"/>
    <w:rPr>
      <w:i/>
      <w:iCs/>
    </w:rPr>
  </w:style>
  <w:style w:type="character" w:styleId="Textoennegrita">
    <w:name w:val="Strong"/>
    <w:basedOn w:val="Fuentedeprrafopredeter"/>
    <w:uiPriority w:val="22"/>
    <w:qFormat/>
    <w:rsid w:val="00F255CA"/>
    <w:rPr>
      <w:b/>
      <w:bC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Jr8F+lJBKKQe5jhGGckoU796PA==">CgMxLjA4AHIhMUlGM2E0cUxlZHdBM21weUxqSnc0Z0pab25HN001dm0w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
  <TotalTime>0</TotalTime>
  <Pages>6</Pages>
  <Words>2036</Words>
  <Characters>11199</Characters>
  <Application>Microsoft Office Word</Application>
  <DocSecurity>0</DocSecurity>
  <Lines>93</Lines>
  <Paragraphs>26</Paragraphs>
  <ScaleCrop>false</ScaleCrop>
  <Company/>
  <LinksUpToDate>false</LinksUpToDate>
  <CharactersWithSpaces>13209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2</cp:revision>
  <dcterms:created xsi:type="dcterms:W3CDTF">2023-07-24T21:08:00Z</dcterms:created>
  <dcterms:modified xsi:type="dcterms:W3CDTF">2024-08-13T01:24:00Z</dcterms:modified>
</cp:coreProperties>
</file>