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hd w:val="clear" w:color="auto" w:fill="ffffff"/>
        <w:spacing w:after="0"/>
        <w:jc w:val="both"/>
        <w:rPr>
          <w:rFonts w:ascii="Arial" w:cs="Arial" w:eastAsia="Arial" w:hAnsi="Arial"/>
          <w:color w:val="000000"/>
          <w:sz w:val="24"/>
          <w:szCs w:val="24"/>
        </w:rPr>
      </w:pPr>
      <w:bookmarkStart w:id="0" w:name="_heading=h.gjdgxs" w:colFirst="0" w:colLast="0"/>
      <w:bookmarkEnd w:id="0"/>
    </w:p>
    <w:p>
      <w:pPr>
        <w:pStyle w:val="style0"/>
        <w:shd w:val="clear" w:color="auto" w:fill="ffffff"/>
        <w:spacing w:after="0"/>
        <w:jc w:val="both"/>
        <w:rPr>
          <w:rFonts w:ascii="Arial" w:cs="Arial" w:eastAsia="Arial" w:hAnsi="Arial"/>
          <w:color w:val="000000"/>
          <w:sz w:val="24"/>
          <w:szCs w:val="24"/>
        </w:rPr>
      </w:pPr>
      <w:r>
        <w:rPr>
          <w:rFonts w:ascii="Arial" w:cs="Arial" w:eastAsia="Arial" w:hAnsi="Arial"/>
          <w:b/>
          <w:color w:val="000000"/>
          <w:sz w:val="24"/>
          <w:szCs w:val="24"/>
        </w:rPr>
        <w:t xml:space="preserve">NOTA: </w:t>
      </w:r>
      <w:r>
        <w:rPr>
          <w:rFonts w:ascii="Arial" w:cs="Arial" w:eastAsia="Arial" w:hAnsi="Arial"/>
          <w:color w:val="000000"/>
          <w:sz w:val="24"/>
          <w:szCs w:val="24"/>
        </w:rPr>
        <w:t>se debe verificar que la persona que aparece en la foto-detención no es el accionante, o en su defecto, que en la foto detención no se logre visualizar quien es el conductor. Para esto, si no tiene la foto - detención en su poder, puede solicitarla mediante un derecho de petición, en el cual también debe solicitar las copias de las notificaciones realizada.</w:t>
      </w: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 xml:space="preserve">Recae sobre las secretarias de transito la carga de la prueba, esto es, que la entidad debe demostrar que la persona a la que se le endilga la sanción es efectivamente quien la cometió, </w:t>
      </w: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SEÑORES:</w:t>
      </w: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SECRETARIA DE MOVILIDAD Y TRANSITO DE XXXXXX</w:t>
      </w: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INSPECTOR DE FOTODETECCIONES </w:t>
      </w: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E.              S            .D</w:t>
      </w: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 </w:t>
      </w: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ASUNTO: DERECHO DE PETICIÓN ARTICULO 23 CONSTITUCIÓN POLÍTICA DE COLOMBIA</w:t>
      </w: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 </w:t>
      </w: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Cordial saludo:</w:t>
      </w: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 </w:t>
      </w:r>
    </w:p>
    <w:p>
      <w:pPr>
        <w:pStyle w:val="style0"/>
        <w:shd w:val="clear" w:color="auto" w:fill="ffffff"/>
        <w:spacing w:after="0"/>
        <w:jc w:val="both"/>
        <w:rPr>
          <w:rFonts w:ascii="Arial" w:cs="Arial" w:eastAsia="Arial" w:hAnsi="Arial"/>
          <w:color w:val="000000"/>
          <w:sz w:val="24"/>
          <w:szCs w:val="24"/>
        </w:rPr>
      </w:pPr>
      <w:r>
        <w:rPr>
          <w:rFonts w:ascii="Arial" w:cs="Arial" w:eastAsia="Arial" w:hAnsi="Arial"/>
          <w:b/>
          <w:color w:val="000000"/>
          <w:sz w:val="24"/>
          <w:szCs w:val="24"/>
        </w:rPr>
        <w:t>XXXXX identificado</w:t>
      </w:r>
      <w:r>
        <w:rPr>
          <w:rFonts w:ascii="Arial" w:cs="Arial" w:eastAsia="Arial" w:hAnsi="Arial"/>
          <w:color w:val="000000"/>
          <w:sz w:val="24"/>
          <w:szCs w:val="24"/>
        </w:rPr>
        <w:t xml:space="preserve"> con Cédula XXXXX en ejercicio del derecho de petición consagrado en el artículo 23 de la Constitución Política de Colombia y con el lleno de los requisitos de la ley 1755 del 2015 respetuosamente me dirijo a su despacho con el fin de solicitarle:</w:t>
      </w: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center"/>
        <w:rPr>
          <w:rFonts w:ascii="Arial" w:cs="Arial" w:eastAsia="Arial" w:hAnsi="Arial"/>
          <w:b/>
          <w:color w:val="000000"/>
          <w:sz w:val="24"/>
          <w:szCs w:val="24"/>
        </w:rPr>
      </w:pPr>
      <w:r>
        <w:rPr>
          <w:rFonts w:ascii="Arial" w:cs="Arial" w:eastAsia="Arial" w:hAnsi="Arial"/>
          <w:b/>
          <w:color w:val="000000"/>
          <w:sz w:val="24"/>
          <w:szCs w:val="24"/>
        </w:rPr>
        <w:t>HECHOS</w:t>
      </w:r>
    </w:p>
    <w:p>
      <w:pPr>
        <w:pStyle w:val="style0"/>
        <w:shd w:val="clear" w:color="auto" w:fill="ffffff"/>
        <w:spacing w:after="0"/>
        <w:ind w:left="708" w:firstLine="0"/>
        <w:jc w:val="both"/>
        <w:rPr>
          <w:rFonts w:ascii="Arial" w:cs="Arial" w:eastAsia="Arial" w:hAnsi="Arial"/>
          <w:color w:val="000000"/>
          <w:sz w:val="18"/>
          <w:szCs w:val="18"/>
        </w:rPr>
      </w:pP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 xml:space="preserve">1) Que en el SIMIT aparece una sanción </w:t>
      </w:r>
      <w:r>
        <w:rPr>
          <w:rFonts w:ascii="Arial" w:cs="Arial" w:eastAsia="Arial" w:hAnsi="Arial"/>
          <w:sz w:val="24"/>
          <w:szCs w:val="24"/>
        </w:rPr>
        <w:t>número</w:t>
      </w:r>
      <w:r>
        <w:rPr>
          <w:rFonts w:ascii="Arial" w:cs="Arial" w:eastAsia="Arial" w:hAnsi="Arial"/>
          <w:color w:val="000000"/>
          <w:sz w:val="24"/>
          <w:szCs w:val="24"/>
        </w:rPr>
        <w:t xml:space="preserve"> </w:t>
      </w:r>
      <w:r>
        <w:rPr>
          <w:rFonts w:ascii="Arial" w:cs="Arial" w:eastAsia="Arial" w:hAnsi="Arial"/>
          <w:b/>
          <w:color w:val="000000"/>
          <w:sz w:val="24"/>
          <w:szCs w:val="24"/>
        </w:rPr>
        <w:t>XXXXXXX (Foto Multa)</w:t>
      </w:r>
      <w:r>
        <w:rPr>
          <w:rFonts w:ascii="Arial" w:cs="Arial" w:eastAsia="Arial" w:hAnsi="Arial"/>
          <w:color w:val="000000"/>
          <w:sz w:val="24"/>
          <w:szCs w:val="24"/>
        </w:rPr>
        <w:t xml:space="preserve"> con fecha de comparendo </w:t>
      </w:r>
      <w:r>
        <w:rPr>
          <w:rFonts w:ascii="Arial" w:cs="Arial" w:eastAsia="Arial" w:hAnsi="Arial"/>
          <w:sz w:val="24"/>
          <w:szCs w:val="24"/>
        </w:rPr>
        <w:t>del día</w:t>
      </w:r>
      <w:r>
        <w:rPr>
          <w:rFonts w:ascii="Arial" w:cs="Arial" w:eastAsia="Arial" w:hAnsi="Arial"/>
          <w:color w:val="000000"/>
          <w:sz w:val="24"/>
          <w:szCs w:val="24"/>
        </w:rPr>
        <w:t xml:space="preserve"> XXXXX de la secretaria de transito de XXXXX</w:t>
      </w:r>
    </w:p>
    <w:p>
      <w:pPr>
        <w:pStyle w:val="style0"/>
        <w:shd w:val="clear" w:color="auto" w:fill="ffffff"/>
        <w:spacing w:after="0"/>
        <w:jc w:val="both"/>
        <w:rPr>
          <w:rFonts w:ascii="Arial" w:cs="Arial" w:eastAsia="Arial" w:hAnsi="Arial"/>
          <w:sz w:val="24"/>
          <w:szCs w:val="24"/>
        </w:rPr>
      </w:pPr>
    </w:p>
    <w:p>
      <w:pPr>
        <w:pStyle w:val="style0"/>
        <w:shd w:val="clear" w:color="auto" w:fill="ffffff"/>
        <w:spacing w:after="0"/>
        <w:jc w:val="both"/>
        <w:rPr>
          <w:rFonts w:ascii="Arial" w:cs="Arial" w:eastAsia="Arial" w:hAnsi="Arial"/>
          <w:sz w:val="24"/>
          <w:szCs w:val="24"/>
        </w:rPr>
      </w:pP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 xml:space="preserve">2) Que en el SIMIT aparece la fecha de notificación el día 01/04/2016 para la sanción número </w:t>
      </w:r>
      <w:r>
        <w:rPr>
          <w:rFonts w:ascii="Arial" w:cs="Arial" w:eastAsia="Arial" w:hAnsi="Arial"/>
          <w:b/>
          <w:color w:val="000000"/>
          <w:sz w:val="24"/>
          <w:szCs w:val="24"/>
        </w:rPr>
        <w:t xml:space="preserve">XXXXX (Foto Multa) </w:t>
      </w:r>
      <w:r>
        <w:rPr>
          <w:rFonts w:ascii="Arial" w:cs="Arial" w:eastAsia="Arial" w:hAnsi="Arial"/>
          <w:color w:val="000000"/>
          <w:sz w:val="24"/>
          <w:szCs w:val="24"/>
        </w:rPr>
        <w:t>violando lo estipulado por el código de tránsito y el artículo 8° de la Ley 1843 del 2017, donde establece que la notificación se debe hacer 3 días después de haberse hecho la validación del comparendo, la cual deberá realizarse a más tardar, dentro de los 10 días hábiles siguientes a la ocurrencia de la infracción. (si nunca fue notificado de la misma, establecerlo en este punto)</w:t>
      </w: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 xml:space="preserve">3) Que la </w:t>
      </w:r>
      <w:r>
        <w:rPr>
          <w:rFonts w:ascii="Arial" w:cs="Arial" w:eastAsia="Arial" w:hAnsi="Arial"/>
          <w:sz w:val="24"/>
          <w:szCs w:val="24"/>
        </w:rPr>
        <w:t>secretaría</w:t>
      </w:r>
      <w:r>
        <w:rPr>
          <w:rFonts w:ascii="Arial" w:cs="Arial" w:eastAsia="Arial" w:hAnsi="Arial"/>
          <w:color w:val="000000"/>
          <w:sz w:val="24"/>
          <w:szCs w:val="24"/>
        </w:rPr>
        <w:t xml:space="preserve"> de xxxxx no </w:t>
      </w:r>
      <w:r>
        <w:rPr>
          <w:rFonts w:ascii="Arial" w:cs="Arial" w:eastAsia="Arial" w:hAnsi="Arial"/>
          <w:sz w:val="24"/>
          <w:szCs w:val="24"/>
        </w:rPr>
        <w:t>realizó</w:t>
      </w:r>
      <w:r>
        <w:rPr>
          <w:rFonts w:ascii="Arial" w:cs="Arial" w:eastAsia="Arial" w:hAnsi="Arial"/>
          <w:color w:val="000000"/>
          <w:sz w:val="24"/>
          <w:szCs w:val="24"/>
        </w:rPr>
        <w:t xml:space="preserve"> un proceso contravencional para establecer que el suscrito en efecto fue la persona que participó en la comisión de la infracción y que la realizó de manera culpable</w:t>
      </w: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4) Que la secretaria de transito de xxxx me impuso el comparendo solo por aparecer como propietario del vehículo de placas xxxx sin siquiera tener una sola prueba fehaciente que estableciera que yo era la persona que efectivamente cometió la infracción.</w:t>
      </w: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 xml:space="preserve">5) Que en la foto detección aportada como prueba en el expediente para </w:t>
      </w:r>
      <w:r>
        <w:rPr>
          <w:rFonts w:ascii="Arial" w:cs="Arial" w:eastAsia="Arial" w:hAnsi="Arial"/>
          <w:sz w:val="24"/>
          <w:szCs w:val="24"/>
        </w:rPr>
        <w:t>sancionar</w:t>
      </w:r>
      <w:r>
        <w:rPr>
          <w:rFonts w:ascii="Arial" w:cs="Arial" w:eastAsia="Arial" w:hAnsi="Arial"/>
          <w:color w:val="000000"/>
          <w:sz w:val="24"/>
          <w:szCs w:val="24"/>
        </w:rPr>
        <w:t xml:space="preserve"> solo se logra visualizar la placa del que era mi vehículo, pero no se muestra de manera clara quien conducía el vehículo automotor (si se ve la persona, pero no es identificable, plasmarlo de esa forma en este hecho)</w:t>
      </w: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center"/>
        <w:rPr>
          <w:rFonts w:ascii="Arial" w:cs="Arial" w:eastAsia="Arial" w:hAnsi="Arial"/>
          <w:b/>
          <w:color w:val="000000"/>
          <w:sz w:val="24"/>
          <w:szCs w:val="24"/>
        </w:rPr>
      </w:pPr>
      <w:r>
        <w:rPr>
          <w:rFonts w:ascii="Arial" w:cs="Arial" w:eastAsia="Arial" w:hAnsi="Arial"/>
          <w:b/>
          <w:color w:val="000000"/>
          <w:sz w:val="24"/>
          <w:szCs w:val="24"/>
        </w:rPr>
        <w:t>PRETENSIONES</w:t>
      </w:r>
    </w:p>
    <w:p>
      <w:pPr>
        <w:pStyle w:val="style0"/>
        <w:shd w:val="clear" w:color="auto" w:fill="ffffff"/>
        <w:spacing w:after="0"/>
        <w:jc w:val="center"/>
        <w:rPr>
          <w:rFonts w:ascii="Arial" w:cs="Arial" w:eastAsia="Arial" w:hAnsi="Arial"/>
          <w:b/>
          <w:color w:val="000000"/>
          <w:sz w:val="24"/>
          <w:szCs w:val="24"/>
        </w:rPr>
      </w:pP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 xml:space="preserve">1) Les </w:t>
      </w:r>
      <w:r>
        <w:rPr>
          <w:rFonts w:ascii="Arial" w:cs="Arial" w:eastAsia="Arial" w:hAnsi="Arial"/>
          <w:sz w:val="24"/>
          <w:szCs w:val="24"/>
        </w:rPr>
        <w:t>solicitó</w:t>
      </w:r>
      <w:r>
        <w:rPr>
          <w:rFonts w:ascii="Arial" w:cs="Arial" w:eastAsia="Arial" w:hAnsi="Arial"/>
          <w:color w:val="000000"/>
          <w:sz w:val="24"/>
          <w:szCs w:val="24"/>
        </w:rPr>
        <w:t xml:space="preserve"> responder a este derecho de petición resolviendo cada solicitud punto por punto y no de manera general teniendo en cuenta el artículo 16, parágrafo único de la ley 1437 de 2011 que reza:</w:t>
      </w: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ind w:left="708" w:firstLine="0"/>
        <w:jc w:val="both"/>
        <w:rPr>
          <w:rFonts w:ascii="Arial" w:cs="Arial" w:eastAsia="Arial" w:hAnsi="Arial"/>
          <w:color w:val="000000"/>
          <w:sz w:val="18"/>
          <w:szCs w:val="18"/>
        </w:rPr>
      </w:pPr>
      <w:r>
        <w:rPr>
          <w:rFonts w:ascii="Arial" w:cs="Arial" w:eastAsia="Arial" w:hAnsi="Arial"/>
          <w:color w:val="000000"/>
          <w:sz w:val="18"/>
          <w:szCs w:val="18"/>
        </w:rPr>
        <w:t xml:space="preserve">PARÁGRAFO. </w:t>
      </w:r>
      <w:r>
        <w:rPr>
          <w:rFonts w:ascii="Arial" w:cs="Arial" w:eastAsia="Arial" w:hAnsi="Arial"/>
          <w:b/>
          <w:sz w:val="18"/>
          <w:szCs w:val="18"/>
          <w:u w:val="single"/>
        </w:rPr>
        <w:t>La autoridad tiene la obligación de examinar integralmente la petición</w:t>
      </w:r>
      <w:r>
        <w:rPr>
          <w:rFonts w:ascii="Arial" w:cs="Arial" w:eastAsia="Arial" w:hAnsi="Arial"/>
          <w:b/>
          <w:sz w:val="18"/>
          <w:szCs w:val="18"/>
        </w:rPr>
        <w:t>,</w:t>
      </w:r>
      <w:r>
        <w:rPr>
          <w:rFonts w:ascii="Arial" w:cs="Arial" w:eastAsia="Arial" w:hAnsi="Arial"/>
          <w:sz w:val="18"/>
          <w:szCs w:val="18"/>
        </w:rPr>
        <w:t xml:space="preserve"> </w:t>
      </w:r>
      <w:r>
        <w:rPr>
          <w:rFonts w:ascii="Arial" w:cs="Arial" w:eastAsia="Arial" w:hAnsi="Arial"/>
          <w:color w:val="000000"/>
          <w:sz w:val="18"/>
          <w:szCs w:val="18"/>
        </w:rPr>
        <w:t>y en ningún caso la estimará incompleta por falta de requisitos o documentos que no se encuentren dentro del marco jurídico vigente y que no sean necesarios para resolverla.</w:t>
      </w:r>
    </w:p>
    <w:p>
      <w:pPr>
        <w:pStyle w:val="style0"/>
        <w:shd w:val="clear" w:color="auto" w:fill="ffffff"/>
        <w:spacing w:after="0"/>
        <w:rPr>
          <w:rFonts w:ascii="Arial" w:cs="Arial" w:eastAsia="Arial" w:hAnsi="Arial"/>
          <w:color w:val="000000"/>
          <w:sz w:val="24"/>
          <w:szCs w:val="24"/>
        </w:rPr>
      </w:pP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 xml:space="preserve"> </w:t>
      </w:r>
    </w:p>
    <w:p>
      <w:pPr>
        <w:pStyle w:val="style0"/>
        <w:shd w:val="clear" w:color="auto" w:fill="ffffff"/>
        <w:spacing w:after="0"/>
        <w:jc w:val="both"/>
        <w:rPr>
          <w:color w:val="000000"/>
          <w:sz w:val="28"/>
          <w:szCs w:val="28"/>
        </w:rPr>
      </w:pPr>
      <w:r>
        <w:rPr>
          <w:rFonts w:ascii="Arial" w:cs="Arial" w:eastAsia="Arial" w:hAnsi="Arial"/>
          <w:color w:val="000000"/>
          <w:sz w:val="24"/>
          <w:szCs w:val="24"/>
        </w:rPr>
        <w:t>2) Que se aplique los principios generales del derecho y la doctrina (in dubio pro-reo, onus probandi, legalidad, presunción de inocencia) y</w:t>
      </w:r>
      <w:r>
        <w:rPr>
          <w:color w:val="000000"/>
          <w:sz w:val="28"/>
          <w:szCs w:val="28"/>
        </w:rPr>
        <w:t xml:space="preserve"> se elimine y exonere del pago de la multa registrada con el número</w:t>
      </w:r>
      <w:r>
        <w:rPr>
          <w:rFonts w:ascii="Arial" w:cs="Arial" w:eastAsia="Arial" w:hAnsi="Arial"/>
          <w:color w:val="000000"/>
          <w:sz w:val="24"/>
          <w:szCs w:val="24"/>
        </w:rPr>
        <w:t xml:space="preserve"> </w:t>
      </w:r>
      <w:r>
        <w:rPr>
          <w:rFonts w:ascii="Arial" w:cs="Arial" w:eastAsia="Arial" w:hAnsi="Arial"/>
          <w:b/>
          <w:color w:val="000000"/>
          <w:sz w:val="24"/>
          <w:szCs w:val="24"/>
          <w:highlight w:val="yellow"/>
        </w:rPr>
        <w:t>XXXXXXXX</w:t>
      </w:r>
      <w:r>
        <w:rPr>
          <w:rFonts w:ascii="Arial" w:cs="Arial" w:eastAsia="Arial" w:hAnsi="Arial"/>
          <w:b/>
          <w:color w:val="000000"/>
          <w:sz w:val="24"/>
          <w:szCs w:val="24"/>
        </w:rPr>
        <w:t xml:space="preserve"> (Foto Multa) </w:t>
      </w:r>
      <w:r>
        <w:rPr>
          <w:color w:val="000000"/>
          <w:sz w:val="28"/>
          <w:szCs w:val="28"/>
        </w:rPr>
        <w:t>y a su vez, se elimine el correspondiente registro del Simit y de todas las bases de datos donde aparezca dicho reporte.</w:t>
      </w:r>
    </w:p>
    <w:p>
      <w:pPr>
        <w:pStyle w:val="style0"/>
        <w:shd w:val="clear" w:color="auto" w:fill="ffffff"/>
        <w:spacing w:after="0"/>
        <w:jc w:val="both"/>
        <w:rPr>
          <w:color w:val="000000"/>
          <w:sz w:val="28"/>
          <w:szCs w:val="28"/>
        </w:rPr>
      </w:pPr>
    </w:p>
    <w:p>
      <w:pPr>
        <w:pStyle w:val="style0"/>
        <w:shd w:val="clear" w:color="auto" w:fill="ffffff"/>
        <w:spacing w:after="0"/>
        <w:jc w:val="both"/>
        <w:rPr>
          <w:rFonts w:ascii="Arial" w:cs="Arial" w:eastAsia="Arial" w:hAnsi="Arial"/>
          <w:color w:val="00b050"/>
          <w:sz w:val="24"/>
          <w:szCs w:val="24"/>
        </w:rPr>
      </w:pP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 xml:space="preserve">RAZONES QUE SUSTENTAN ESTA </w:t>
      </w:r>
      <w:r>
        <w:rPr>
          <w:rFonts w:ascii="Arial" w:cs="Arial" w:eastAsia="Arial" w:hAnsi="Arial"/>
          <w:sz w:val="24"/>
          <w:szCs w:val="24"/>
        </w:rPr>
        <w:t>PETICIÓN</w:t>
      </w: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both"/>
        <w:rPr>
          <w:rFonts w:ascii="Arial" w:cs="Arial" w:eastAsia="Arial" w:hAnsi="Arial"/>
          <w:i/>
          <w:color w:val="000000"/>
          <w:sz w:val="24"/>
          <w:szCs w:val="24"/>
        </w:rPr>
      </w:pPr>
      <w:r>
        <w:rPr>
          <w:rFonts w:ascii="Arial" w:cs="Arial" w:eastAsia="Arial" w:hAnsi="Arial"/>
          <w:color w:val="000000"/>
          <w:sz w:val="24"/>
          <w:szCs w:val="24"/>
        </w:rPr>
        <w:t xml:space="preserve">La secretaria de transito de </w:t>
      </w:r>
      <w:r>
        <w:rPr>
          <w:rFonts w:ascii="Arial" w:cs="Arial" w:eastAsia="Arial" w:hAnsi="Arial"/>
          <w:color w:val="000000"/>
          <w:sz w:val="24"/>
          <w:szCs w:val="24"/>
          <w:highlight w:val="yellow"/>
        </w:rPr>
        <w:t>xxxxx</w:t>
      </w:r>
      <w:r>
        <w:rPr>
          <w:rFonts w:ascii="Arial" w:cs="Arial" w:eastAsia="Arial" w:hAnsi="Arial"/>
          <w:color w:val="000000"/>
          <w:sz w:val="24"/>
          <w:szCs w:val="24"/>
        </w:rPr>
        <w:t xml:space="preserve"> me impuso un comparendo por el solo hecho de aparecer en sus bases de datos como propietario del vehículo de placas xxxxx sin siquiera darme la oportunidad de </w:t>
      </w:r>
      <w:r>
        <w:rPr>
          <w:rFonts w:ascii="Arial" w:cs="Arial" w:eastAsia="Arial" w:hAnsi="Arial"/>
          <w:sz w:val="24"/>
          <w:szCs w:val="24"/>
        </w:rPr>
        <w:t>defenderse</w:t>
      </w:r>
      <w:r>
        <w:rPr>
          <w:rFonts w:ascii="Arial" w:cs="Arial" w:eastAsia="Arial" w:hAnsi="Arial"/>
          <w:color w:val="000000"/>
          <w:sz w:val="24"/>
          <w:szCs w:val="24"/>
        </w:rPr>
        <w:t xml:space="preserve">. Aunado a lo anterior esta entidad no </w:t>
      </w:r>
      <w:r>
        <w:rPr>
          <w:rFonts w:ascii="Arial" w:cs="Arial" w:eastAsia="Arial" w:hAnsi="Arial"/>
          <w:sz w:val="24"/>
          <w:szCs w:val="24"/>
        </w:rPr>
        <w:t>allegó</w:t>
      </w:r>
      <w:r>
        <w:rPr>
          <w:rFonts w:ascii="Arial" w:cs="Arial" w:eastAsia="Arial" w:hAnsi="Arial"/>
          <w:color w:val="000000"/>
          <w:sz w:val="24"/>
          <w:szCs w:val="24"/>
        </w:rPr>
        <w:t xml:space="preserve"> al proceso una prueba siquiera sumaria que demuestre que yo era la persona que iba conduciendo el vehículo el día de la infracción, esto teniendo en cuenta, que al expediente solo se aportó una foto detección, en la cual lo único que se alcanza a apreciar es la placa de mi vehículo automotor, y en ninguna de las </w:t>
      </w:r>
      <w:r>
        <w:rPr>
          <w:rFonts w:ascii="Arial" w:cs="Arial" w:eastAsia="Arial" w:hAnsi="Arial"/>
          <w:sz w:val="24"/>
          <w:szCs w:val="24"/>
        </w:rPr>
        <w:t>fotodetecciones</w:t>
      </w:r>
      <w:r>
        <w:rPr>
          <w:rFonts w:ascii="Arial" w:cs="Arial" w:eastAsia="Arial" w:hAnsi="Arial"/>
          <w:color w:val="000000"/>
          <w:sz w:val="24"/>
          <w:szCs w:val="24"/>
        </w:rPr>
        <w:t xml:space="preserve"> aportadas se logra identificar que yo era la persona que iba manejando el vehículo automotor. Para la secretaria de transito de xxxxx es suficiente la identificación de las placas del vehículo para atribuir la responsabilidad de la sanción al propietario del vehículo, no hace ni el más mínimo esfuerzo para indagar si es otra persona la que comete la infracción, olvidando lo que ha dicho la corte en sentencia C-690/96. Que “</w:t>
      </w:r>
      <w:r>
        <w:rPr>
          <w:rFonts w:ascii="Arial" w:cs="Arial" w:eastAsia="Arial" w:hAnsi="Arial"/>
          <w:i/>
          <w:color w:val="000000"/>
          <w:sz w:val="24"/>
          <w:szCs w:val="24"/>
        </w:rPr>
        <w:t>la responsabilidad sancionatoria por el comportamiento de otros, por casos fortuitos, fruto de la fuerza mayor o por el hecho de las cosas sería irrazonable”.</w:t>
      </w:r>
    </w:p>
    <w:p>
      <w:pPr>
        <w:pStyle w:val="style0"/>
        <w:shd w:val="clear" w:color="auto" w:fill="ffffff"/>
        <w:spacing w:after="0"/>
        <w:jc w:val="both"/>
        <w:rPr>
          <w:rFonts w:ascii="Arial" w:cs="Arial" w:eastAsia="Arial" w:hAnsi="Arial"/>
          <w:i/>
          <w:color w:val="000000"/>
          <w:sz w:val="24"/>
          <w:szCs w:val="24"/>
        </w:rPr>
      </w:pP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Es importante resaltar, que la carga de la prueba de los elementos de la responsabilidad, incluida la imputación personal de la infracción, le corresponde al Estado, esto es, que le corresponde a la secretaria de transito de xxxxx demostrar que efectivamente el suscrito fue quien cometió la infracción que se me endilga, y como ya se ha mencionado en diferentes ocasiones, no existe una sola prueba dentro del expediente que demuestre que efectivamente cometí la infracción mencionada, de esta forma se me ha violado mi debido proceso al sancionarme sin una prueba fehaciente que demuestre mi responsabilidad en la infracción.</w:t>
      </w:r>
    </w:p>
    <w:p>
      <w:pPr>
        <w:pStyle w:val="style0"/>
        <w:spacing w:after="0" w:lineRule="auto" w:line="240"/>
        <w:rPr>
          <w:rFonts w:ascii="Times New Roman" w:cs="Times New Roman" w:eastAsia="Times New Roman" w:hAnsi="Times New Roman"/>
          <w:color w:val="000000"/>
          <w:sz w:val="24"/>
          <w:szCs w:val="24"/>
        </w:rPr>
      </w:pPr>
    </w:p>
    <w:p>
      <w:pPr>
        <w:pStyle w:val="style0"/>
        <w:spacing w:after="0" w:lineRule="auto" w:line="240"/>
        <w:jc w:val="both"/>
        <w:rPr>
          <w:color w:val="000000"/>
          <w:sz w:val="24"/>
          <w:szCs w:val="24"/>
        </w:rPr>
      </w:pPr>
      <w:r>
        <w:rPr>
          <w:color w:val="000000"/>
          <w:sz w:val="24"/>
          <w:szCs w:val="24"/>
        </w:rPr>
        <w:t xml:space="preserve">la jurisprudencia constitucional ha sostenido que la responsabilidad objetiva está proscrita o prohibida en materia sancionatoria y reconoció un principio de </w:t>
      </w:r>
      <w:r>
        <w:rPr>
          <w:i/>
          <w:color w:val="000000"/>
          <w:sz w:val="24"/>
          <w:szCs w:val="24"/>
        </w:rPr>
        <w:t xml:space="preserve">nulla poena sine culpa </w:t>
      </w:r>
      <w:r>
        <w:rPr>
          <w:color w:val="000000"/>
          <w:sz w:val="24"/>
          <w:szCs w:val="24"/>
        </w:rPr>
        <w:t>para la corte:</w:t>
      </w:r>
    </w:p>
    <w:p>
      <w:pPr>
        <w:pStyle w:val="style0"/>
        <w:spacing w:after="0" w:lineRule="auto" w:line="240"/>
        <w:rPr>
          <w:rFonts w:ascii="Times New Roman" w:cs="Times New Roman" w:eastAsia="Times New Roman" w:hAnsi="Times New Roman"/>
          <w:color w:val="000000"/>
          <w:sz w:val="18"/>
          <w:szCs w:val="18"/>
        </w:rPr>
      </w:pPr>
    </w:p>
    <w:p>
      <w:pPr>
        <w:pStyle w:val="style0"/>
        <w:spacing w:after="0" w:lineRule="auto" w:line="240"/>
        <w:rPr>
          <w:color w:val="000000"/>
          <w:sz w:val="20"/>
          <w:szCs w:val="20"/>
        </w:rPr>
      </w:pPr>
      <w:r>
        <w:rPr>
          <w:color w:val="000000"/>
          <w:sz w:val="20"/>
          <w:szCs w:val="20"/>
        </w:rPr>
        <w:t>“en Colombia, conforme al principio de dignidad humana y de culpabilidad acogidos por la Carta (CP arts 1º y 29), está proscrita toda forma de responsabilidad objetiva en materia sancionadora” C-597 de 1996</w:t>
      </w: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En materia sancionatoria la Corte Constitucional colombiana, ha reprochado la responsabilidad sancionatoria por el hecho de otros, incluso aun, cuando la persona no concurra a las audiencias previstas, así, en sentencia C-530 de 2003 La honorable Corte Constitucional declare inexequible la expresión “</w:t>
      </w:r>
      <w:r>
        <w:rPr>
          <w:rFonts w:ascii="Arial" w:cs="Arial" w:eastAsia="Arial" w:hAnsi="Arial"/>
          <w:i/>
          <w:color w:val="000000"/>
          <w:sz w:val="24"/>
          <w:szCs w:val="24"/>
        </w:rPr>
        <w:t>en caso de no concurrir se impondrá la sanción al propietario registrado del vehículo</w:t>
      </w:r>
      <w:r>
        <w:rPr>
          <w:rFonts w:ascii="Arial" w:cs="Arial" w:eastAsia="Arial" w:hAnsi="Arial"/>
          <w:color w:val="000000"/>
          <w:sz w:val="24"/>
          <w:szCs w:val="24"/>
        </w:rPr>
        <w:t>”, prevista en el inciso primero del artículo 129 del código de tránsito. Para la Corte, esta norma:</w:t>
      </w: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ind w:left="708" w:firstLine="0"/>
        <w:jc w:val="both"/>
        <w:rPr>
          <w:rFonts w:ascii="Arial" w:cs="Arial" w:eastAsia="Arial" w:hAnsi="Arial"/>
          <w:color w:val="000000"/>
          <w:sz w:val="24"/>
          <w:szCs w:val="24"/>
        </w:rPr>
      </w:pPr>
      <w:r>
        <w:rPr>
          <w:rFonts w:ascii="Arial" w:cs="Arial" w:eastAsia="Arial" w:hAnsi="Arial"/>
          <w:color w:val="000000"/>
          <w:sz w:val="20"/>
          <w:szCs w:val="20"/>
        </w:rPr>
        <w:t>“implicaría no sólo permitir que las autoridades evadan su obligación de identificar al real infractor, sino que haría responsable al propietario, a pesar de que no haya tenido ninguna participación en la infracción”,</w:t>
      </w:r>
      <w:r>
        <w:rPr>
          <w:rFonts w:ascii="Arial" w:cs="Arial" w:eastAsia="Arial" w:hAnsi="Arial"/>
          <w:color w:val="000000"/>
          <w:sz w:val="24"/>
          <w:szCs w:val="24"/>
        </w:rPr>
        <w:t xml:space="preserve"> lo que es inconstitucional.</w:t>
      </w:r>
    </w:p>
    <w:p>
      <w:pPr>
        <w:pStyle w:val="style0"/>
        <w:shd w:val="clear" w:color="auto" w:fill="ffffff"/>
        <w:spacing w:after="0"/>
        <w:ind w:left="708" w:firstLine="0"/>
        <w:jc w:val="both"/>
        <w:rPr>
          <w:rFonts w:ascii="Arial" w:cs="Arial" w:eastAsia="Arial" w:hAnsi="Arial"/>
          <w:color w:val="000000"/>
          <w:sz w:val="24"/>
          <w:szCs w:val="24"/>
        </w:rPr>
      </w:pP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 xml:space="preserve">Dado que no participe en ninguna de las audiencias programada por la secretaria de transito de </w:t>
      </w:r>
      <w:r>
        <w:rPr>
          <w:rFonts w:ascii="Arial" w:cs="Arial" w:eastAsia="Arial" w:hAnsi="Arial"/>
          <w:color w:val="000000"/>
          <w:sz w:val="24"/>
          <w:szCs w:val="24"/>
          <w:highlight w:val="yellow"/>
        </w:rPr>
        <w:t>xxxxxxxx</w:t>
      </w:r>
      <w:r>
        <w:rPr>
          <w:rFonts w:ascii="Arial" w:cs="Arial" w:eastAsia="Arial" w:hAnsi="Arial"/>
          <w:color w:val="000000"/>
          <w:sz w:val="24"/>
          <w:szCs w:val="24"/>
        </w:rPr>
        <w:t xml:space="preserve"> no es esto, una razón suficiente para que se impusiera una infracción cuando en las pruebas obrantes en el proceso no se encontraba plenamente comprobado que el suscrito es el infractor.</w:t>
      </w: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Es importante anotar, que si bien la secretaria de transito debe notificar la infracción al propietario, en razón de la responsabilidad que asume por su relación con el vehículo, para que el propietario del vehículo sea obligado al pago de la multa, debe ser previamente vinculado al procedimiento administrativo y allí haberse demostrado que fue él quien cometió la infracción, de manera culpable</w:t>
      </w:r>
      <w:r>
        <w:rPr>
          <w:rFonts w:ascii="Arial" w:cs="Arial" w:eastAsia="Arial" w:hAnsi="Arial"/>
          <w:color w:val="000000"/>
          <w:sz w:val="24"/>
          <w:szCs w:val="24"/>
          <w:vertAlign w:val="superscript"/>
        </w:rPr>
        <w:footnoteReference w:id="1"/>
      </w:r>
      <w:r>
        <w:rPr>
          <w:rFonts w:ascii="Arial" w:cs="Arial" w:eastAsia="Arial" w:hAnsi="Arial"/>
          <w:color w:val="000000"/>
          <w:sz w:val="24"/>
          <w:szCs w:val="24"/>
        </w:rPr>
        <w:t>. Esto significa, que detectada la infracción se procederá a notificar al propietario para que realice sus descargos, pero, si el propietario no comparece o en su defecto comparece, pero niega ser quien cometió la infracción y la entidad de transito no cuenta con una prueba que identifique de manera clara y veraz que el propietario del vehículo efectivamente fue quien cometió la infracción de tránsito, no podría la secretaria de tránsito por ningún motivo endilgar la infracción al propietario del vehículo automotor.</w:t>
      </w: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Las secretarias de tránsitos no pueden evadir la obligación de identificar plenamente al infractor, por ende, estos no pueden simplemente sancionar al propietario del vehículo a pesar de que no haya tenido ninguna participación en la infracción”</w:t>
      </w:r>
      <w:r>
        <w:rPr>
          <w:rFonts w:ascii="Arial" w:cs="Arial" w:eastAsia="Arial" w:hAnsi="Arial"/>
          <w:color w:val="000000"/>
          <w:sz w:val="24"/>
          <w:szCs w:val="24"/>
          <w:vertAlign w:val="superscript"/>
        </w:rPr>
        <w:footnoteReference w:id="2"/>
      </w:r>
      <w:r>
        <w:rPr>
          <w:rFonts w:ascii="Arial" w:cs="Arial" w:eastAsia="Arial" w:hAnsi="Arial"/>
          <w:color w:val="000000"/>
          <w:sz w:val="24"/>
          <w:szCs w:val="24"/>
        </w:rPr>
        <w:t>. ya que releva inconstitucionalmente a la administración pública, del mínimo deber probatorio exigido para el ejercicio legítimo del poder punitivo estatal (ius puniendi), en el Estado constitucional de Derecho, consistente en identificar y demostrar quién es la persona que cometió la infracción</w:t>
      </w:r>
      <w:r>
        <w:rPr>
          <w:rFonts w:ascii="Arial" w:cs="Arial" w:eastAsia="Arial" w:hAnsi="Arial"/>
          <w:color w:val="000000"/>
          <w:sz w:val="24"/>
          <w:szCs w:val="24"/>
          <w:vertAlign w:val="superscript"/>
        </w:rPr>
        <w:footnoteReference w:id="3"/>
      </w: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En reciente sentencia C-038/20 la corte manifestó que:</w:t>
      </w: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both"/>
        <w:rPr>
          <w:rFonts w:ascii="Arial" w:cs="Arial" w:eastAsia="Arial" w:hAnsi="Arial"/>
          <w:color w:val="000000"/>
          <w:sz w:val="20"/>
          <w:szCs w:val="20"/>
        </w:rPr>
      </w:pPr>
      <w:r>
        <w:rPr>
          <w:rFonts w:ascii="Arial" w:cs="Arial" w:eastAsia="Arial" w:hAnsi="Arial"/>
          <w:color w:val="000000"/>
          <w:sz w:val="20"/>
          <w:szCs w:val="20"/>
        </w:rPr>
        <w:t>“no basta con identificar la placa del vehículo con el cual se comete la infracción, para que el Estado satisfaga su carga probatoria mínima en cuanto a la identificación del infractor, ya que la propiedad del vehículo no tiene la fuerza probatoria necesaria para demostrar quién personalmente realizó el comportamiento tipificado. Debe advertirse que la propiedad de los vehículos automotores no exige ser titular de un permiso o licencia de conducción vigente y que, para conducir válidamente un vehículo, no se exige ser su propietario”.</w:t>
      </w:r>
    </w:p>
    <w:p>
      <w:pPr>
        <w:pStyle w:val="style0"/>
        <w:shd w:val="clear" w:color="auto" w:fill="ffffff"/>
        <w:spacing w:after="0"/>
        <w:jc w:val="both"/>
        <w:rPr>
          <w:rFonts w:ascii="Arial" w:cs="Arial" w:eastAsia="Arial" w:hAnsi="Arial"/>
          <w:color w:val="000000"/>
          <w:sz w:val="20"/>
          <w:szCs w:val="20"/>
        </w:rPr>
      </w:pPr>
    </w:p>
    <w:p>
      <w:pPr>
        <w:pStyle w:val="style0"/>
        <w:shd w:val="clear" w:color="auto" w:fill="ffffff"/>
        <w:spacing w:after="0"/>
        <w:rPr>
          <w:rFonts w:ascii="Arial" w:cs="Arial" w:eastAsia="Arial" w:hAnsi="Arial"/>
          <w:color w:val="000000"/>
          <w:sz w:val="24"/>
          <w:szCs w:val="24"/>
        </w:rPr>
      </w:pPr>
      <w:r>
        <w:rPr>
          <w:rFonts w:ascii="Arial" w:cs="Arial" w:eastAsia="Arial" w:hAnsi="Arial"/>
          <w:color w:val="000000"/>
          <w:sz w:val="24"/>
          <w:szCs w:val="24"/>
        </w:rPr>
        <w:t xml:space="preserve">En la misma sentencia la corte condiciono al cumplimiento de ciertos requisitos la solidaridad en materia sancionatoria administrativa, los requisitos a saber son los siguientes;  </w:t>
      </w:r>
    </w:p>
    <w:p>
      <w:pPr>
        <w:pStyle w:val="style0"/>
        <w:shd w:val="clear" w:color="auto" w:fill="ffffff"/>
        <w:spacing w:after="0"/>
        <w:rPr>
          <w:rFonts w:ascii="Arial" w:cs="Arial" w:eastAsia="Arial" w:hAnsi="Arial"/>
          <w:color w:val="000000"/>
          <w:sz w:val="24"/>
          <w:szCs w:val="24"/>
        </w:rPr>
      </w:pPr>
    </w:p>
    <w:p>
      <w:pPr>
        <w:pStyle w:val="style0"/>
        <w:shd w:val="clear" w:color="auto" w:fill="ffffff"/>
        <w:spacing w:after="0"/>
        <w:ind w:left="708" w:firstLine="0"/>
        <w:jc w:val="both"/>
        <w:rPr>
          <w:rFonts w:ascii="Arial" w:cs="Arial" w:eastAsia="Arial" w:hAnsi="Arial"/>
          <w:color w:val="000000"/>
          <w:sz w:val="24"/>
          <w:szCs w:val="24"/>
        </w:rPr>
      </w:pPr>
      <w:r>
        <w:rPr>
          <w:rFonts w:ascii="Arial" w:cs="Arial" w:eastAsia="Arial" w:hAnsi="Arial"/>
          <w:color w:val="000000"/>
          <w:sz w:val="24"/>
          <w:szCs w:val="24"/>
        </w:rPr>
        <w:t>(a) garantizar el debido proceso de los obligados, lo que implica que la carga de la prueba de los elementos de la responsabilidad, incluida la imputación personal de la infracción, le corresponde al Estado, en razón de la presunción de inocencia y que a quienes se pretenda endilgar una responsabilidad solidaria, deben ser vinculados al procedimiento administrativo en el que se impondría la respectiva sanción, para permitir el ejercicio pleno y efectivo de su derecho a la defensa;</w:t>
      </w:r>
    </w:p>
    <w:p>
      <w:pPr>
        <w:pStyle w:val="style0"/>
        <w:shd w:val="clear" w:color="auto" w:fill="ffffff"/>
        <w:spacing w:after="0"/>
        <w:ind w:left="708" w:firstLine="0"/>
        <w:jc w:val="both"/>
        <w:rPr>
          <w:rFonts w:ascii="Arial" w:cs="Arial" w:eastAsia="Arial" w:hAnsi="Arial"/>
          <w:color w:val="000000"/>
          <w:sz w:val="24"/>
          <w:szCs w:val="24"/>
        </w:rPr>
      </w:pPr>
      <w:r>
        <w:rPr>
          <w:rFonts w:ascii="Arial" w:cs="Arial" w:eastAsia="Arial" w:hAnsi="Arial"/>
          <w:color w:val="000000"/>
          <w:sz w:val="24"/>
          <w:szCs w:val="24"/>
        </w:rPr>
        <w:t>(b) respetar el principio de responsabilidad personal de las sanciones, lo que implica demostrar que la infracción fue cometida por aquel a quien la ley le atribuye responsabilidad solidaria o participó de alguna manera efectiva en su realización;</w:t>
      </w:r>
    </w:p>
    <w:p>
      <w:pPr>
        <w:pStyle w:val="style0"/>
        <w:shd w:val="clear" w:color="auto" w:fill="ffffff"/>
        <w:spacing w:after="0"/>
        <w:ind w:left="708" w:firstLine="0"/>
        <w:jc w:val="both"/>
        <w:rPr>
          <w:rFonts w:ascii="Arial" w:cs="Arial" w:eastAsia="Arial" w:hAnsi="Arial"/>
          <w:color w:val="000000"/>
          <w:sz w:val="24"/>
          <w:szCs w:val="24"/>
        </w:rPr>
      </w:pPr>
      <w:r>
        <w:rPr>
          <w:rFonts w:ascii="Arial" w:cs="Arial" w:eastAsia="Arial" w:hAnsi="Arial"/>
          <w:color w:val="000000"/>
          <w:sz w:val="24"/>
          <w:szCs w:val="24"/>
        </w:rPr>
        <w:t>(c) demostrar que la infracción fue cometida de manera culpable, es decir, sin que sea factible una forma de responsabilidad objetiva</w:t>
      </w: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 xml:space="preserve">La secretaria de transito no cumplió ninguno de los requisitos estipulados por la corte al momento de endilgarle la infracción al suscrito, por ende, violo mis derechos constitucionales al debido proceso, siendo improcedente la infracción de tránsito impuesta en resolución </w:t>
      </w:r>
      <w:r>
        <w:rPr>
          <w:rFonts w:ascii="Arial" w:cs="Arial" w:eastAsia="Arial" w:hAnsi="Arial"/>
          <w:color w:val="000000"/>
          <w:sz w:val="24"/>
          <w:szCs w:val="24"/>
          <w:highlight w:val="yellow"/>
        </w:rPr>
        <w:t>xxxxx</w:t>
      </w:r>
      <w:r>
        <w:rPr>
          <w:rFonts w:ascii="Arial" w:cs="Arial" w:eastAsia="Arial" w:hAnsi="Arial"/>
          <w:color w:val="000000"/>
          <w:sz w:val="24"/>
          <w:szCs w:val="24"/>
        </w:rPr>
        <w:t xml:space="preserve"> de fecha.</w:t>
      </w:r>
    </w:p>
    <w:p>
      <w:pPr>
        <w:pStyle w:val="style0"/>
        <w:spacing w:after="0" w:lineRule="auto" w:line="240"/>
        <w:jc w:val="both"/>
        <w:rPr>
          <w:rFonts w:ascii="Arial" w:cs="Arial" w:eastAsia="Arial" w:hAnsi="Arial"/>
          <w:b/>
          <w:color w:val="000000"/>
          <w:sz w:val="24"/>
          <w:szCs w:val="24"/>
          <w:u w:val="single"/>
        </w:rPr>
      </w:pP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 xml:space="preserve">La </w:t>
      </w:r>
      <w:r>
        <w:rPr>
          <w:rFonts w:ascii="Arial" w:cs="Arial" w:eastAsia="Arial" w:hAnsi="Arial"/>
          <w:b/>
          <w:color w:val="000000"/>
          <w:sz w:val="24"/>
          <w:szCs w:val="24"/>
          <w:u w:val="single"/>
        </w:rPr>
        <w:t>presunción de inocencia</w:t>
      </w:r>
      <w:r>
        <w:rPr>
          <w:rFonts w:ascii="Arial" w:cs="Arial" w:eastAsia="Arial" w:hAnsi="Arial"/>
          <w:color w:val="000000"/>
          <w:sz w:val="24"/>
          <w:szCs w:val="24"/>
        </w:rPr>
        <w:t xml:space="preserve"> en nuestro ordenamiento jurídico adquiere el rango de </w:t>
      </w:r>
      <w:r>
        <w:rPr>
          <w:rFonts w:ascii="Arial" w:cs="Arial" w:eastAsia="Arial" w:hAnsi="Arial"/>
          <w:b/>
          <w:color w:val="000000"/>
          <w:sz w:val="24"/>
          <w:szCs w:val="24"/>
          <w:u w:val="single"/>
        </w:rPr>
        <w:t>derecho fundamental,</w:t>
      </w:r>
      <w:r>
        <w:rPr>
          <w:rFonts w:ascii="Arial" w:cs="Arial" w:eastAsia="Arial" w:hAnsi="Arial"/>
          <w:color w:val="000000"/>
          <w:sz w:val="24"/>
          <w:szCs w:val="24"/>
        </w:rPr>
        <w:t xml:space="preserve"> por virtud del cual el acusado NO está obligado a presentar prueba que demuestre su inocencia pues esto constituiría un caso de probatio diabólica y, por el contrario, ordena a las autoridades competentes, la demostración de la culpabilidad del indiciado (onus probandi) - pues lo normal se presume y lo anormal se prueba basado en el principio ontológico de que la naturaleza de los que conducen un vehículo automotor es no cometer infracciones y, cuando alguien se sale de dicho parámetro, se debe probar que así sucedió pues es más fácil probar que algo se hizo a que no se hizo o, en otras palabras, siempre es más fácil hacer afirmaciones positivas que negativas- y exige para ser desvirtuada la convicción o certeza, más allá de la duda razonable, basada en el material probatorio que establezca los elementos de la infracción. La </w:t>
      </w:r>
      <w:r>
        <w:rPr>
          <w:rFonts w:ascii="Arial" w:cs="Arial" w:eastAsia="Arial" w:hAnsi="Arial"/>
          <w:b/>
          <w:color w:val="000000"/>
          <w:sz w:val="24"/>
          <w:szCs w:val="24"/>
          <w:u w:val="single"/>
        </w:rPr>
        <w:t>presunción de culpa</w:t>
      </w:r>
      <w:r>
        <w:rPr>
          <w:rFonts w:ascii="Arial" w:cs="Arial" w:eastAsia="Arial" w:hAnsi="Arial"/>
          <w:color w:val="000000"/>
          <w:sz w:val="24"/>
          <w:szCs w:val="24"/>
        </w:rPr>
        <w:t xml:space="preserve"> basada en fotodetecciones </w:t>
      </w:r>
      <w:r>
        <w:rPr>
          <w:rFonts w:ascii="Arial" w:cs="Arial" w:eastAsia="Arial" w:hAnsi="Arial"/>
          <w:b/>
          <w:color w:val="000000"/>
          <w:sz w:val="24"/>
          <w:szCs w:val="24"/>
          <w:u w:val="single"/>
        </w:rPr>
        <w:t xml:space="preserve">deja dudas </w:t>
      </w:r>
      <w:r>
        <w:rPr>
          <w:rFonts w:ascii="Arial" w:cs="Arial" w:eastAsia="Arial" w:hAnsi="Arial"/>
          <w:color w:val="000000"/>
          <w:sz w:val="24"/>
          <w:szCs w:val="24"/>
        </w:rPr>
        <w:t xml:space="preserve">y </w:t>
      </w:r>
      <w:r>
        <w:rPr>
          <w:rFonts w:ascii="Arial" w:cs="Arial" w:eastAsia="Arial" w:hAnsi="Arial"/>
          <w:b/>
          <w:color w:val="000000"/>
          <w:sz w:val="24"/>
          <w:szCs w:val="24"/>
          <w:u w:val="single"/>
        </w:rPr>
        <w:t>toda duda debe resolverse a favor del indiciado</w:t>
      </w:r>
      <w:r>
        <w:rPr>
          <w:rFonts w:ascii="Arial" w:cs="Arial" w:eastAsia="Arial" w:hAnsi="Arial"/>
          <w:color w:val="000000"/>
          <w:sz w:val="24"/>
          <w:szCs w:val="24"/>
        </w:rPr>
        <w:t xml:space="preserve"> (in dubio pro reo). Y si se analiza el caso contrario -la presunción de culpabilidad a priori - se hace evidente porque se debe partir de la suposición de que alguien es inocente hasta que no se consiga prueba que demuestre lo contrario pues, si suponemos que el principio ontológico es que la naturaleza de todo el que conduce un vehículo automotor es cometer infracciones todo el tiempo, no habría necesidad de conseguir pruebas en contrario porque sería como tratar de probar una verdad que es evidente por si misma (como el hecho de que todo lo que sube aquí en la tierra tiene que bajar) y no se necesitaría de una audiencia previa ni de imputación de cargos para individualizar, acusar y condenar al indiciado. Por otro lado, si cometer infracciones fuera una ley natural que nadie puede evitar, no habría culpabilidad de nadie pues no habría dolo (actuar de mala fe o con mala intención), además, según la doctrina y los principios generales del derecho, el derecho (valga la redundancia) no se ocupa de las leyes naturales sino las leyes positivas creadas por el hombre a través de organismos competentes por medio de un procedimiento preestablecido. </w:t>
      </w: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Por otro lado, es preciso recordar los términos establecidos para la respuesta de los derechos de petición consagrados en la ley 1437 de 2011 en su artículo 14:</w:t>
      </w:r>
    </w:p>
    <w:p>
      <w:pPr>
        <w:pStyle w:val="style0"/>
        <w:shd w:val="clear" w:color="auto" w:fill="ffffff"/>
        <w:spacing w:after="0"/>
        <w:ind w:left="708" w:firstLine="0"/>
        <w:jc w:val="both"/>
        <w:rPr>
          <w:rFonts w:ascii="Arial" w:cs="Arial" w:eastAsia="Arial" w:hAnsi="Arial"/>
          <w:color w:val="000000"/>
          <w:sz w:val="18"/>
          <w:szCs w:val="18"/>
        </w:rPr>
      </w:pPr>
    </w:p>
    <w:p>
      <w:pPr>
        <w:pStyle w:val="style0"/>
        <w:shd w:val="clear" w:color="auto" w:fill="ffffff"/>
        <w:spacing w:after="0"/>
        <w:ind w:left="708" w:firstLine="0"/>
        <w:jc w:val="both"/>
        <w:rPr>
          <w:rFonts w:ascii="Arial" w:cs="Arial" w:eastAsia="Arial" w:hAnsi="Arial"/>
          <w:color w:val="000000"/>
          <w:sz w:val="18"/>
          <w:szCs w:val="18"/>
        </w:rPr>
      </w:pPr>
      <w:r>
        <w:rPr>
          <w:rFonts w:ascii="Arial" w:cs="Arial" w:eastAsia="Arial" w:hAnsi="Arial"/>
          <w:color w:val="000000"/>
          <w:sz w:val="18"/>
          <w:szCs w:val="18"/>
        </w:rPr>
        <w:t xml:space="preserve">ARTÍCULO 14. Salvo norma legal especial y so pena de sanción disciplinaria, </w:t>
      </w:r>
      <w:r>
        <w:rPr>
          <w:rFonts w:ascii="Arial" w:cs="Arial" w:eastAsia="Arial" w:hAnsi="Arial"/>
          <w:b/>
          <w:color w:val="000000"/>
          <w:sz w:val="18"/>
          <w:szCs w:val="18"/>
          <w:u w:val="single"/>
        </w:rPr>
        <w:t>toda petición deberá resolverse dentro de los quince (15) días siguientes a su recepción.</w:t>
      </w: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Por último, es necesario tener en cuenta el artículo 31 de la ley 1437 de 2011 en cuanto a la adecuada respuesta que deben tener los derechos de petición:</w:t>
      </w:r>
    </w:p>
    <w:p>
      <w:pPr>
        <w:pStyle w:val="style0"/>
        <w:shd w:val="clear" w:color="auto" w:fill="ffffff"/>
        <w:spacing w:after="0"/>
        <w:ind w:left="708" w:firstLine="0"/>
        <w:jc w:val="both"/>
        <w:rPr>
          <w:rFonts w:ascii="Arial" w:cs="Arial" w:eastAsia="Arial" w:hAnsi="Arial"/>
          <w:color w:val="000000"/>
          <w:sz w:val="18"/>
          <w:szCs w:val="18"/>
        </w:rPr>
      </w:pPr>
    </w:p>
    <w:p>
      <w:pPr>
        <w:pStyle w:val="style0"/>
        <w:shd w:val="clear" w:color="auto" w:fill="ffffff"/>
        <w:spacing w:after="0"/>
        <w:ind w:left="708" w:firstLine="0"/>
        <w:jc w:val="both"/>
        <w:rPr>
          <w:rFonts w:ascii="Arial" w:cs="Arial" w:eastAsia="Arial" w:hAnsi="Arial"/>
          <w:b/>
          <w:color w:val="000000"/>
          <w:sz w:val="18"/>
          <w:szCs w:val="18"/>
          <w:u w:val="single"/>
        </w:rPr>
      </w:pPr>
      <w:r>
        <w:rPr>
          <w:rFonts w:ascii="Arial" w:cs="Arial" w:eastAsia="Arial" w:hAnsi="Arial"/>
          <w:color w:val="000000"/>
          <w:sz w:val="18"/>
          <w:szCs w:val="18"/>
        </w:rPr>
        <w:t>ARTÍCULO 31</w:t>
      </w:r>
      <w:r>
        <w:rPr>
          <w:rFonts w:ascii="Arial" w:cs="Arial" w:eastAsia="Arial" w:hAnsi="Arial"/>
          <w:color w:val="000000"/>
          <w:sz w:val="18"/>
          <w:szCs w:val="18"/>
          <w:u w:val="single"/>
        </w:rPr>
        <w:t xml:space="preserve">. La falta de atención a las peticiones y a los </w:t>
      </w:r>
      <w:r>
        <w:rPr>
          <w:rFonts w:ascii="Arial" w:cs="Arial" w:eastAsia="Arial" w:hAnsi="Arial"/>
          <w:b/>
          <w:color w:val="000000"/>
          <w:sz w:val="18"/>
          <w:szCs w:val="18"/>
          <w:u w:val="single"/>
        </w:rPr>
        <w:t>términos para resolver</w:t>
      </w:r>
      <w:r>
        <w:rPr>
          <w:rFonts w:ascii="Arial" w:cs="Arial" w:eastAsia="Arial" w:hAnsi="Arial"/>
          <w:color w:val="000000"/>
          <w:sz w:val="18"/>
          <w:szCs w:val="18"/>
          <w:u w:val="single"/>
        </w:rPr>
        <w:t>,</w:t>
      </w:r>
      <w:r>
        <w:rPr>
          <w:rFonts w:ascii="Arial" w:cs="Arial" w:eastAsia="Arial" w:hAnsi="Arial"/>
          <w:color w:val="000000"/>
          <w:sz w:val="18"/>
          <w:szCs w:val="18"/>
        </w:rPr>
        <w:t xml:space="preserve"> la contravención a las prohibiciones y el desconocimiento de los derechos de las personas de que trata esta Parte Primera del Código; </w:t>
      </w:r>
      <w:r>
        <w:rPr>
          <w:rFonts w:ascii="Arial" w:cs="Arial" w:eastAsia="Arial" w:hAnsi="Arial"/>
          <w:b/>
          <w:color w:val="000000"/>
          <w:sz w:val="18"/>
          <w:szCs w:val="18"/>
          <w:u w:val="single"/>
        </w:rPr>
        <w:t xml:space="preserve">constituirán falta gravísima para el servidor público y darán lugar a las sanciones correspondientes de acuerdo con la ley disciplinaria. </w:t>
      </w:r>
    </w:p>
    <w:p>
      <w:pPr>
        <w:pStyle w:val="style0"/>
        <w:shd w:val="clear" w:color="auto" w:fill="ffffff"/>
        <w:spacing w:after="0"/>
        <w:ind w:left="708" w:firstLine="0"/>
        <w:jc w:val="both"/>
        <w:rPr>
          <w:rFonts w:ascii="Arial" w:cs="Arial" w:eastAsia="Arial" w:hAnsi="Arial"/>
          <w:b/>
          <w:color w:val="000000"/>
          <w:sz w:val="18"/>
          <w:szCs w:val="18"/>
          <w:u w:val="single"/>
        </w:rPr>
      </w:pPr>
    </w:p>
    <w:p>
      <w:pPr>
        <w:pStyle w:val="style0"/>
        <w:shd w:val="clear" w:color="auto" w:fill="ffffff"/>
        <w:spacing w:after="0"/>
        <w:jc w:val="center"/>
        <w:rPr>
          <w:rFonts w:ascii="Arial" w:cs="Arial" w:eastAsia="Arial" w:hAnsi="Arial"/>
          <w:b/>
          <w:color w:val="000000"/>
          <w:sz w:val="28"/>
          <w:szCs w:val="28"/>
        </w:rPr>
      </w:pPr>
      <w:r>
        <w:rPr>
          <w:rFonts w:ascii="Arial" w:cs="Arial" w:eastAsia="Arial" w:hAnsi="Arial"/>
          <w:b/>
          <w:color w:val="000000"/>
          <w:sz w:val="28"/>
          <w:szCs w:val="28"/>
        </w:rPr>
        <w:t>NOTIFICACIONES</w:t>
      </w:r>
    </w:p>
    <w:p>
      <w:pPr>
        <w:pStyle w:val="style0"/>
        <w:shd w:val="clear" w:color="auto" w:fill="ffffff"/>
        <w:spacing w:after="0"/>
        <w:jc w:val="both"/>
        <w:rPr>
          <w:rFonts w:ascii="Arial" w:cs="Arial" w:eastAsia="Arial" w:hAnsi="Arial"/>
          <w:b/>
          <w:color w:val="000000"/>
          <w:sz w:val="28"/>
          <w:szCs w:val="28"/>
        </w:rPr>
      </w:pPr>
    </w:p>
    <w:p>
      <w:pPr>
        <w:pStyle w:val="style0"/>
        <w:rPr>
          <w:rFonts w:ascii="Arial" w:cs="Arial" w:eastAsia="Arial" w:hAnsi="Arial"/>
          <w:sz w:val="24"/>
          <w:szCs w:val="24"/>
        </w:rPr>
      </w:pPr>
      <w:r>
        <w:rPr>
          <w:rFonts w:ascii="Arial" w:cs="Arial" w:eastAsia="Arial" w:hAnsi="Arial"/>
          <w:sz w:val="24"/>
          <w:szCs w:val="24"/>
        </w:rPr>
        <w:t>El suscrito recibirá notificaciones en la carrera XXXXX</w:t>
      </w: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Cordialmente, </w:t>
      </w: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both"/>
        <w:rPr>
          <w:rFonts w:ascii="Arial" w:cs="Arial" w:eastAsia="Arial" w:hAnsi="Arial"/>
          <w:b/>
          <w:sz w:val="24"/>
          <w:szCs w:val="24"/>
          <w:u w:val="single"/>
        </w:rPr>
      </w:pPr>
      <w:r>
        <w:rPr>
          <w:rFonts w:ascii="Arial" w:cs="Arial" w:eastAsia="Arial" w:hAnsi="Arial"/>
          <w:b/>
          <w:color w:val="000000"/>
          <w:sz w:val="24"/>
          <w:szCs w:val="24"/>
        </w:rPr>
        <w:t>XXXX</w:t>
      </w:r>
    </w:p>
    <w:p>
      <w:pPr>
        <w:pStyle w:val="style0"/>
        <w:shd w:val="clear" w:color="auto" w:fill="ffffff"/>
        <w:spacing w:after="0"/>
        <w:jc w:val="both"/>
        <w:rPr>
          <w:rFonts w:ascii="Arial" w:cs="Arial" w:eastAsia="Arial" w:hAnsi="Arial"/>
          <w:color w:val="000000"/>
          <w:sz w:val="24"/>
          <w:szCs w:val="24"/>
        </w:rPr>
      </w:pPr>
    </w:p>
    <w:p>
      <w:pPr>
        <w:pStyle w:val="style0"/>
        <w:shd w:val="clear" w:color="auto" w:fill="ffffff"/>
        <w:spacing w:after="0"/>
        <w:jc w:val="both"/>
        <w:rPr>
          <w:rFonts w:ascii="Arial" w:cs="Arial" w:eastAsia="Arial" w:hAnsi="Arial"/>
          <w:color w:val="000000"/>
          <w:sz w:val="24"/>
          <w:szCs w:val="24"/>
        </w:rPr>
      </w:pPr>
      <w:r>
        <w:rPr>
          <w:rFonts w:ascii="Arial" w:cs="Arial" w:eastAsia="Arial" w:hAnsi="Arial"/>
          <w:color w:val="000000"/>
          <w:sz w:val="24"/>
          <w:szCs w:val="24"/>
        </w:rPr>
        <w:t>XXXXXX</w:t>
      </w:r>
    </w:p>
    <w:sectPr>
      <w:headerReference w:type="default" r:id="rId2"/>
      <w:pgSz w:w="12240" w:h="20160" w:orient="portrait"/>
      <w:pgMar w:top="1417" w:right="1701" w:bottom="1417" w:left="1701"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notes.xml><?xml version="1.0" encoding="utf-8"?>
<w:footnotes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footnote w:id="1">
    <w:p>
      <w:pPr>
        <w:pStyle w:val="style0"/>
        <w:keepNext w:val="false"/>
        <w:keepLines w:val="false"/>
        <w:widowControl/>
        <w:pBdr>
          <w:left w:val="nil"/>
          <w:right w:val="nil"/>
          <w:top w:val="nil"/>
          <w:bottom w:val="nil"/>
          <w:between w:val="nil"/>
        </w:pBdr>
        <w:shd w:val="clear" w:color="auto" w:fill="auto"/>
        <w:spacing w:before="0" w:after="0" w:lineRule="auto" w:line="240"/>
        <w:ind w:left="0" w:right="0" w:firstLine="0"/>
        <w:jc w:val="left"/>
        <w:rPr>
          <w:rFonts w:ascii="Calibri" w:cs="Calibri" w:eastAsia="Calibri" w:hAnsi="Calibri"/>
          <w:b w:val="false"/>
          <w:i w:val="false"/>
          <w:smallCaps w:val="false"/>
          <w:color w:val="000000"/>
          <w:sz w:val="20"/>
          <w:szCs w:val="20"/>
          <w:u w:val="none"/>
          <w:shd w:val="clear" w:color="auto" w:fill="auto"/>
          <w:vertAlign w:val="baseline"/>
        </w:rPr>
      </w:pPr>
      <w:r>
        <w:rPr>
          <w:vertAlign w:val="superscript"/>
        </w:rPr>
        <w:footnoteRef/>
      </w:r>
      <w:r>
        <w:rPr>
          <w:rFonts w:ascii="Calibri" w:cs="Calibri" w:eastAsia="Calibri" w:hAnsi="Calibri"/>
          <w:b w:val="false"/>
          <w:i w:val="false"/>
          <w:smallCaps w:val="false"/>
          <w:color w:val="000000"/>
          <w:sz w:val="20"/>
          <w:szCs w:val="20"/>
          <w:u w:val="none"/>
          <w:shd w:val="clear" w:color="auto" w:fill="auto"/>
          <w:vertAlign w:val="baseline"/>
        </w:rPr>
        <w:t xml:space="preserve"> C-980/10</w:t>
      </w:r>
    </w:p>
  </w:footnote>
  <w:footnote w:id="2">
    <w:p>
      <w:pPr>
        <w:pStyle w:val="style0"/>
        <w:keepNext w:val="false"/>
        <w:keepLines w:val="false"/>
        <w:widowControl/>
        <w:pBdr>
          <w:left w:val="nil"/>
          <w:right w:val="nil"/>
          <w:top w:val="nil"/>
          <w:bottom w:val="nil"/>
          <w:between w:val="nil"/>
        </w:pBdr>
        <w:shd w:val="clear" w:color="auto" w:fill="auto"/>
        <w:spacing w:before="0" w:after="0" w:lineRule="auto" w:line="240"/>
        <w:ind w:left="0" w:right="0" w:firstLine="0"/>
        <w:jc w:val="left"/>
        <w:rPr>
          <w:rFonts w:ascii="Calibri" w:cs="Calibri" w:eastAsia="Calibri" w:hAnsi="Calibri"/>
          <w:b w:val="false"/>
          <w:i w:val="false"/>
          <w:smallCaps w:val="false"/>
          <w:color w:val="000000"/>
          <w:sz w:val="20"/>
          <w:szCs w:val="20"/>
          <w:u w:val="none"/>
          <w:shd w:val="clear" w:color="auto" w:fill="auto"/>
          <w:vertAlign w:val="baseline"/>
        </w:rPr>
      </w:pPr>
      <w:r>
        <w:rPr>
          <w:vertAlign w:val="superscript"/>
        </w:rPr>
        <w:footnoteRef/>
      </w:r>
      <w:r>
        <w:rPr>
          <w:rFonts w:ascii="Calibri" w:cs="Calibri" w:eastAsia="Calibri" w:hAnsi="Calibri"/>
          <w:b w:val="false"/>
          <w:i w:val="false"/>
          <w:smallCaps w:val="false"/>
          <w:color w:val="000000"/>
          <w:sz w:val="20"/>
          <w:szCs w:val="20"/>
          <w:u w:val="none"/>
          <w:shd w:val="clear" w:color="auto" w:fill="auto"/>
          <w:vertAlign w:val="baseline"/>
        </w:rPr>
        <w:t xml:space="preserve"> C-530/03</w:t>
      </w:r>
    </w:p>
  </w:footnote>
  <w:footnote w:id="3">
    <w:p>
      <w:pPr>
        <w:pStyle w:val="style0"/>
        <w:keepNext w:val="false"/>
        <w:keepLines w:val="false"/>
        <w:widowControl/>
        <w:pBdr>
          <w:left w:val="nil"/>
          <w:right w:val="nil"/>
          <w:top w:val="nil"/>
          <w:bottom w:val="nil"/>
          <w:between w:val="nil"/>
        </w:pBdr>
        <w:shd w:val="clear" w:color="auto" w:fill="auto"/>
        <w:spacing w:before="0" w:after="0" w:lineRule="auto" w:line="240"/>
        <w:ind w:left="0" w:right="0" w:firstLine="0"/>
        <w:jc w:val="left"/>
        <w:rPr>
          <w:rFonts w:ascii="Calibri" w:cs="Calibri" w:eastAsia="Calibri" w:hAnsi="Calibri"/>
          <w:b w:val="false"/>
          <w:i w:val="false"/>
          <w:smallCaps w:val="false"/>
          <w:color w:val="000000"/>
          <w:sz w:val="20"/>
          <w:szCs w:val="20"/>
          <w:u w:val="none"/>
          <w:shd w:val="clear" w:color="auto" w:fill="auto"/>
          <w:vertAlign w:val="baseline"/>
        </w:rPr>
      </w:pPr>
      <w:r>
        <w:rPr>
          <w:vertAlign w:val="superscript"/>
        </w:rPr>
        <w:footnoteRef/>
      </w:r>
      <w:r>
        <w:rPr>
          <w:rFonts w:ascii="Calibri" w:cs="Calibri" w:eastAsia="Calibri" w:hAnsi="Calibri"/>
          <w:b w:val="false"/>
          <w:i w:val="false"/>
          <w:smallCaps w:val="false"/>
          <w:color w:val="000000"/>
          <w:sz w:val="20"/>
          <w:szCs w:val="20"/>
          <w:u w:val="none"/>
          <w:shd w:val="clear" w:color="auto" w:fill="auto"/>
          <w:vertAlign w:val="baseline"/>
        </w:rPr>
        <w:t xml:space="preserve"> C-038-2020</w:t>
      </w:r>
    </w:p>
  </w:footnote>
</w:footnote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0"/>
      <w:keepNext w:val="false"/>
      <w:keepLines w:val="false"/>
      <w:widowControl/>
      <w:pBdr>
        <w:left w:val="nil"/>
        <w:right w:val="nil"/>
        <w:top w:val="nil"/>
        <w:bottom w:val="nil"/>
        <w:between w:val="nil"/>
      </w:pBdr>
      <w:shd w:val="clear" w:color="auto" w:fill="auto"/>
      <w:tabs>
        <w:tab w:val="center" w:leader="none" w:pos="4252"/>
        <w:tab w:val="right" w:leader="none" w:pos="8504"/>
      </w:tabs>
      <w:spacing w:before="0" w:after="0" w:lineRule="auto" w:line="240"/>
      <w:ind w:left="0" w:right="0" w:firstLine="0"/>
      <w:jc w:val="left"/>
      <w:rPr>
        <w:rFonts w:ascii="Calibri" w:cs="Calibri" w:eastAsia="Calibri" w:hAnsi="Calibri"/>
        <w:b w:val="false"/>
        <w:i w:val="false"/>
        <w:smallCaps w:val="false"/>
        <w:color w:val="000000"/>
        <w:sz w:val="22"/>
        <w:szCs w:val="22"/>
        <w:u w:val="none"/>
        <w:shd w:val="clear" w:color="auto" w:fill="auto"/>
        <w:vertAlign w:val="baseline"/>
      </w:rPr>
    </w:pPr>
    <w:bookmarkStart w:id="1" w:name="_heading=h.30j0zll" w:colFirst="0" w:colLast="0"/>
    <w:bookmarkEnd w:id="1"/>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s-CO"/>
      </w:rPr>
    </w:rPrDefault>
    <w:pPrDefault>
      <w:pPr>
        <w:spacing w:after="200" w:lineRule="auto" w:line="276"/>
      </w:pPr>
    </w:pPrDefault>
  </w:docDefaults>
  <w:style w:type="paragraph" w:default="1" w:styleId="style0">
    <w:name w:val="Normal"/>
    <w:next w:val="style0"/>
    <w:qFormat/>
    <w:pPr/>
  </w:style>
  <w:style w:type="table" w:customStyle="1" w:styleId="style4098">
    <w:name w:val="Table Normal"/>
    <w:next w:val="style4098"/>
    <w:pPr/>
    <w:tcPr>
      <w:tcBorders/>
    </w:tcPr>
  </w:style>
  <w:style w:type="paragraph" w:styleId="style1">
    <w:name w:val="heading 1"/>
    <w:basedOn w:val="style0"/>
    <w:next w:val="style0"/>
    <w:pPr>
      <w:keepNext/>
      <w:keepLines/>
      <w:spacing w:before="480" w:after="120"/>
    </w:pPr>
    <w:rPr>
      <w:b/>
      <w:sz w:val="48"/>
      <w:szCs w:val="48"/>
    </w:rPr>
  </w:style>
  <w:style w:type="paragraph" w:styleId="style2">
    <w:name w:val="heading 2"/>
    <w:basedOn w:val="style0"/>
    <w:next w:val="style0"/>
    <w:pPr>
      <w:keepNext/>
      <w:keepLines/>
      <w:spacing w:before="360" w:after="80"/>
    </w:pPr>
    <w:rPr>
      <w:b/>
      <w:sz w:val="36"/>
      <w:szCs w:val="36"/>
    </w:rPr>
  </w:style>
  <w:style w:type="paragraph" w:styleId="style3">
    <w:name w:val="heading 3"/>
    <w:basedOn w:val="style0"/>
    <w:next w:val="style0"/>
    <w:pPr>
      <w:keepNext/>
      <w:keepLines/>
      <w:spacing w:before="280" w:after="80"/>
    </w:pPr>
    <w:rPr>
      <w:b/>
      <w:sz w:val="28"/>
      <w:szCs w:val="28"/>
    </w:rPr>
  </w:style>
  <w:style w:type="paragraph" w:styleId="style4">
    <w:name w:val="heading 4"/>
    <w:basedOn w:val="style0"/>
    <w:next w:val="style0"/>
    <w:pPr>
      <w:keepNext/>
      <w:keepLines/>
      <w:spacing w:before="240" w:after="40"/>
    </w:pPr>
    <w:rPr>
      <w:b/>
      <w:sz w:val="24"/>
      <w:szCs w:val="24"/>
    </w:rPr>
  </w:style>
  <w:style w:type="paragraph" w:styleId="style5">
    <w:name w:val="heading 5"/>
    <w:basedOn w:val="style0"/>
    <w:next w:val="style0"/>
    <w:pPr>
      <w:keepNext/>
      <w:keepLines/>
      <w:spacing w:before="220" w:after="40"/>
    </w:pPr>
    <w:rPr>
      <w:b/>
      <w:sz w:val="22"/>
      <w:szCs w:val="22"/>
    </w:rPr>
  </w:style>
  <w:style w:type="paragraph" w:styleId="style6">
    <w:name w:val="heading 6"/>
    <w:basedOn w:val="style0"/>
    <w:next w:val="style0"/>
    <w:pPr>
      <w:keepNext/>
      <w:keepLines/>
      <w:spacing w:before="200" w:after="40"/>
    </w:pPr>
    <w:rPr>
      <w:b/>
      <w:sz w:val="20"/>
      <w:szCs w:val="20"/>
    </w:rPr>
  </w:style>
  <w:style w:type="paragraph" w:styleId="style62">
    <w:name w:val="Title"/>
    <w:basedOn w:val="style0"/>
    <w:next w:val="style0"/>
    <w:pPr>
      <w:keepNext/>
      <w:keepLines/>
      <w:spacing w:before="480" w:after="120"/>
    </w:pPr>
    <w:rPr>
      <w:b/>
      <w:sz w:val="72"/>
      <w:szCs w:val="7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9">
    <w:name w:val="Estilo3"/>
    <w:basedOn w:val="style65"/>
    <w:next w:val="style4099"/>
    <w:qFormat/>
    <w:uiPriority w:val="1"/>
    <w:rPr>
      <w:rFonts w:ascii="Calibri" w:hAnsi="Calibri"/>
      <w:sz w:val="22"/>
    </w:rPr>
  </w:style>
  <w:style w:type="character" w:customStyle="1" w:styleId="style4100">
    <w:name w:val="Estilo4"/>
    <w:basedOn w:val="style65"/>
    <w:next w:val="style4100"/>
    <w:uiPriority w:val="1"/>
    <w:rPr>
      <w:rFonts w:ascii="Calibri" w:hAnsi="Calibri"/>
      <w:sz w:val="24"/>
    </w:rPr>
  </w:style>
  <w:style w:type="paragraph" w:customStyle="1" w:styleId="style4101">
    <w:name w:val="Default"/>
    <w:next w:val="style4101"/>
    <w:pPr>
      <w:autoSpaceDE w:val="false"/>
      <w:autoSpaceDN w:val="false"/>
      <w:adjustRightInd w:val="false"/>
      <w:spacing w:after="0" w:lineRule="auto" w:line="240"/>
    </w:pPr>
    <w:rPr>
      <w:rFonts w:ascii="Arial" w:cs="Arial" w:hAnsi="Arial"/>
      <w:color w:val="000000"/>
      <w:sz w:val="24"/>
      <w:szCs w:val="24"/>
    </w:rPr>
  </w:style>
  <w:style w:type="character" w:customStyle="1" w:styleId="style4102">
    <w:name w:val="apple-converted-space"/>
    <w:basedOn w:val="style65"/>
    <w:next w:val="style4102"/>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eastAsia="es-CO"/>
    </w:rPr>
  </w:style>
  <w:style w:type="character" w:styleId="style87">
    <w:name w:val="Strong"/>
    <w:basedOn w:val="style65"/>
    <w:next w:val="style87"/>
    <w:qFormat/>
    <w:uiPriority w:val="22"/>
    <w:rPr>
      <w:b/>
      <w:bCs/>
    </w:rPr>
  </w:style>
  <w:style w:type="character" w:styleId="style85">
    <w:name w:val="Hyperlink"/>
    <w:basedOn w:val="style65"/>
    <w:next w:val="style85"/>
    <w:uiPriority w:val="99"/>
    <w:rPr>
      <w:color w:val="0000ff"/>
      <w:u w:val="single"/>
    </w:rPr>
  </w:style>
  <w:style w:type="paragraph" w:styleId="style153">
    <w:name w:val="Balloon Text"/>
    <w:basedOn w:val="style0"/>
    <w:next w:val="style153"/>
    <w:link w:val="style4103"/>
    <w:uiPriority w:val="99"/>
    <w:pPr>
      <w:spacing w:after="0" w:lineRule="auto" w:line="240"/>
    </w:pPr>
    <w:rPr>
      <w:rFonts w:ascii="Tahoma" w:cs="Tahoma" w:hAnsi="Tahoma"/>
      <w:sz w:val="16"/>
      <w:szCs w:val="16"/>
    </w:rPr>
  </w:style>
  <w:style w:type="character" w:customStyle="1" w:styleId="style4103">
    <w:name w:val="Texto de globo Car"/>
    <w:basedOn w:val="style65"/>
    <w:next w:val="style4103"/>
    <w:link w:val="style153"/>
    <w:uiPriority w:val="99"/>
    <w:rPr>
      <w:rFonts w:ascii="Tahoma" w:cs="Tahoma" w:hAnsi="Tahoma"/>
      <w:sz w:val="16"/>
      <w:szCs w:val="16"/>
    </w:rPr>
  </w:style>
  <w:style w:type="paragraph" w:styleId="style179">
    <w:name w:val="List Paragraph"/>
    <w:basedOn w:val="style0"/>
    <w:next w:val="style179"/>
    <w:qFormat/>
    <w:uiPriority w:val="34"/>
    <w:pPr>
      <w:ind w:left="720"/>
      <w:contextualSpacing/>
    </w:pPr>
    <w:rPr/>
  </w:style>
  <w:style w:type="paragraph" w:styleId="style157">
    <w:name w:val="No Spacing"/>
    <w:next w:val="style157"/>
    <w:qFormat/>
    <w:uiPriority w:val="1"/>
    <w:pPr>
      <w:spacing w:after="0" w:lineRule="auto" w:line="240"/>
    </w:pPr>
    <w:rPr>
      <w:rFonts w:ascii="Verdana" w:cs="Times New Roman" w:eastAsia="Verdana" w:hAnsi="Verdana"/>
      <w:sz w:val="15"/>
      <w:szCs w:val="16"/>
      <w:lang w:eastAsia="es-CO"/>
    </w:rPr>
  </w:style>
  <w:style w:type="paragraph" w:styleId="style31">
    <w:name w:val="header"/>
    <w:basedOn w:val="style0"/>
    <w:next w:val="style31"/>
    <w:link w:val="style4104"/>
    <w:uiPriority w:val="99"/>
    <w:pPr>
      <w:tabs>
        <w:tab w:val="center" w:leader="none" w:pos="4252"/>
        <w:tab w:val="right" w:leader="none" w:pos="8504"/>
      </w:tabs>
      <w:spacing w:after="0" w:lineRule="auto" w:line="240"/>
    </w:pPr>
    <w:rPr/>
  </w:style>
  <w:style w:type="character" w:customStyle="1" w:styleId="style4104">
    <w:name w:val="Encabezado Car"/>
    <w:basedOn w:val="style65"/>
    <w:next w:val="style4104"/>
    <w:link w:val="style31"/>
    <w:uiPriority w:val="99"/>
  </w:style>
  <w:style w:type="paragraph" w:styleId="style32">
    <w:name w:val="footer"/>
    <w:basedOn w:val="style0"/>
    <w:next w:val="style32"/>
    <w:link w:val="style4105"/>
    <w:uiPriority w:val="99"/>
    <w:pPr>
      <w:tabs>
        <w:tab w:val="center" w:leader="none" w:pos="4252"/>
        <w:tab w:val="right" w:leader="none" w:pos="8504"/>
      </w:tabs>
      <w:spacing w:after="0" w:lineRule="auto" w:line="240"/>
    </w:pPr>
    <w:rPr/>
  </w:style>
  <w:style w:type="character" w:customStyle="1" w:styleId="style4105">
    <w:name w:val="Pie de página Car"/>
    <w:basedOn w:val="style65"/>
    <w:next w:val="style4105"/>
    <w:link w:val="style32"/>
    <w:uiPriority w:val="99"/>
  </w:style>
  <w:style w:type="paragraph" w:styleId="style29">
    <w:name w:val="footnote text"/>
    <w:basedOn w:val="style0"/>
    <w:next w:val="style29"/>
    <w:link w:val="style4106"/>
    <w:uiPriority w:val="99"/>
    <w:pPr>
      <w:spacing w:after="0" w:lineRule="auto" w:line="240"/>
    </w:pPr>
    <w:rPr>
      <w:sz w:val="20"/>
      <w:szCs w:val="20"/>
    </w:rPr>
  </w:style>
  <w:style w:type="character" w:customStyle="1" w:styleId="style4106">
    <w:name w:val="Texto nota pie Car"/>
    <w:basedOn w:val="style65"/>
    <w:next w:val="style4106"/>
    <w:link w:val="style29"/>
    <w:uiPriority w:val="99"/>
    <w:rPr>
      <w:sz w:val="20"/>
      <w:szCs w:val="20"/>
    </w:rPr>
  </w:style>
  <w:style w:type="character" w:styleId="style38">
    <w:name w:val="footnote reference"/>
    <w:basedOn w:val="style65"/>
    <w:next w:val="style38"/>
    <w:uiPriority w:val="99"/>
    <w:rPr>
      <w:vertAlign w:val="superscript"/>
    </w:rPr>
  </w:style>
  <w:style w:type="paragraph" w:styleId="style74">
    <w:name w:val="Subtitle"/>
    <w:basedOn w:val="style0"/>
    <w:next w:val="style0"/>
    <w:pPr>
      <w:keepNext/>
      <w:keepLines/>
      <w:spacing w:before="360" w:after="80"/>
    </w:pPr>
    <w:rPr>
      <w:rFonts w:ascii="Georgia" w:cs="Georgia" w:eastAsia="Georgia" w:hAnsi="Georgia"/>
      <w:i/>
      <w:color w:val="666666"/>
      <w:sz w:val="48"/>
      <w:szCs w:val="4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notes" Target="footnotes.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2123</Words>
  <Characters>10934</Characters>
  <Application>WPS Office135616331</Application>
  <Paragraphs>99</Paragraphs>
  <CharactersWithSpaces>13044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2020-11-06T20:43:00Z</dcterms:created>
  <dc:creator/>
  <lastModifiedBy>NCO-LX3</lastModifiedBy>
  <dcterms:modified xsi:type="dcterms:W3CDTF">2024-02-15T23:05:42Z</dcterms:modified>
</coreProperties>
</file>

<file path=docProps/custom.xml><?xml version="1.0" encoding="utf-8"?>
<Properties xmlns="http://schemas.openxmlformats.org/officeDocument/2006/custom-properties" xmlns:vt="http://schemas.openxmlformats.org/officeDocument/2006/docPropsVTypes"/>
</file>