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b w:val="0"/>
          <w:i w:val="0"/>
          <w:sz w:val="26"/>
        </w:rPr>
        <w:t>Государственное образовательное учреждение</w:t>
      </w:r>
    </w:p>
    <w:p>
      <w:pPr>
        <w:spacing w:line="276" w:lineRule="auto" w:before="0" w:after="80"/>
        <w:ind w:firstLine="0"/>
        <w:jc w:val="center"/>
      </w:pPr>
      <w:r>
        <w:rPr>
          <w:rFonts w:ascii="Times New Roman" w:hAnsi="Times New Roman"/>
          <w:b/>
          <w:i w:val="0"/>
          <w:sz w:val="27"/>
        </w:rPr>
        <w:t>«Приднестровский государственный университет им. Т.Г. Шевченко»</w:t>
      </w:r>
    </w:p>
    <w:p>
      <w:pPr>
        <w:spacing w:line="276" w:lineRule="auto" w:before="0" w:after="40"/>
        <w:ind w:firstLine="0"/>
        <w:jc w:val="center"/>
      </w:pPr>
      <w:r>
        <w:rPr>
          <w:rFonts w:ascii="Times New Roman" w:hAnsi="Times New Roman"/>
          <w:b w:val="0"/>
          <w:i w:val="0"/>
          <w:sz w:val="26"/>
        </w:rPr>
        <w:t>Физико-технический институт</w:t>
      </w:r>
    </w:p>
    <w:p>
      <w:pPr>
        <w:spacing w:line="276" w:lineRule="auto" w:before="0" w:after="40"/>
        <w:ind w:firstLine="0"/>
        <w:jc w:val="center"/>
      </w:pPr>
      <w:r>
        <w:rPr>
          <w:rFonts w:ascii="Times New Roman" w:hAnsi="Times New Roman"/>
          <w:b w:val="0"/>
          <w:i w:val="0"/>
          <w:sz w:val="26"/>
        </w:rPr>
        <w:t>Факультет информатики и вычислительной техники</w:t>
      </w:r>
    </w:p>
    <w:p>
      <w:pPr>
        <w:spacing w:line="276" w:lineRule="auto" w:before="0" w:after="560"/>
        <w:ind w:firstLine="0"/>
        <w:jc w:val="center"/>
      </w:pPr>
      <w:r>
        <w:rPr>
          <w:rFonts w:ascii="Times New Roman" w:hAnsi="Times New Roman"/>
          <w:b w:val="0"/>
          <w:i w:val="0"/>
          <w:sz w:val="26"/>
        </w:rPr>
        <w:t>Кафедра программного обеспечения вычислительной техники</w:t>
      </w:r>
    </w:p>
    <w:p>
      <w:pPr>
        <w:spacing w:line="276" w:lineRule="auto" w:before="0" w:after="80"/>
        <w:ind w:firstLine="0"/>
        <w:jc w:val="center"/>
      </w:pPr>
      <w:r>
        <w:rPr>
          <w:rFonts w:ascii="Times New Roman" w:hAnsi="Times New Roman"/>
          <w:b/>
          <w:i w:val="0"/>
          <w:sz w:val="36"/>
        </w:rPr>
        <w:t>ОТЧЕТ ПО ПРАКТИКЕ</w:t>
      </w:r>
    </w:p>
    <w:p>
      <w:pPr>
        <w:spacing w:line="276" w:lineRule="auto" w:before="0" w:after="280"/>
        <w:ind w:firstLine="0"/>
        <w:jc w:val="center"/>
      </w:pPr>
      <w:r>
        <w:rPr>
          <w:rFonts w:ascii="Times New Roman" w:hAnsi="Times New Roman"/>
          <w:b w:val="0"/>
          <w:i w:val="0"/>
          <w:sz w:val="28"/>
        </w:rPr>
        <w:t>Технологическая (проектно-технологическая) практика</w:t>
      </w:r>
    </w:p>
    <w:p>
      <w:pPr>
        <w:spacing w:line="276" w:lineRule="auto" w:before="0" w:after="480"/>
        <w:ind w:firstLine="0"/>
        <w:jc w:val="center"/>
      </w:pPr>
      <w:r>
        <w:rPr>
          <w:rFonts w:ascii="Times New Roman" w:hAnsi="Times New Roman"/>
          <w:b/>
          <w:i w:val="0"/>
          <w:sz w:val="30"/>
        </w:rPr>
        <w:t>Тема: Информационная система «Благотворительный фонд»</w:t>
      </w:r>
    </w:p>
    <w:p>
      <w:pPr>
        <w:spacing w:line="276" w:lineRule="auto" w:before="0" w:after="40"/>
        <w:ind w:firstLine="0"/>
        <w:jc w:val="left"/>
      </w:pPr>
      <w:r>
        <w:rPr>
          <w:rFonts w:ascii="Times New Roman" w:hAnsi="Times New Roman"/>
          <w:b w:val="0"/>
          <w:i w:val="0"/>
          <w:sz w:val="26"/>
        </w:rPr>
        <w:t>Направление 09.03.04 «Программная инженерия»</w:t>
      </w:r>
    </w:p>
    <w:p>
      <w:pPr>
        <w:spacing w:line="276" w:lineRule="auto" w:before="0" w:after="40"/>
        <w:ind w:firstLine="0"/>
        <w:jc w:val="left"/>
      </w:pPr>
      <w:r>
        <w:rPr>
          <w:rFonts w:ascii="Times New Roman" w:hAnsi="Times New Roman"/>
          <w:b w:val="0"/>
          <w:i w:val="0"/>
          <w:sz w:val="26"/>
        </w:rPr>
        <w:t>Профиль: «Разработка программно-информационных систем»</w:t>
      </w:r>
    </w:p>
    <w:p>
      <w:pPr>
        <w:spacing w:line="276" w:lineRule="auto" w:before="0" w:after="40"/>
        <w:ind w:firstLine="0"/>
        <w:jc w:val="left"/>
      </w:pPr>
      <w:r>
        <w:rPr>
          <w:rFonts w:ascii="Times New Roman" w:hAnsi="Times New Roman"/>
          <w:b w:val="0"/>
          <w:i w:val="0"/>
          <w:sz w:val="26"/>
        </w:rPr>
        <w:t>Студент 2 курса ФТ24ДР62ПИ группа</w:t>
      </w:r>
    </w:p>
    <w:p>
      <w:pPr>
        <w:spacing w:line="276" w:lineRule="auto" w:before="0" w:after="40"/>
        <w:ind w:firstLine="0"/>
        <w:jc w:val="left"/>
      </w:pPr>
      <w:r>
        <w:rPr>
          <w:rFonts w:ascii="Times New Roman" w:hAnsi="Times New Roman"/>
          <w:b w:val="0"/>
          <w:i w:val="0"/>
          <w:sz w:val="26"/>
        </w:rPr>
        <w:t>форма обучения очная</w:t>
      </w:r>
    </w:p>
    <w:p>
      <w:pPr>
        <w:spacing w:line="276" w:lineRule="auto" w:before="0" w:after="120"/>
        <w:ind w:firstLine="0"/>
        <w:jc w:val="left"/>
      </w:pPr>
      <w:r>
        <w:rPr>
          <w:rFonts w:ascii="Times New Roman" w:hAnsi="Times New Roman"/>
          <w:b/>
          <w:i w:val="0"/>
          <w:sz w:val="27"/>
        </w:rPr>
        <w:t>Афанасьев М.А.</w:t>
      </w:r>
    </w:p>
    <w:p>
      <w:pPr>
        <w:spacing w:line="276" w:lineRule="auto" w:before="0" w:after="40"/>
        <w:ind w:firstLine="0"/>
        <w:jc w:val="left"/>
      </w:pPr>
      <w:r>
        <w:rPr>
          <w:rFonts w:ascii="Times New Roman" w:hAnsi="Times New Roman"/>
          <w:b w:val="0"/>
          <w:i w:val="0"/>
          <w:sz w:val="25"/>
        </w:rPr>
        <w:t>Место прохождения практики: «ПГУ им. Т.Г. Шевченко, ФТИ, учебно-вычислительный центр»</w:t>
      </w:r>
    </w:p>
    <w:p>
      <w:pPr>
        <w:spacing w:line="276" w:lineRule="auto" w:before="0" w:after="280"/>
        <w:ind w:firstLine="0"/>
        <w:jc w:val="left"/>
      </w:pPr>
      <w:r>
        <w:rPr>
          <w:rFonts w:ascii="Times New Roman" w:hAnsi="Times New Roman"/>
          <w:b w:val="0"/>
          <w:i w:val="0"/>
          <w:sz w:val="25"/>
        </w:rPr>
        <w:t>Сроки прохождения практики: С «01» июня 2026 г. по «13» июля 2026 г.</w:t>
      </w:r>
    </w:p>
    <w:p>
      <w:pPr>
        <w:spacing w:line="276" w:lineRule="auto" w:before="0" w:after="40"/>
        <w:ind w:firstLine="0"/>
        <w:jc w:val="left"/>
      </w:pPr>
      <w:r>
        <w:rPr>
          <w:rFonts w:ascii="Times New Roman" w:hAnsi="Times New Roman"/>
          <w:b/>
          <w:i w:val="0"/>
          <w:sz w:val="26"/>
        </w:rPr>
        <w:t>Руководители практики:</w:t>
      </w:r>
    </w:p>
    <w:p>
      <w:pPr>
        <w:spacing w:line="276" w:lineRule="auto" w:before="0" w:after="40"/>
        <w:ind w:firstLine="0"/>
        <w:jc w:val="left"/>
      </w:pPr>
      <w:r>
        <w:rPr>
          <w:rFonts w:ascii="Times New Roman" w:hAnsi="Times New Roman"/>
          <w:b w:val="0"/>
          <w:i w:val="0"/>
          <w:sz w:val="25"/>
        </w:rPr>
        <w:t>От профильной организации: зав. кафедрой ПОВТ Помян С. В.</w:t>
      </w:r>
    </w:p>
    <w:p>
      <w:pPr>
        <w:spacing w:line="276" w:lineRule="auto" w:before="0" w:after="320"/>
        <w:ind w:firstLine="0"/>
        <w:jc w:val="left"/>
      </w:pPr>
      <w:r>
        <w:rPr>
          <w:rFonts w:ascii="Times New Roman" w:hAnsi="Times New Roman"/>
          <w:b w:val="0"/>
          <w:i w:val="0"/>
          <w:sz w:val="25"/>
        </w:rPr>
        <w:t>От университета: ст. преподаватель Е.В. Терещенко.</w:t>
      </w:r>
    </w:p>
    <w:p>
      <w:pPr>
        <w:spacing w:line="276" w:lineRule="auto" w:before="0" w:after="1000"/>
        <w:ind w:firstLine="0"/>
        <w:jc w:val="left"/>
      </w:pPr>
      <w:r>
        <w:rPr>
          <w:rFonts w:ascii="Times New Roman" w:hAnsi="Times New Roman"/>
          <w:b w:val="0"/>
          <w:i w:val="0"/>
          <w:sz w:val="26"/>
        </w:rPr>
        <w:t>Итоговая оценка (зачет) по практике: ______________________________</w:t>
      </w:r>
    </w:p>
    <w:p>
      <w:pPr>
        <w:spacing w:line="276" w:lineRule="auto" w:before="0" w:after="120"/>
        <w:ind w:firstLine="0"/>
        <w:jc w:val="center"/>
      </w:pPr>
      <w:r>
        <w:rPr>
          <w:rFonts w:ascii="Times New Roman" w:hAnsi="Times New Roman"/>
          <w:b w:val="0"/>
          <w:i w:val="0"/>
          <w:sz w:val="26"/>
        </w:rPr>
        <w:t>Тирасполь, 2026 г.</w:t>
      </w:r>
    </w:p>
    <w:p>
      <w:r>
        <w:br w:type="page"/>
      </w:r>
    </w:p>
    <w:p>
      <w:pPr>
        <w:spacing w:before="360" w:after="240" w:line="276" w:lineRule="auto"/>
        <w:ind w:firstLine="0"/>
        <w:jc w:val="center"/>
      </w:pPr>
      <w:r>
        <w:rPr>
          <w:rFonts w:ascii="Times New Roman" w:hAnsi="Times New Roman"/>
          <w:b/>
          <w:sz w:val="32"/>
        </w:rPr>
        <w:t>ОГЛАВЛЕНИЕ</w:t>
      </w:r>
    </w:p>
    <w:p>
      <w:pPr>
        <w:spacing w:line="276" w:lineRule="auto" w:before="40" w:after="40"/>
        <w:ind w:firstLine="0"/>
      </w:pPr>
      <w:r>
        <w:rPr>
          <w:rFonts w:ascii="Times New Roman" w:hAnsi="Times New Roman"/>
          <w:b/>
          <w:sz w:val="26"/>
        </w:rPr>
        <w:t>ВВЕДЕНИЕ</w:t>
      </w:r>
      <w:r>
        <w:rPr>
          <w:rFonts w:ascii="Times New Roman" w:hAnsi="Times New Roman"/>
          <w:color w:val="787878"/>
          <w:sz w:val="22"/>
        </w:rPr>
        <w:t xml:space="preserve"> ........................................................... </w:t>
      </w:r>
      <w:r>
        <w:rPr>
          <w:rFonts w:ascii="Times New Roman" w:hAnsi="Times New Roman"/>
          <w:b/>
          <w:sz w:val="26"/>
        </w:rPr>
        <w:t>3</w:t>
      </w:r>
    </w:p>
    <w:p>
      <w:pPr>
        <w:spacing w:line="276" w:lineRule="auto" w:before="40" w:after="40"/>
        <w:ind w:firstLine="0"/>
      </w:pPr>
      <w:r>
        <w:rPr>
          <w:rFonts w:ascii="Times New Roman" w:hAnsi="Times New Roman"/>
          <w:b/>
          <w:sz w:val="26"/>
        </w:rPr>
        <w:t>1 ОПИСАНИЕ ПРЕДМЕТНОЙ ОБЛАСТИ</w:t>
      </w:r>
      <w:r>
        <w:rPr>
          <w:rFonts w:ascii="Times New Roman" w:hAnsi="Times New Roman"/>
          <w:color w:val="787878"/>
          <w:sz w:val="22"/>
        </w:rPr>
        <w:t xml:space="preserve"> ................. </w:t>
      </w:r>
      <w:r>
        <w:rPr>
          <w:rFonts w:ascii="Times New Roman" w:hAnsi="Times New Roman"/>
          <w:b/>
          <w:sz w:val="26"/>
        </w:rPr>
        <w:t>4</w:t>
      </w:r>
    </w:p>
    <w:p>
      <w:pPr>
        <w:spacing w:line="276" w:lineRule="auto" w:before="40" w:after="40"/>
        <w:ind w:firstLine="0"/>
      </w:pPr>
      <w:r>
        <w:rPr>
          <w:rFonts w:ascii="Times New Roman" w:hAnsi="Times New Roman"/>
          <w:sz w:val="26"/>
        </w:rPr>
        <w:t xml:space="preserve">  1.1 Общие сведения</w:t>
      </w:r>
      <w:r>
        <w:rPr>
          <w:rFonts w:ascii="Times New Roman" w:hAnsi="Times New Roman"/>
          <w:color w:val="787878"/>
          <w:sz w:val="22"/>
        </w:rPr>
        <w:t xml:space="preserve"> ................................... </w:t>
      </w:r>
      <w:r>
        <w:rPr>
          <w:rFonts w:ascii="Times New Roman" w:hAnsi="Times New Roman"/>
          <w:sz w:val="26"/>
        </w:rPr>
        <w:t>4</w:t>
      </w:r>
    </w:p>
    <w:p>
      <w:pPr>
        <w:spacing w:line="276" w:lineRule="auto" w:before="40" w:after="40"/>
        <w:ind w:firstLine="0"/>
      </w:pPr>
      <w:r>
        <w:rPr>
          <w:rFonts w:ascii="Times New Roman" w:hAnsi="Times New Roman"/>
          <w:b/>
          <w:sz w:val="26"/>
        </w:rPr>
        <w:t>2 ПОСТАНОВКА ЗАДАЧИ</w:t>
      </w:r>
      <w:r>
        <w:rPr>
          <w:rFonts w:ascii="Times New Roman" w:hAnsi="Times New Roman"/>
          <w:color w:val="787878"/>
          <w:sz w:val="22"/>
        </w:rPr>
        <w:t xml:space="preserve"> ..................................... </w:t>
      </w:r>
      <w:r>
        <w:rPr>
          <w:rFonts w:ascii="Times New Roman" w:hAnsi="Times New Roman"/>
          <w:b/>
          <w:sz w:val="26"/>
        </w:rPr>
        <w:t>7</w:t>
      </w:r>
    </w:p>
    <w:p>
      <w:pPr>
        <w:spacing w:line="276" w:lineRule="auto" w:before="40" w:after="40"/>
        <w:ind w:firstLine="0"/>
      </w:pPr>
      <w:r>
        <w:rPr>
          <w:rFonts w:ascii="Times New Roman" w:hAnsi="Times New Roman"/>
          <w:b/>
          <w:sz w:val="26"/>
        </w:rPr>
        <w:t>3 РУКОВОДСТВО ПРОГРАММИСТА</w:t>
      </w:r>
      <w:r>
        <w:rPr>
          <w:rFonts w:ascii="Times New Roman" w:hAnsi="Times New Roman"/>
          <w:color w:val="787878"/>
          <w:sz w:val="22"/>
        </w:rPr>
        <w:t xml:space="preserve"> ....................... </w:t>
      </w:r>
      <w:r>
        <w:rPr>
          <w:rFonts w:ascii="Times New Roman" w:hAnsi="Times New Roman"/>
          <w:b/>
          <w:sz w:val="26"/>
        </w:rPr>
        <w:t>9</w:t>
      </w:r>
    </w:p>
    <w:p>
      <w:pPr>
        <w:spacing w:line="276" w:lineRule="auto" w:before="40" w:after="40"/>
        <w:ind w:firstLine="0"/>
      </w:pPr>
      <w:r>
        <w:rPr>
          <w:rFonts w:ascii="Times New Roman" w:hAnsi="Times New Roman"/>
          <w:sz w:val="26"/>
        </w:rPr>
        <w:t xml:space="preserve">  3.1 Введение</w:t>
      </w:r>
      <w:r>
        <w:rPr>
          <w:rFonts w:ascii="Times New Roman" w:hAnsi="Times New Roman"/>
          <w:color w:val="787878"/>
          <w:sz w:val="22"/>
        </w:rPr>
        <w:t xml:space="preserve"> ............................................... </w:t>
      </w:r>
      <w:r>
        <w:rPr>
          <w:rFonts w:ascii="Times New Roman" w:hAnsi="Times New Roman"/>
          <w:sz w:val="26"/>
        </w:rPr>
        <w:t>9</w:t>
      </w:r>
    </w:p>
    <w:p>
      <w:pPr>
        <w:spacing w:line="276" w:lineRule="auto" w:before="40" w:after="40"/>
        <w:ind w:firstLine="0"/>
      </w:pPr>
      <w:r>
        <w:rPr>
          <w:rFonts w:ascii="Times New Roman" w:hAnsi="Times New Roman"/>
          <w:sz w:val="26"/>
        </w:rPr>
        <w:t xml:space="preserve">  3.2 Общие сведения и архитектура</w:t>
      </w:r>
      <w:r>
        <w:rPr>
          <w:rFonts w:ascii="Times New Roman" w:hAnsi="Times New Roman"/>
          <w:color w:val="787878"/>
          <w:sz w:val="22"/>
        </w:rPr>
        <w:t xml:space="preserve"> ....... </w:t>
      </w:r>
      <w:r>
        <w:rPr>
          <w:rFonts w:ascii="Times New Roman" w:hAnsi="Times New Roman"/>
          <w:sz w:val="26"/>
        </w:rPr>
        <w:t>10</w:t>
      </w:r>
    </w:p>
    <w:p>
      <w:pPr>
        <w:spacing w:line="276" w:lineRule="auto" w:before="40" w:after="40"/>
        <w:ind w:firstLine="0"/>
      </w:pPr>
      <w:r>
        <w:rPr>
          <w:rFonts w:ascii="Times New Roman" w:hAnsi="Times New Roman"/>
          <w:sz w:val="26"/>
        </w:rPr>
        <w:t xml:space="preserve">  3.3 Описание типов данных и схемы БД</w:t>
      </w:r>
      <w:r>
        <w:rPr>
          <w:rFonts w:ascii="Times New Roman" w:hAnsi="Times New Roman"/>
          <w:color w:val="787878"/>
          <w:sz w:val="22"/>
        </w:rPr>
        <w:t xml:space="preserve"> ..... </w:t>
      </w:r>
      <w:r>
        <w:rPr>
          <w:rFonts w:ascii="Times New Roman" w:hAnsi="Times New Roman"/>
          <w:sz w:val="26"/>
        </w:rPr>
        <w:t>12</w:t>
      </w:r>
    </w:p>
    <w:p>
      <w:pPr>
        <w:spacing w:line="276" w:lineRule="auto" w:before="40" w:after="40"/>
        <w:ind w:firstLine="0"/>
      </w:pPr>
      <w:r>
        <w:rPr>
          <w:rFonts w:ascii="Times New Roman" w:hAnsi="Times New Roman"/>
          <w:sz w:val="26"/>
        </w:rPr>
        <w:t xml:space="preserve">  3.4 Описание исходных текстов программного продукта</w:t>
      </w:r>
      <w:r>
        <w:rPr>
          <w:rFonts w:ascii="Times New Roman" w:hAnsi="Times New Roman"/>
          <w:color w:val="787878"/>
          <w:sz w:val="22"/>
        </w:rPr>
        <w:t xml:space="preserve"> ..... </w:t>
      </w:r>
      <w:r>
        <w:rPr>
          <w:rFonts w:ascii="Times New Roman" w:hAnsi="Times New Roman"/>
          <w:sz w:val="26"/>
        </w:rPr>
        <w:t>15</w:t>
      </w:r>
    </w:p>
    <w:p>
      <w:pPr>
        <w:spacing w:line="276" w:lineRule="auto" w:before="40" w:after="40"/>
        <w:ind w:firstLine="0"/>
      </w:pPr>
      <w:r>
        <w:rPr>
          <w:rFonts w:ascii="Times New Roman" w:hAnsi="Times New Roman"/>
          <w:sz w:val="26"/>
        </w:rPr>
        <w:t xml:space="preserve">  3.5 Вид программного продукта</w:t>
      </w:r>
      <w:r>
        <w:rPr>
          <w:rFonts w:ascii="Times New Roman" w:hAnsi="Times New Roman"/>
          <w:color w:val="787878"/>
          <w:sz w:val="22"/>
        </w:rPr>
        <w:t xml:space="preserve"> ............. </w:t>
      </w:r>
      <w:r>
        <w:rPr>
          <w:rFonts w:ascii="Times New Roman" w:hAnsi="Times New Roman"/>
          <w:sz w:val="26"/>
        </w:rPr>
        <w:t>19</w:t>
      </w:r>
    </w:p>
    <w:p>
      <w:pPr>
        <w:spacing w:line="276" w:lineRule="auto" w:before="40" w:after="40"/>
        <w:ind w:firstLine="0"/>
      </w:pPr>
      <w:r>
        <w:rPr>
          <w:rFonts w:ascii="Times New Roman" w:hAnsi="Times New Roman"/>
          <w:b/>
          <w:sz w:val="26"/>
        </w:rPr>
        <w:t>4 РУКОВОДСТВО ПОЛЬЗОВАТЕЛЯ</w:t>
      </w:r>
      <w:r>
        <w:rPr>
          <w:rFonts w:ascii="Times New Roman" w:hAnsi="Times New Roman"/>
          <w:color w:val="787878"/>
          <w:sz w:val="22"/>
        </w:rPr>
        <w:t xml:space="preserve"> ....................... </w:t>
      </w:r>
      <w:r>
        <w:rPr>
          <w:rFonts w:ascii="Times New Roman" w:hAnsi="Times New Roman"/>
          <w:b/>
          <w:sz w:val="26"/>
        </w:rPr>
        <w:t>21</w:t>
      </w:r>
    </w:p>
    <w:p>
      <w:pPr>
        <w:spacing w:line="276" w:lineRule="auto" w:before="40" w:after="40"/>
        <w:ind w:firstLine="0"/>
      </w:pPr>
      <w:r>
        <w:rPr>
          <w:rFonts w:ascii="Times New Roman" w:hAnsi="Times New Roman"/>
          <w:sz w:val="26"/>
        </w:rPr>
        <w:t xml:space="preserve">  4.1 Введение</w:t>
      </w:r>
      <w:r>
        <w:rPr>
          <w:rFonts w:ascii="Times New Roman" w:hAnsi="Times New Roman"/>
          <w:color w:val="787878"/>
          <w:sz w:val="22"/>
        </w:rPr>
        <w:t xml:space="preserve"> ............................................... </w:t>
      </w:r>
      <w:r>
        <w:rPr>
          <w:rFonts w:ascii="Times New Roman" w:hAnsi="Times New Roman"/>
          <w:sz w:val="26"/>
        </w:rPr>
        <w:t>21</w:t>
      </w:r>
    </w:p>
    <w:p>
      <w:pPr>
        <w:spacing w:line="276" w:lineRule="auto" w:before="40" w:after="40"/>
        <w:ind w:firstLine="0"/>
      </w:pPr>
      <w:r>
        <w:rPr>
          <w:rFonts w:ascii="Times New Roman" w:hAnsi="Times New Roman"/>
          <w:sz w:val="26"/>
        </w:rPr>
        <w:t xml:space="preserve">  4.2 Системные требования</w:t>
      </w:r>
      <w:r>
        <w:rPr>
          <w:rFonts w:ascii="Times New Roman" w:hAnsi="Times New Roman"/>
          <w:color w:val="787878"/>
          <w:sz w:val="22"/>
        </w:rPr>
        <w:t xml:space="preserve"> ....................... </w:t>
      </w:r>
      <w:r>
        <w:rPr>
          <w:rFonts w:ascii="Times New Roman" w:hAnsi="Times New Roman"/>
          <w:sz w:val="26"/>
        </w:rPr>
        <w:t>21</w:t>
      </w:r>
    </w:p>
    <w:p>
      <w:pPr>
        <w:spacing w:line="276" w:lineRule="auto" w:before="40" w:after="40"/>
        <w:ind w:firstLine="0"/>
      </w:pPr>
      <w:r>
        <w:rPr>
          <w:rFonts w:ascii="Times New Roman" w:hAnsi="Times New Roman"/>
          <w:sz w:val="26"/>
        </w:rPr>
        <w:t xml:space="preserve">  4.3 Запуск и работа с программным продуктом</w:t>
      </w:r>
      <w:r>
        <w:rPr>
          <w:rFonts w:ascii="Times New Roman" w:hAnsi="Times New Roman"/>
          <w:color w:val="787878"/>
          <w:sz w:val="22"/>
        </w:rPr>
        <w:t xml:space="preserve"> ..... </w:t>
      </w:r>
      <w:r>
        <w:rPr>
          <w:rFonts w:ascii="Times New Roman" w:hAnsi="Times New Roman"/>
          <w:sz w:val="26"/>
        </w:rPr>
        <w:t>22</w:t>
      </w:r>
    </w:p>
    <w:p>
      <w:pPr>
        <w:spacing w:line="276" w:lineRule="auto" w:before="40" w:after="40"/>
        <w:ind w:firstLine="0"/>
      </w:pPr>
      <w:r>
        <w:rPr>
          <w:rFonts w:ascii="Times New Roman" w:hAnsi="Times New Roman"/>
          <w:b/>
          <w:sz w:val="26"/>
        </w:rPr>
        <w:t>ЗАКЛЮЧЕНИЕ</w:t>
      </w:r>
      <w:r>
        <w:rPr>
          <w:rFonts w:ascii="Times New Roman" w:hAnsi="Times New Roman"/>
          <w:color w:val="787878"/>
          <w:sz w:val="22"/>
        </w:rPr>
        <w:t xml:space="preserve"> ....................................................... </w:t>
      </w:r>
      <w:r>
        <w:rPr>
          <w:rFonts w:ascii="Times New Roman" w:hAnsi="Times New Roman"/>
          <w:b/>
          <w:sz w:val="26"/>
        </w:rPr>
        <w:t>28</w:t>
      </w:r>
    </w:p>
    <w:p>
      <w:pPr>
        <w:spacing w:line="276" w:lineRule="auto" w:before="40" w:after="40"/>
        <w:ind w:firstLine="0"/>
      </w:pPr>
      <w:r>
        <w:rPr>
          <w:rFonts w:ascii="Times New Roman" w:hAnsi="Times New Roman"/>
          <w:b/>
          <w:sz w:val="26"/>
        </w:rPr>
        <w:t>СПИСОК ИСПОЛЬЗОВАННОЙ ЛИТЕРАТУРЫ</w:t>
      </w:r>
      <w:r>
        <w:rPr>
          <w:rFonts w:ascii="Times New Roman" w:hAnsi="Times New Roman"/>
          <w:color w:val="787878"/>
          <w:sz w:val="22"/>
        </w:rPr>
        <w:t xml:space="preserve"> ........... </w:t>
      </w:r>
      <w:r>
        <w:rPr>
          <w:rFonts w:ascii="Times New Roman" w:hAnsi="Times New Roman"/>
          <w:b/>
          <w:sz w:val="26"/>
        </w:rPr>
        <w:t>29</w:t>
      </w:r>
    </w:p>
    <w:p>
      <w:r>
        <w:br w:type="page"/>
      </w:r>
    </w:p>
    <w:p>
      <w:pPr>
        <w:spacing w:before="360" w:after="240" w:line="276" w:lineRule="auto"/>
        <w:ind w:firstLine="0"/>
        <w:jc w:val="center"/>
      </w:pPr>
      <w:r>
        <w:rPr>
          <w:rFonts w:ascii="Times New Roman" w:hAnsi="Times New Roman"/>
          <w:b/>
          <w:sz w:val="32"/>
        </w:rPr>
        <w:t>ВВЕДЕНИЕ</w:t>
      </w:r>
    </w:p>
    <w:p>
      <w:pPr>
        <w:spacing w:line="276" w:lineRule="auto" w:before="0" w:after="120"/>
        <w:ind w:firstLine="709"/>
        <w:jc w:val="both"/>
      </w:pPr>
      <w:r>
        <w:rPr>
          <w:rFonts w:ascii="Times New Roman" w:hAnsi="Times New Roman"/>
          <w:b w:val="0"/>
          <w:i w:val="0"/>
          <w:sz w:val="28"/>
        </w:rPr>
        <w:t>В ходе технологической (проектно-технологической) практики был разработан программный комплекс «Информационная система Благотворительный фонд», представляющий собой настольное графическое приложение на платформе Microsoft .NET 8 (Windows Forms, язык C#), взаимодействующее с реляционной системой управления базами данных Microsoft SQL Server посредством прямого и прозрачного интерфейса доступа к данным ADO.NET. Приложение предназначено для комплексной автоматизации учета благотворителей (доноров), целевых программ фонда, поступающих пожертвований, реестра нуждающихся граждан (получателей помощи), а также документального оформления расходов и формирования регламентированной аналитической отчетности.</w:t>
      </w:r>
    </w:p>
    <w:p>
      <w:pPr>
        <w:spacing w:line="276" w:lineRule="auto" w:before="0" w:after="120"/>
        <w:ind w:firstLine="709"/>
        <w:jc w:val="both"/>
      </w:pPr>
      <w:r>
        <w:rPr>
          <w:rFonts w:ascii="Times New Roman" w:hAnsi="Times New Roman"/>
          <w:b w:val="0"/>
          <w:i w:val="0"/>
          <w:sz w:val="28"/>
        </w:rPr>
        <w:t>Актуальность темы обусловлена возрастающей ролью некоммерческих и благотворительных организаций в решении острых социальных, медицинских и гуманитарных задач. Эффективность работы благотворительного фонда напрямую зависит от степени доверия со стороны общества и благотворителей. Обеспечение абсолютной прозрачности каждого поступившего рубля, исключение ошибок ручного учета в бумажных журналах и электронных таблицах, оперативный контроль кассовых разрывов и целевого использования пожертвований требуют внедрения надежных, строго типизированных информационных систем.</w:t>
      </w:r>
    </w:p>
    <w:p>
      <w:pPr>
        <w:spacing w:line="276" w:lineRule="auto" w:before="0" w:after="120"/>
        <w:ind w:firstLine="709"/>
        <w:jc w:val="both"/>
      </w:pPr>
      <w:r>
        <w:rPr>
          <w:rFonts w:ascii="Times New Roman" w:hAnsi="Times New Roman"/>
          <w:b w:val="0"/>
          <w:i w:val="0"/>
          <w:sz w:val="28"/>
        </w:rPr>
        <w:t>Целью практики являлось закрепление и углубление теоретических знаний по дисциплинам объектно-ориентированного программирования и проектирования баз данных, освоение архитектурных принципов построения прикладных настольных систем с разделением логики представления и доступа к данным, а также приобретение практического опыта работы со связкой C#, Windows Forms, Microsoft SQL Server и ADO.NET (Microsoft.Data.SqlClient).</w:t>
      </w:r>
    </w:p>
    <w:p>
      <w:pPr>
        <w:spacing w:line="276" w:lineRule="auto" w:before="0" w:after="120"/>
        <w:ind w:firstLine="709"/>
        <w:jc w:val="both"/>
      </w:pPr>
      <w:r>
        <w:rPr>
          <w:rFonts w:ascii="Times New Roman" w:hAnsi="Times New Roman"/>
          <w:b w:val="0"/>
          <w:i w:val="0"/>
          <w:sz w:val="28"/>
        </w:rPr>
        <w:t>В процессе разработки программного комплекса были решены следующие задачи:</w:t>
        <w:br/>
        <w:t>— проведен детальный системный анализ предметной области и бизнес-процессов благотворительного фонда;</w:t>
        <w:br/>
        <w:t>— спроектирована нормализованная реляционная схема базы данных (3НФ), обеспечена ссылочная целостность через внешние ключи (FK) и каскадные правила;</w:t>
        <w:br/>
        <w:t>— написан и верифицирован DDL-скрипт развертывания базы данных CharityFundDB в среде MS SQL Server, содержащий таблицы, проверочные ограничения (CHECK), триггер синхронизации баланса проектов, представления (VIEW) и хранимые процедуры;</w:t>
        <w:br/>
        <w:t>— реализован независимый слой доступа к данным (DataAccess Layer) на основе ADO.NET с использованием строго параметризованных SQL-команд (SqlCommand, SqlParameter), исключающих уязвимости класса SQL Injection;</w:t>
        <w:br/>
        <w:t>— разработан современный, эргономичный и интуитивно понятный графический интерфейс пользователя (Windows Forms) с адаптивной версткой, панелью разделов, картотеками DataGridView, модальными формами редактирования и строкой состояния подключения;</w:t>
        <w:br/>
        <w:t>— реализованы 5 обязательных аналитических выборок: общая сумма пожертвований, активные проекты и процент выполнения цели, крупнейшие благотворители, финансовый баланс и расходы фонда, распределение помощи по категориям;</w:t>
        <w:br/>
        <w:t>— встроен механизм экспорта аналитических данных в формат CSV для последующего использования в Microsoft Excel;</w:t>
        <w:br/>
        <w:t>— проведено всестороннее тестирование программного комплекса на контрольных наборах данных.</w:t>
      </w:r>
    </w:p>
    <w:p>
      <w:r>
        <w:br w:type="page"/>
      </w:r>
    </w:p>
    <w:p>
      <w:pPr>
        <w:spacing w:before="360" w:after="240" w:line="276" w:lineRule="auto"/>
        <w:ind w:firstLine="0"/>
        <w:jc w:val="center"/>
      </w:pPr>
      <w:r>
        <w:rPr>
          <w:rFonts w:ascii="Times New Roman" w:hAnsi="Times New Roman"/>
          <w:b/>
          <w:sz w:val="32"/>
        </w:rPr>
        <w:t>1 ОПИСАНИЕ ПРЕДМЕТНОЙ ОБЛАСТИ</w:t>
      </w:r>
    </w:p>
    <w:p>
      <w:pPr>
        <w:spacing w:before="280" w:after="160" w:line="276" w:lineRule="auto"/>
        <w:ind w:firstLine="709"/>
        <w:jc w:val="left"/>
      </w:pPr>
      <w:r>
        <w:rPr>
          <w:rFonts w:ascii="Times New Roman" w:hAnsi="Times New Roman"/>
          <w:b/>
          <w:sz w:val="28"/>
        </w:rPr>
        <w:t>1.1 Общие сведения</w:t>
      </w:r>
    </w:p>
    <w:p>
      <w:pPr>
        <w:spacing w:line="276" w:lineRule="auto" w:before="0" w:after="120"/>
        <w:ind w:firstLine="709"/>
        <w:jc w:val="both"/>
      </w:pPr>
      <w:r>
        <w:rPr>
          <w:rFonts w:ascii="Times New Roman" w:hAnsi="Times New Roman"/>
          <w:b w:val="0"/>
          <w:i w:val="0"/>
          <w:sz w:val="28"/>
        </w:rPr>
        <w:t>Предметной областью разработанного программного комплекса является операционная и учетно-аналитическая деятельность некоммерческой организации «Благотворительный фонд». Фонд аккумулирует добровольные пожертвования от юридических и физических лиц и распределяет их на реализацию социально значимых программ: оплату дорогостоящих медицинских операций детям, обеспечение медикаментами и уходом одиноких пожилых людей и ветеранов, материально-техническую поддержку детских домов, проведение экологических акций и ликвидацию последствий чрезвычайных ситуаций.</w:t>
      </w:r>
    </w:p>
    <w:p>
      <w:pPr>
        <w:spacing w:line="276" w:lineRule="auto" w:before="0" w:after="120"/>
        <w:ind w:firstLine="709"/>
        <w:jc w:val="both"/>
      </w:pPr>
      <w:r>
        <w:rPr>
          <w:rFonts w:ascii="Times New Roman" w:hAnsi="Times New Roman"/>
          <w:b w:val="0"/>
          <w:i w:val="0"/>
          <w:sz w:val="28"/>
        </w:rPr>
        <w:t>Информационная модель предметной области охватывает шесть базовых взаимосвязанных сущностей:</w:t>
        <w:br/>
        <w:t>1. Категории помощи (Categories) — классификатор направлений благотворительной деятельности фонда (детское здоровье, поддержка ветеранов, сиротские учреждения, экология, экстренная помощь). Категории упорядочивают финансовые потоки и позволяют формировать агрегированную отчетность.</w:t>
        <w:br/>
        <w:t>2. Доноры (Donors) — физические лица, коммерческие предприятия и анонимные меценаты, совершающие безвозмездные взносы. Сущность фиксирует наименование или ФИО жертвователя, тип донора, контактное лицо, телефон, адрес электронной почты и почтовый адрес.</w:t>
        <w:br/>
        <w:t>3. Проекты (Projects) — целевые благотворительные программы и адресные сборы средств. Характеризуются названием, привязкой к профильной категории, плановой целевой суммой (TargetAmount), фактически собранным объемом средств (CurrentAmount), датами начала и завершения, текущим состоянием («Активен», «Завершен», «Приостановлен») и подробным описанием решаемой проблемы.</w:t>
        <w:br/>
        <w:t>4. Пожертвования (Donations) — финансовые транзакции поступления средств в фонд. Каждая запись жестко связывает конкретного донора с целевым проектом, фиксирует сумму взноса, дату и точное время поступления, способ проведения платежа (банковский перевод, оплата картой, наличные средства, электронные кошельки) и назначение перевода.</w:t>
        <w:br/>
        <w:t>5. Получатели помощи (Recipients) — граждане, семьи или социальные учреждения, обратившиеся в фонд за поддержкой. Включает ФИО/название, контактные данные, адрес, детальное обоснование потребности и текущий статус рассмотрения («На рассмотрении», «Одобрено», «Помощь оказана», «Отклонено»).</w:t>
        <w:br/>
        <w:t>6. Расходы фонда (Expenses) — операции целевого использования средств по проекту. Содержат ссылку на финансируемый проект, опциональную ссылку на конкретного благополучателя (в случае адресной помощи), сумму расхода, дату, развернутое назначение платежа (оплата счетов медицинского учреждения, закупка оборудования, лекарств, продуктовых наборов) и фамилию ответственного сотрудника фонда.</w:t>
      </w:r>
    </w:p>
    <w:p>
      <w:pPr>
        <w:spacing w:line="276" w:lineRule="auto" w:before="0" w:after="120"/>
        <w:ind w:firstLine="709"/>
        <w:jc w:val="both"/>
      </w:pPr>
      <w:r>
        <w:rPr>
          <w:rFonts w:ascii="Times New Roman" w:hAnsi="Times New Roman"/>
          <w:b w:val="0"/>
          <w:i w:val="0"/>
          <w:sz w:val="28"/>
        </w:rPr>
        <w:t>Взаимосвязь между сущностями подчиняется строгим реляционным правилам 1:M (один-ко-многим). Один донор может осуществлять множество пожертвований; один проект может принимать взносы от неограниченного числа жертвователей и иметь множество расходных операций. Автоматический расчет текущей собранной суммы проекта реализован на уровне базы данных посредством SQL-триггера, что полностью исключает рассогласование финансового баланса при параллельном вводе данных.</w:t>
      </w:r>
    </w:p>
    <w:p>
      <w:r>
        <w:br w:type="page"/>
      </w:r>
    </w:p>
    <w:p>
      <w:pPr>
        <w:spacing w:before="360" w:after="240" w:line="276" w:lineRule="auto"/>
        <w:ind w:firstLine="0"/>
        <w:jc w:val="center"/>
      </w:pPr>
      <w:r>
        <w:rPr>
          <w:rFonts w:ascii="Times New Roman" w:hAnsi="Times New Roman"/>
          <w:b/>
          <w:sz w:val="32"/>
        </w:rPr>
        <w:t>2 ПОСТАНОВКА ЗАДАЧИ</w:t>
      </w:r>
    </w:p>
    <w:p>
      <w:pPr>
        <w:spacing w:line="276" w:lineRule="auto" w:before="0" w:after="120"/>
        <w:ind w:firstLine="709"/>
        <w:jc w:val="both"/>
      </w:pPr>
      <w:r>
        <w:rPr>
          <w:rFonts w:ascii="Times New Roman" w:hAnsi="Times New Roman"/>
          <w:b w:val="0"/>
          <w:i w:val="0"/>
          <w:sz w:val="28"/>
        </w:rPr>
        <w:t>Целью курсовой практики является разработка многоуровневого прикладного программного обеспечения с графическим интерфейсом Windows Forms на языке C# под управлением .NET 8, взаимодействующего с базой данных Microsoft SQL Server посредством технологии ADO.NET, обеспечивающего учет ключевых сущностей благотворительного фонда и выдачу специализированных аналитических отчетов.</w:t>
      </w:r>
    </w:p>
    <w:p>
      <w:pPr>
        <w:spacing w:line="276" w:lineRule="auto" w:before="0" w:after="120"/>
        <w:ind w:firstLine="709"/>
        <w:jc w:val="both"/>
      </w:pPr>
      <w:r>
        <w:rPr>
          <w:rFonts w:ascii="Times New Roman" w:hAnsi="Times New Roman"/>
          <w:b w:val="0"/>
          <w:i w:val="0"/>
          <w:sz w:val="28"/>
        </w:rPr>
        <w:t>В соответствии с заданием на практику система должна обеспечивать выполнение следующих обязательных требований:</w:t>
        <w:br/>
        <w:t>1. Создание реляционной базы данных в СУБД Microsoft SQL Server со всеми необходимыми таблицами, первичными (PRIMARY KEY) и внешними ключами (FOREIGN KEY), каскадными правилами удаления/обновления и ограничениями целостности (CHECK, UNIQUE).</w:t>
        <w:br/>
        <w:t>2. Организация надежного подключения из среды разработки Visual Studio через строку подключения (Connection String) с возможностью горячего переключения между серверами (LocalDB, SQL Express, Standalone Server) через интерфейс программы.</w:t>
        <w:br/>
        <w:t>3. Полная реализация операций CRUD (Create, Read, Update, Delete) — добавление, чтение, редактирование и удаление записей — для всех основных таблиц системы (Доноры, Проекты, Категории, Пожертвования, Получатели, Расходы).</w:t>
        <w:br/>
        <w:t>4. Реализация 5 обязательных аналитических выборок (запросов) в соответствии с выданным заданием:</w:t>
        <w:br/>
        <w:t xml:space="preserve">   — Сумма пожертвований: общая сумма собранных средств, распределение по проектам, количество транзакций, даты первого и последнего взноса, фильтрация по произвольному диапазону дат;</w:t>
        <w:br/>
        <w:t xml:space="preserve">   — Активные проекты: выборка текущих сборов со статусом «Активен», расчет процента выполнения финансовой цели и остатка средств к сбору;</w:t>
        <w:br/>
        <w:t xml:space="preserve">   — Крупнейшие доноры: рейтинг благотворителей (юридических и физических лиц) по совокупному объему внесенных средств с указанием количества платежей и даты последнего взноса;</w:t>
        <w:br/>
        <w:t xml:space="preserve">   — Расходы фонда: сопоставление собранных и израсходованных средств по каждому проекту, вычисление текущего кассового остатка, детальный журнал расходов;</w:t>
        <w:br/>
        <w:t xml:space="preserve">   — Помощь по категориям: сводный отчет в разрезе социальных направлений с подсчетом числа проектов, охваченных получателей, общего объема привлеченных пожертвований и профинансированных затрат.</w:t>
        <w:br/>
        <w:t>5. Обеспечение дружественного пользовательского интерфейса, содержащего валидацию вводимых значений, визуальные цветовые индикаторы статусов, быстрый поиск и фильтрацию данных, а также экспорт сформированных аналитических таблиц в файл CSV.</w:t>
      </w:r>
    </w:p>
    <w:p>
      <w:pPr>
        <w:spacing w:line="276" w:lineRule="auto" w:before="0" w:after="120"/>
        <w:ind w:firstLine="709"/>
        <w:jc w:val="both"/>
      </w:pPr>
      <w:r>
        <w:rPr>
          <w:rFonts w:ascii="Times New Roman" w:hAnsi="Times New Roman"/>
          <w:b w:val="0"/>
          <w:i w:val="0"/>
          <w:sz w:val="28"/>
        </w:rPr>
        <w:t>Входными данными системы являются: регистрационные реквизиты доноров, параметры благотворительных проектов, платежные данные поступающих пожертвований (сумма, способ оплаты, дата), анкетные данные получателей помощи и первичные документы расходов фонда.</w:t>
      </w:r>
    </w:p>
    <w:p>
      <w:pPr>
        <w:spacing w:line="276" w:lineRule="auto" w:before="0" w:after="120"/>
        <w:ind w:firstLine="709"/>
        <w:jc w:val="both"/>
      </w:pPr>
      <w:r>
        <w:rPr>
          <w:rFonts w:ascii="Times New Roman" w:hAnsi="Times New Roman"/>
          <w:b w:val="0"/>
          <w:i w:val="0"/>
          <w:sz w:val="28"/>
        </w:rPr>
        <w:t>Выходными данными системы являются: наглядные табличные реестры записей в компонентах DataGridView, информационные карточки суммарных финансовых показателей фонда (всего собрано, израсходовано, баланс), детализированные аналитические отчеты по 5 обязательным запросам и выгруженные отчетные файлы CSV.</w:t>
      </w:r>
    </w:p>
    <w:p>
      <w:r>
        <w:br w:type="page"/>
      </w:r>
    </w:p>
    <w:p>
      <w:pPr>
        <w:spacing w:before="360" w:after="240" w:line="276" w:lineRule="auto"/>
        <w:ind w:firstLine="0"/>
        <w:jc w:val="center"/>
      </w:pPr>
      <w:r>
        <w:rPr>
          <w:rFonts w:ascii="Times New Roman" w:hAnsi="Times New Roman"/>
          <w:b/>
          <w:sz w:val="32"/>
        </w:rPr>
        <w:t>3 РУКОВОДСТВО ПРОГРАММИСТА</w:t>
      </w:r>
    </w:p>
    <w:p>
      <w:pPr>
        <w:spacing w:before="280" w:after="160" w:line="276" w:lineRule="auto"/>
        <w:ind w:firstLine="709"/>
        <w:jc w:val="left"/>
      </w:pPr>
      <w:r>
        <w:rPr>
          <w:rFonts w:ascii="Times New Roman" w:hAnsi="Times New Roman"/>
          <w:b/>
          <w:sz w:val="28"/>
        </w:rPr>
        <w:t>3.1 Введение</w:t>
      </w:r>
    </w:p>
    <w:p>
      <w:pPr>
        <w:spacing w:line="276" w:lineRule="auto" w:before="0" w:after="120"/>
        <w:ind w:firstLine="709"/>
        <w:jc w:val="both"/>
      </w:pPr>
      <w:r>
        <w:rPr>
          <w:rFonts w:ascii="Times New Roman" w:hAnsi="Times New Roman"/>
          <w:b w:val="0"/>
          <w:i w:val="0"/>
          <w:sz w:val="28"/>
        </w:rPr>
        <w:t>Настоящее руководство программиста содержит техническое описание архитектуры, структуры исходных текстов, классов доступа к данным и алгоритмов функционирования программного продукта «Информационная система Благотворительный фонд». Документ предназначен для разработчиков, осуществляющих аудит, сопровождение, модификацию или функциональное расширение созданного программного обеспечения.</w:t>
      </w:r>
    </w:p>
    <w:p>
      <w:pPr>
        <w:spacing w:line="276" w:lineRule="auto" w:before="0" w:after="120"/>
        <w:ind w:firstLine="709"/>
        <w:jc w:val="both"/>
      </w:pPr>
      <w:r>
        <w:rPr>
          <w:rFonts w:ascii="Times New Roman" w:hAnsi="Times New Roman"/>
          <w:b w:val="0"/>
          <w:i w:val="0"/>
          <w:sz w:val="28"/>
        </w:rPr>
        <w:t>Для успешного понимания и сопровождения кода специалист должен обладать базовыми знаниями языка C# стандарта C# 12, архитектуры платформы .NET 8, принципов функционирования оконных приложений Windows Forms, а также понимать специфику работы с реляционными базами данных MS SQL Server и провайдером ADO.NET Microsoft.Data.SqlClient.</w:t>
      </w:r>
    </w:p>
    <w:p>
      <w:pPr>
        <w:spacing w:before="280" w:after="160" w:line="276" w:lineRule="auto"/>
        <w:ind w:firstLine="709"/>
        <w:jc w:val="left"/>
      </w:pPr>
      <w:r>
        <w:rPr>
          <w:rFonts w:ascii="Times New Roman" w:hAnsi="Times New Roman"/>
          <w:b/>
          <w:sz w:val="28"/>
        </w:rPr>
        <w:t>3.2 Общие сведения и архитектура</w:t>
      </w:r>
    </w:p>
    <w:p>
      <w:pPr>
        <w:spacing w:line="276" w:lineRule="auto" w:before="0" w:after="120"/>
        <w:ind w:firstLine="709"/>
        <w:jc w:val="both"/>
      </w:pPr>
      <w:r>
        <w:rPr>
          <w:rFonts w:ascii="Times New Roman" w:hAnsi="Times New Roman"/>
          <w:b w:val="0"/>
          <w:i w:val="0"/>
          <w:sz w:val="28"/>
        </w:rPr>
        <w:t>Программный продукт спроектирован по многослойной модульной архитектуре (Layered Architecture) с четким разделением ответственности (Separation of Concerns). Решение логически разбито на 4 ключевых уровня:</w:t>
        <w:br/>
        <w:t>1. Уровень сущностей и моделей данных (Namespace: CharityFundApp.Models) — содержит POCO-классы (Plain Old CLR Objects), отражающие таблицы базы данных (Category, Donor, Project, Donation, Recipient, Expense), а также специализированные модели DTO для представления результатов 5 аналитических отчетов (DonationSummaryReportItem, ActiveProjectReportItem, TopDonorReportItem, FundExpenseReportItem, CategoryAssistanceReportItem).</w:t>
        <w:br/>
        <w:t>2. Уровень доступа к данным (Namespace: CharityFundApp.DataAccess) — построен на классическом, надежном и полностью прозрачном подходе ADO.NET. Базовый класс DatabaseHelper инкапсулирует строку подключения, жизненный цикл объектов SqlConnection, безопасное выполнение параметризованных команд SqlCommand, чтение выборок в DataTable/SqlDataReader и запуск SQL-скрипта первичной инициализации базы данных. Специализированные классы репозиториев (DonorRepository, ProjectRepository, DonationRepository, RecipientRepository, ExpenseRepository, CategoryRepository, ReportRepository) предоставляют строго типизированные методы для выполнения CRUD-операций и аналитических расчетов.</w:t>
        <w:br/>
        <w:t>3. Сервисный уровень (Namespace: CharityFundApp.Services) — содержит вспомогательные службы, в частности ExportService, отвечающий за потоковую выгрузку данных из DataGridView в файл формата CSV с корректной кодировкой UTF-8 с BOM, обеспечивающей автоматическое распознавание кириллических символов в Microsoft Excel.</w:t>
        <w:br/>
        <w:t>4. Уровень графического интерфейса (Namespace: CharityFundApp.Forms) — включает главное окно приложения MainForm и набор диалоговых модальных окон редактирования: DonorEditForm, ProjectEditForm, DonationEditForm, RecipientEditForm, ExpenseEditForm, CategoryEditForm, а также окно конфигурации подключения ConnectionSettingsForm.</w:t>
      </w:r>
    </w:p>
    <w:p>
      <w:pPr>
        <w:spacing w:before="280" w:after="160" w:line="276" w:lineRule="auto"/>
        <w:ind w:firstLine="709"/>
        <w:jc w:val="left"/>
      </w:pPr>
      <w:r>
        <w:rPr>
          <w:rFonts w:ascii="Times New Roman" w:hAnsi="Times New Roman"/>
          <w:b/>
          <w:sz w:val="28"/>
        </w:rPr>
        <w:t>3.3 Описание типов данных и схемы БД</w:t>
      </w:r>
    </w:p>
    <w:p>
      <w:pPr>
        <w:spacing w:line="276" w:lineRule="auto" w:before="0" w:after="120"/>
        <w:ind w:firstLine="709"/>
        <w:jc w:val="both"/>
      </w:pPr>
      <w:r>
        <w:rPr>
          <w:rFonts w:ascii="Times New Roman" w:hAnsi="Times New Roman"/>
          <w:b w:val="0"/>
          <w:i w:val="0"/>
          <w:sz w:val="28"/>
        </w:rPr>
        <w:t>База данных CharityFundDB спроектирована в третьей нормальной форме (3НФ). Ниже приведено описание структуры основных таблиц.</w:t>
      </w:r>
    </w:p>
    <w:tbl>
      <w:tblPr>
        <w:tblW w:type="auto" w:w="0"/>
        <w:jc w:val="center"/>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2422"/>
        <w:gridCol w:w="2422"/>
        <w:gridCol w:w="2422"/>
        <w:gridCol w:w="2422"/>
      </w:tblGrid>
      <w:tr>
        <w:tc>
          <w:tcPr>
            <w:tcW w:type="dxa" w:w="2422"/>
            <w:shd w:fill="E2E8F0"/>
            <w:tcMar>
              <w:top w:w="100" w:type="dxa"/>
              <w:bottom w:w="100" w:type="dxa"/>
              <w:left w:w="120" w:type="dxa"/>
              <w:right w:w="120" w:type="dxa"/>
            </w:tcMar>
          </w:tcPr>
          <w:p>
            <w:pPr>
              <w:jc w:val="center"/>
            </w:pPr>
            <w:r>
              <w:rPr>
                <w:rFonts w:ascii="Times New Roman" w:hAnsi="Times New Roman"/>
                <w:b/>
                <w:sz w:val="22"/>
              </w:rPr>
              <w:t>Имя таблицы</w:t>
            </w:r>
          </w:p>
        </w:tc>
        <w:tc>
          <w:tcPr>
            <w:tcW w:type="dxa" w:w="2422"/>
            <w:shd w:fill="E2E8F0"/>
            <w:tcMar>
              <w:top w:w="100" w:type="dxa"/>
              <w:bottom w:w="100" w:type="dxa"/>
              <w:left w:w="120" w:type="dxa"/>
              <w:right w:w="120" w:type="dxa"/>
            </w:tcMar>
          </w:tcPr>
          <w:p>
            <w:pPr>
              <w:jc w:val="center"/>
            </w:pPr>
            <w:r>
              <w:rPr>
                <w:rFonts w:ascii="Times New Roman" w:hAnsi="Times New Roman"/>
                <w:b/>
                <w:sz w:val="22"/>
              </w:rPr>
              <w:t>Первичный ключ</w:t>
            </w:r>
          </w:p>
        </w:tc>
        <w:tc>
          <w:tcPr>
            <w:tcW w:type="dxa" w:w="2422"/>
            <w:shd w:fill="E2E8F0"/>
            <w:tcMar>
              <w:top w:w="100" w:type="dxa"/>
              <w:bottom w:w="100" w:type="dxa"/>
              <w:left w:w="120" w:type="dxa"/>
              <w:right w:w="120" w:type="dxa"/>
            </w:tcMar>
          </w:tcPr>
          <w:p>
            <w:pPr>
              <w:jc w:val="center"/>
            </w:pPr>
            <w:r>
              <w:rPr>
                <w:rFonts w:ascii="Times New Roman" w:hAnsi="Times New Roman"/>
                <w:b/>
                <w:sz w:val="22"/>
              </w:rPr>
              <w:t>Внешние ключи (FK)</w:t>
            </w:r>
          </w:p>
        </w:tc>
        <w:tc>
          <w:tcPr>
            <w:tcW w:type="dxa" w:w="2422"/>
            <w:shd w:fill="E2E8F0"/>
            <w:tcMar>
              <w:top w:w="100" w:type="dxa"/>
              <w:bottom w:w="100" w:type="dxa"/>
              <w:left w:w="120" w:type="dxa"/>
              <w:right w:w="120" w:type="dxa"/>
            </w:tcMar>
          </w:tcPr>
          <w:p>
            <w:pPr>
              <w:jc w:val="center"/>
            </w:pPr>
            <w:r>
              <w:rPr>
                <w:rFonts w:ascii="Times New Roman" w:hAnsi="Times New Roman"/>
                <w:b/>
                <w:sz w:val="22"/>
              </w:rPr>
              <w:t>Назначение таблицы</w:t>
            </w:r>
          </w:p>
        </w:tc>
      </w:tr>
      <w:tr>
        <w:tc>
          <w:tcPr>
            <w:tcW w:type="dxa" w:w="2422"/>
            <w:tcMar>
              <w:top w:w="80" w:type="dxa"/>
              <w:bottom w:w="80" w:type="dxa"/>
              <w:left w:w="100" w:type="dxa"/>
              <w:right w:w="100" w:type="dxa"/>
            </w:tcMar>
          </w:tcPr>
          <w:p>
            <w:r>
              <w:rPr>
                <w:rFonts w:ascii="Times New Roman" w:hAnsi="Times New Roman"/>
                <w:sz w:val="20"/>
              </w:rPr>
              <w:t>Categories</w:t>
            </w:r>
          </w:p>
        </w:tc>
        <w:tc>
          <w:tcPr>
            <w:tcW w:type="dxa" w:w="2422"/>
            <w:tcMar>
              <w:top w:w="80" w:type="dxa"/>
              <w:bottom w:w="80" w:type="dxa"/>
              <w:left w:w="100" w:type="dxa"/>
              <w:right w:w="100" w:type="dxa"/>
            </w:tcMar>
          </w:tcPr>
          <w:p>
            <w:r>
              <w:rPr>
                <w:rFonts w:ascii="Times New Roman" w:hAnsi="Times New Roman"/>
                <w:sz w:val="20"/>
              </w:rPr>
              <w:t>Id (INT IDENTITY)</w:t>
            </w:r>
          </w:p>
        </w:tc>
        <w:tc>
          <w:tcPr>
            <w:tcW w:type="dxa" w:w="2422"/>
            <w:tcMar>
              <w:top w:w="80" w:type="dxa"/>
              <w:bottom w:w="80" w:type="dxa"/>
              <w:left w:w="100" w:type="dxa"/>
              <w:right w:w="100" w:type="dxa"/>
            </w:tcMar>
          </w:tcPr>
          <w:p>
            <w:r>
              <w:rPr>
                <w:rFonts w:ascii="Times New Roman" w:hAnsi="Times New Roman"/>
                <w:sz w:val="20"/>
              </w:rPr>
              <w:t>—</w:t>
            </w:r>
          </w:p>
        </w:tc>
        <w:tc>
          <w:tcPr>
            <w:tcW w:type="dxa" w:w="2422"/>
            <w:tcMar>
              <w:top w:w="80" w:type="dxa"/>
              <w:bottom w:w="80" w:type="dxa"/>
              <w:left w:w="100" w:type="dxa"/>
              <w:right w:w="100" w:type="dxa"/>
            </w:tcMar>
          </w:tcPr>
          <w:p>
            <w:r>
              <w:rPr>
                <w:rFonts w:ascii="Times New Roman" w:hAnsi="Times New Roman"/>
                <w:sz w:val="20"/>
              </w:rPr>
              <w:t>Классификатор программ и помощи (Медицина, Дети, Ветераны)</w:t>
            </w:r>
          </w:p>
        </w:tc>
      </w:tr>
      <w:tr>
        <w:tc>
          <w:tcPr>
            <w:tcW w:type="dxa" w:w="2422"/>
            <w:tcMar>
              <w:top w:w="80" w:type="dxa"/>
              <w:bottom w:w="80" w:type="dxa"/>
              <w:left w:w="100" w:type="dxa"/>
              <w:right w:w="100" w:type="dxa"/>
            </w:tcMar>
          </w:tcPr>
          <w:p>
            <w:r>
              <w:rPr>
                <w:rFonts w:ascii="Times New Roman" w:hAnsi="Times New Roman"/>
                <w:sz w:val="20"/>
              </w:rPr>
              <w:t>Donors</w:t>
            </w:r>
          </w:p>
        </w:tc>
        <w:tc>
          <w:tcPr>
            <w:tcW w:type="dxa" w:w="2422"/>
            <w:tcMar>
              <w:top w:w="80" w:type="dxa"/>
              <w:bottom w:w="80" w:type="dxa"/>
              <w:left w:w="100" w:type="dxa"/>
              <w:right w:w="100" w:type="dxa"/>
            </w:tcMar>
          </w:tcPr>
          <w:p>
            <w:r>
              <w:rPr>
                <w:rFonts w:ascii="Times New Roman" w:hAnsi="Times New Roman"/>
                <w:sz w:val="20"/>
              </w:rPr>
              <w:t>Id (INT IDENTITY)</w:t>
            </w:r>
          </w:p>
        </w:tc>
        <w:tc>
          <w:tcPr>
            <w:tcW w:type="dxa" w:w="2422"/>
            <w:tcMar>
              <w:top w:w="80" w:type="dxa"/>
              <w:bottom w:w="80" w:type="dxa"/>
              <w:left w:w="100" w:type="dxa"/>
              <w:right w:w="100" w:type="dxa"/>
            </w:tcMar>
          </w:tcPr>
          <w:p>
            <w:r>
              <w:rPr>
                <w:rFonts w:ascii="Times New Roman" w:hAnsi="Times New Roman"/>
                <w:sz w:val="20"/>
              </w:rPr>
              <w:t>—</w:t>
            </w:r>
          </w:p>
        </w:tc>
        <w:tc>
          <w:tcPr>
            <w:tcW w:type="dxa" w:w="2422"/>
            <w:tcMar>
              <w:top w:w="80" w:type="dxa"/>
              <w:bottom w:w="80" w:type="dxa"/>
              <w:left w:w="100" w:type="dxa"/>
              <w:right w:w="100" w:type="dxa"/>
            </w:tcMar>
          </w:tcPr>
          <w:p>
            <w:r>
              <w:rPr>
                <w:rFonts w:ascii="Times New Roman" w:hAnsi="Times New Roman"/>
                <w:sz w:val="20"/>
              </w:rPr>
              <w:t>Реестр физических, юридических и анонимных благотворителей</w:t>
            </w:r>
          </w:p>
        </w:tc>
      </w:tr>
      <w:tr>
        <w:tc>
          <w:tcPr>
            <w:tcW w:type="dxa" w:w="2422"/>
            <w:tcMar>
              <w:top w:w="80" w:type="dxa"/>
              <w:bottom w:w="80" w:type="dxa"/>
              <w:left w:w="100" w:type="dxa"/>
              <w:right w:w="100" w:type="dxa"/>
            </w:tcMar>
          </w:tcPr>
          <w:p>
            <w:r>
              <w:rPr>
                <w:rFonts w:ascii="Times New Roman" w:hAnsi="Times New Roman"/>
                <w:sz w:val="20"/>
              </w:rPr>
              <w:t>Projects</w:t>
            </w:r>
          </w:p>
        </w:tc>
        <w:tc>
          <w:tcPr>
            <w:tcW w:type="dxa" w:w="2422"/>
            <w:tcMar>
              <w:top w:w="80" w:type="dxa"/>
              <w:bottom w:w="80" w:type="dxa"/>
              <w:left w:w="100" w:type="dxa"/>
              <w:right w:w="100" w:type="dxa"/>
            </w:tcMar>
          </w:tcPr>
          <w:p>
            <w:r>
              <w:rPr>
                <w:rFonts w:ascii="Times New Roman" w:hAnsi="Times New Roman"/>
                <w:sz w:val="20"/>
              </w:rPr>
              <w:t>Id (INT IDENTITY)</w:t>
            </w:r>
          </w:p>
        </w:tc>
        <w:tc>
          <w:tcPr>
            <w:tcW w:type="dxa" w:w="2422"/>
            <w:tcMar>
              <w:top w:w="80" w:type="dxa"/>
              <w:bottom w:w="80" w:type="dxa"/>
              <w:left w:w="100" w:type="dxa"/>
              <w:right w:w="100" w:type="dxa"/>
            </w:tcMar>
          </w:tcPr>
          <w:p>
            <w:r>
              <w:rPr>
                <w:rFonts w:ascii="Times New Roman" w:hAnsi="Times New Roman"/>
                <w:sz w:val="20"/>
              </w:rPr>
              <w:t>CategoryId -&gt; Categories(Id)</w:t>
            </w:r>
          </w:p>
        </w:tc>
        <w:tc>
          <w:tcPr>
            <w:tcW w:type="dxa" w:w="2422"/>
            <w:tcMar>
              <w:top w:w="80" w:type="dxa"/>
              <w:bottom w:w="80" w:type="dxa"/>
              <w:left w:w="100" w:type="dxa"/>
              <w:right w:w="100" w:type="dxa"/>
            </w:tcMar>
          </w:tcPr>
          <w:p>
            <w:r>
              <w:rPr>
                <w:rFonts w:ascii="Times New Roman" w:hAnsi="Times New Roman"/>
                <w:sz w:val="20"/>
              </w:rPr>
              <w:t>Целевые благотворительные программы, бюджет и сборы</w:t>
            </w:r>
          </w:p>
        </w:tc>
      </w:tr>
      <w:tr>
        <w:tc>
          <w:tcPr>
            <w:tcW w:type="dxa" w:w="2422"/>
            <w:tcMar>
              <w:top w:w="80" w:type="dxa"/>
              <w:bottom w:w="80" w:type="dxa"/>
              <w:left w:w="100" w:type="dxa"/>
              <w:right w:w="100" w:type="dxa"/>
            </w:tcMar>
          </w:tcPr>
          <w:p>
            <w:r>
              <w:rPr>
                <w:rFonts w:ascii="Times New Roman" w:hAnsi="Times New Roman"/>
                <w:sz w:val="20"/>
              </w:rPr>
              <w:t>Donations</w:t>
            </w:r>
          </w:p>
        </w:tc>
        <w:tc>
          <w:tcPr>
            <w:tcW w:type="dxa" w:w="2422"/>
            <w:tcMar>
              <w:top w:w="80" w:type="dxa"/>
              <w:bottom w:w="80" w:type="dxa"/>
              <w:left w:w="100" w:type="dxa"/>
              <w:right w:w="100" w:type="dxa"/>
            </w:tcMar>
          </w:tcPr>
          <w:p>
            <w:r>
              <w:rPr>
                <w:rFonts w:ascii="Times New Roman" w:hAnsi="Times New Roman"/>
                <w:sz w:val="20"/>
              </w:rPr>
              <w:t>Id (INT IDENTITY)</w:t>
            </w:r>
          </w:p>
        </w:tc>
        <w:tc>
          <w:tcPr>
            <w:tcW w:type="dxa" w:w="2422"/>
            <w:tcMar>
              <w:top w:w="80" w:type="dxa"/>
              <w:bottom w:w="80" w:type="dxa"/>
              <w:left w:w="100" w:type="dxa"/>
              <w:right w:w="100" w:type="dxa"/>
            </w:tcMar>
          </w:tcPr>
          <w:p>
            <w:r>
              <w:rPr>
                <w:rFonts w:ascii="Times New Roman" w:hAnsi="Times New Roman"/>
                <w:sz w:val="20"/>
              </w:rPr>
              <w:t>DonorId -&gt; Donors(Id)</w:t>
              <w:br/>
              <w:t>ProjectId -&gt; Projects(Id)</w:t>
            </w:r>
          </w:p>
        </w:tc>
        <w:tc>
          <w:tcPr>
            <w:tcW w:type="dxa" w:w="2422"/>
            <w:tcMar>
              <w:top w:w="80" w:type="dxa"/>
              <w:bottom w:w="80" w:type="dxa"/>
              <w:left w:w="100" w:type="dxa"/>
              <w:right w:w="100" w:type="dxa"/>
            </w:tcMar>
          </w:tcPr>
          <w:p>
            <w:r>
              <w:rPr>
                <w:rFonts w:ascii="Times New Roman" w:hAnsi="Times New Roman"/>
                <w:sz w:val="20"/>
              </w:rPr>
              <w:t>Финансовые транзакции поступления взносов</w:t>
            </w:r>
          </w:p>
        </w:tc>
      </w:tr>
      <w:tr>
        <w:tc>
          <w:tcPr>
            <w:tcW w:type="dxa" w:w="2422"/>
            <w:tcMar>
              <w:top w:w="80" w:type="dxa"/>
              <w:bottom w:w="80" w:type="dxa"/>
              <w:left w:w="100" w:type="dxa"/>
              <w:right w:w="100" w:type="dxa"/>
            </w:tcMar>
          </w:tcPr>
          <w:p>
            <w:r>
              <w:rPr>
                <w:rFonts w:ascii="Times New Roman" w:hAnsi="Times New Roman"/>
                <w:sz w:val="20"/>
              </w:rPr>
              <w:t>Recipients</w:t>
            </w:r>
          </w:p>
        </w:tc>
        <w:tc>
          <w:tcPr>
            <w:tcW w:type="dxa" w:w="2422"/>
            <w:tcMar>
              <w:top w:w="80" w:type="dxa"/>
              <w:bottom w:w="80" w:type="dxa"/>
              <w:left w:w="100" w:type="dxa"/>
              <w:right w:w="100" w:type="dxa"/>
            </w:tcMar>
          </w:tcPr>
          <w:p>
            <w:r>
              <w:rPr>
                <w:rFonts w:ascii="Times New Roman" w:hAnsi="Times New Roman"/>
                <w:sz w:val="20"/>
              </w:rPr>
              <w:t>Id (INT IDENTITY)</w:t>
            </w:r>
          </w:p>
        </w:tc>
        <w:tc>
          <w:tcPr>
            <w:tcW w:type="dxa" w:w="2422"/>
            <w:tcMar>
              <w:top w:w="80" w:type="dxa"/>
              <w:bottom w:w="80" w:type="dxa"/>
              <w:left w:w="100" w:type="dxa"/>
              <w:right w:w="100" w:type="dxa"/>
            </w:tcMar>
          </w:tcPr>
          <w:p>
            <w:r>
              <w:rPr>
                <w:rFonts w:ascii="Times New Roman" w:hAnsi="Times New Roman"/>
                <w:sz w:val="20"/>
              </w:rPr>
              <w:t>CategoryId -&gt; Categories(Id)</w:t>
            </w:r>
          </w:p>
        </w:tc>
        <w:tc>
          <w:tcPr>
            <w:tcW w:type="dxa" w:w="2422"/>
            <w:tcMar>
              <w:top w:w="80" w:type="dxa"/>
              <w:bottom w:w="80" w:type="dxa"/>
              <w:left w:w="100" w:type="dxa"/>
              <w:right w:w="100" w:type="dxa"/>
            </w:tcMar>
          </w:tcPr>
          <w:p>
            <w:r>
              <w:rPr>
                <w:rFonts w:ascii="Times New Roman" w:hAnsi="Times New Roman"/>
                <w:sz w:val="20"/>
              </w:rPr>
              <w:t>Реестр граждан и учреждений, нуждающихся в помощи</w:t>
            </w:r>
          </w:p>
        </w:tc>
      </w:tr>
      <w:tr>
        <w:tc>
          <w:tcPr>
            <w:tcW w:type="dxa" w:w="2422"/>
            <w:tcMar>
              <w:top w:w="80" w:type="dxa"/>
              <w:bottom w:w="80" w:type="dxa"/>
              <w:left w:w="100" w:type="dxa"/>
              <w:right w:w="100" w:type="dxa"/>
            </w:tcMar>
          </w:tcPr>
          <w:p>
            <w:r>
              <w:rPr>
                <w:rFonts w:ascii="Times New Roman" w:hAnsi="Times New Roman"/>
                <w:sz w:val="20"/>
              </w:rPr>
              <w:t>Expenses</w:t>
            </w:r>
          </w:p>
        </w:tc>
        <w:tc>
          <w:tcPr>
            <w:tcW w:type="dxa" w:w="2422"/>
            <w:tcMar>
              <w:top w:w="80" w:type="dxa"/>
              <w:bottom w:w="80" w:type="dxa"/>
              <w:left w:w="100" w:type="dxa"/>
              <w:right w:w="100" w:type="dxa"/>
            </w:tcMar>
          </w:tcPr>
          <w:p>
            <w:r>
              <w:rPr>
                <w:rFonts w:ascii="Times New Roman" w:hAnsi="Times New Roman"/>
                <w:sz w:val="20"/>
              </w:rPr>
              <w:t>Id (INT IDENTITY)</w:t>
            </w:r>
          </w:p>
        </w:tc>
        <w:tc>
          <w:tcPr>
            <w:tcW w:type="dxa" w:w="2422"/>
            <w:tcMar>
              <w:top w:w="80" w:type="dxa"/>
              <w:bottom w:w="80" w:type="dxa"/>
              <w:left w:w="100" w:type="dxa"/>
              <w:right w:w="100" w:type="dxa"/>
            </w:tcMar>
          </w:tcPr>
          <w:p>
            <w:r>
              <w:rPr>
                <w:rFonts w:ascii="Times New Roman" w:hAnsi="Times New Roman"/>
                <w:sz w:val="20"/>
              </w:rPr>
              <w:t>ProjectId -&gt; Projects(Id)</w:t>
              <w:br/>
              <w:t>RecipientId -&gt; Recipients(Id)</w:t>
            </w:r>
          </w:p>
        </w:tc>
        <w:tc>
          <w:tcPr>
            <w:tcW w:type="dxa" w:w="2422"/>
            <w:tcMar>
              <w:top w:w="80" w:type="dxa"/>
              <w:bottom w:w="80" w:type="dxa"/>
              <w:left w:w="100" w:type="dxa"/>
              <w:right w:w="100" w:type="dxa"/>
            </w:tcMar>
          </w:tcPr>
          <w:p>
            <w:r>
              <w:rPr>
                <w:rFonts w:ascii="Times New Roman" w:hAnsi="Times New Roman"/>
                <w:sz w:val="20"/>
              </w:rPr>
              <w:t>Целевые расходы фонда и распределение помощи</w:t>
            </w:r>
          </w:p>
        </w:tc>
      </w:tr>
    </w:tbl>
    <w:p>
      <w:pPr>
        <w:spacing w:line="276" w:lineRule="auto" w:before="0" w:after="120"/>
        <w:ind w:firstLine="709"/>
        <w:jc w:val="both"/>
      </w:pPr>
      <w:r>
        <w:rPr>
          <w:rFonts w:ascii="Times New Roman" w:hAnsi="Times New Roman"/>
          <w:b w:val="0"/>
          <w:i w:val="0"/>
          <w:sz w:val="28"/>
        </w:rPr>
        <w:t>Для гарантии целостности финансовых данных в таблице Donations настроен триггер TR_Donations_UpdateCurrentAmount, который автоматически пересчитывает поле Projects.CurrentAmount при любых операциях вставки, изменения или удаления пожертвований.</w:t>
      </w:r>
    </w:p>
    <w:p>
      <w:pPr>
        <w:spacing w:before="280" w:after="160" w:line="276" w:lineRule="auto"/>
        <w:ind w:firstLine="709"/>
        <w:jc w:val="left"/>
      </w:pPr>
      <w:r>
        <w:rPr>
          <w:rFonts w:ascii="Times New Roman" w:hAnsi="Times New Roman"/>
          <w:b/>
          <w:sz w:val="28"/>
        </w:rPr>
        <w:t>3.4 Описание исходных текстов программного продукта</w:t>
      </w:r>
    </w:p>
    <w:p>
      <w:pPr>
        <w:spacing w:line="276" w:lineRule="auto" w:before="0" w:after="120"/>
        <w:ind w:firstLine="709"/>
        <w:jc w:val="both"/>
      </w:pPr>
      <w:r>
        <w:rPr>
          <w:rFonts w:ascii="Times New Roman" w:hAnsi="Times New Roman"/>
          <w:b w:val="0"/>
          <w:i w:val="0"/>
          <w:sz w:val="28"/>
        </w:rPr>
        <w:t>Вся работа с базой данных построена на классе DatabaseHelper. В листинге 1 представлен фрагмент реализации метода выполнения параметризованных команд с возвратом таблицы данных DataTable.</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89"/>
      </w:tblGrid>
      <w:tr>
        <w:tc>
          <w:tcPr>
            <w:tcW w:type="dxa" w:w="9689"/>
            <w:shd w:fill="F8FAFC"/>
            <w:tcMar>
              <w:top w:w="140" w:type="dxa"/>
              <w:bottom w:w="140" w:type="dxa"/>
              <w:left w:w="200" w:type="dxa"/>
              <w:right w:w="200" w:type="dxa"/>
            </w:tcMar>
          </w:tcPr>
          <w:p>
            <w:pPr>
              <w:spacing w:line="240" w:lineRule="auto" w:before="0" w:after="0"/>
              <w:ind w:firstLine="0"/>
            </w:pPr>
            <w:r>
              <w:rPr>
                <w:rFonts w:ascii="Consolas" w:hAnsi="Consolas"/>
                <w:color w:val="1E293B"/>
                <w:sz w:val="19"/>
              </w:rPr>
              <w:t>public static DataTable ExecuteQuery(string sql, params SqlParameter[] parameters)</w:t>
              <w:br/>
              <w:t>{</w:t>
              <w:br/>
              <w:t xml:space="preserve">    using var conn = GetConnection();</w:t>
              <w:br/>
              <w:t xml:space="preserve">    using var cmd = new SqlCommand(sql, conn);</w:t>
              <w:br/>
              <w:t xml:space="preserve">    if (parameters != null &amp;&amp; parameters.Length &gt; 0)</w:t>
              <w:br/>
              <w:t xml:space="preserve">    {</w:t>
              <w:br/>
              <w:t xml:space="preserve">        foreach (var p in parameters)</w:t>
              <w:br/>
              <w:t xml:space="preserve">        {</w:t>
              <w:br/>
              <w:t xml:space="preserve">            cmd.Parameters.Add(p.Value == null ? new SqlParameter(p.ParameterName, DBNull.Value) : p);</w:t>
              <w:br/>
              <w:t xml:space="preserve">        }</w:t>
              <w:br/>
              <w:t xml:space="preserve">    }</w:t>
              <w:br/>
              <w:t xml:space="preserve">    using var adapter = new SqlDataAdapter(cmd);</w:t>
              <w:br/>
              <w:t xml:space="preserve">    var dt = new DataTable();</w:t>
              <w:br/>
              <w:t xml:space="preserve">    adapter.Fill(dt);</w:t>
              <w:br/>
              <w:t xml:space="preserve">    return dt;</w:t>
              <w:br/>
              <w:t>}</w:t>
            </w:r>
          </w:p>
        </w:tc>
      </w:tr>
    </w:tbl>
    <w:p>
      <w:pPr>
        <w:spacing w:before="80" w:after="200"/>
        <w:ind w:firstLine="0"/>
        <w:jc w:val="center"/>
      </w:pPr>
      <w:r>
        <w:rPr>
          <w:rFonts w:ascii="Times New Roman" w:hAnsi="Times New Roman"/>
          <w:i/>
          <w:sz w:val="22"/>
        </w:rPr>
        <w:t>Листинг 1 — Безопасное выполнение параметризованного запроса в DatabaseHelper.cs</w:t>
      </w:r>
    </w:p>
    <w:p>
      <w:pPr>
        <w:spacing w:line="276" w:lineRule="auto" w:before="0" w:after="120"/>
        <w:ind w:firstLine="709"/>
        <w:jc w:val="both"/>
      </w:pPr>
      <w:r>
        <w:rPr>
          <w:rFonts w:ascii="Times New Roman" w:hAnsi="Times New Roman"/>
          <w:b w:val="0"/>
          <w:i w:val="0"/>
          <w:sz w:val="28"/>
        </w:rPr>
        <w:t>В листинге 2 приведен фрагмент репозитория ReportRepository, реализующий выборку активных проектов с динамическим расчетом процента выполнения целевого бюджета и остатка средств к сбору.</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689"/>
      </w:tblGrid>
      <w:tr>
        <w:tc>
          <w:tcPr>
            <w:tcW w:type="dxa" w:w="9689"/>
            <w:shd w:fill="F8FAFC"/>
            <w:tcMar>
              <w:top w:w="140" w:type="dxa"/>
              <w:bottom w:w="140" w:type="dxa"/>
              <w:left w:w="200" w:type="dxa"/>
              <w:right w:w="200" w:type="dxa"/>
            </w:tcMar>
          </w:tcPr>
          <w:p>
            <w:pPr>
              <w:spacing w:line="240" w:lineRule="auto" w:before="0" w:after="0"/>
              <w:ind w:firstLine="0"/>
            </w:pPr>
            <w:r>
              <w:rPr>
                <w:rFonts w:ascii="Consolas" w:hAnsi="Consolas"/>
                <w:color w:val="1E293B"/>
                <w:sz w:val="19"/>
              </w:rPr>
              <w:t>public List&lt;ActiveProjectReportItem&gt; GetActiveProjects()</w:t>
              <w:br/>
              <w:t>{</w:t>
              <w:br/>
              <w:t xml:space="preserve">    var list = new List&lt;ActiveProjectReportItem&gt;();</w:t>
              <w:br/>
              <w:t xml:space="preserve">    string sql = @"</w:t>
              <w:br/>
              <w:t xml:space="preserve">        SELECT p.Id AS ProjectId, p.Name AS ProjectName, c.Name AS CategoryName,</w:t>
              <w:br/>
              <w:t xml:space="preserve">               p.TargetAmount, p.CurrentAmount,</w:t>
              <w:br/>
              <w:t xml:space="preserve">               CASE WHEN p.TargetAmount &gt; 0 THEN ROUND((p.CurrentAmount / p.TargetAmount) * 100.0, 2) ELSE 0 END AS CompletionPercentage,</w:t>
              <w:br/>
              <w:t xml:space="preserve">               CASE WHEN p.TargetAmount &gt; p.CurrentAmount THEN (p.TargetAmount - p.CurrentAmount) ELSE 0 END AS RemainingAmount,</w:t>
              <w:br/>
              <w:t xml:space="preserve">               p.StartDate, p.EndDate, p.Status</w:t>
              <w:br/>
              <w:t xml:space="preserve">        FROM Projects p</w:t>
              <w:br/>
              <w:t xml:space="preserve">        INNER JOIN Categories c ON p.CategoryId = c.Id</w:t>
              <w:br/>
              <w:t xml:space="preserve">        WHERE p.Status = N'Активен'</w:t>
              <w:br/>
              <w:t xml:space="preserve">        ORDER BY p.CurrentAmount DESC;";</w:t>
              <w:br/>
              <w:br/>
              <w:t xml:space="preserve">    var dt = DatabaseHelper.ExecuteQuery(sql);</w:t>
              <w:br/>
              <w:t xml:space="preserve">    foreach (DataRow row in dt.Rows)</w:t>
              <w:br/>
              <w:t xml:space="preserve">    {</w:t>
              <w:br/>
              <w:t xml:space="preserve">        list.Add(new ActiveProjectReportItem {</w:t>
              <w:br/>
              <w:t xml:space="preserve">            ProjectId = Convert.ToInt32(row["ProjectId"]),</w:t>
              <w:br/>
              <w:t xml:space="preserve">            ProjectName = row["ProjectName"].ToString(),</w:t>
              <w:br/>
              <w:t xml:space="preserve">            CategoryName = row["CategoryName"].ToString(),</w:t>
              <w:br/>
              <w:t xml:space="preserve">            TargetAmount = Convert.ToDecimal(row["TargetAmount"]),</w:t>
              <w:br/>
              <w:t xml:space="preserve">            CurrentAmount = Convert.ToDecimal(row["CurrentAmount"]),</w:t>
              <w:br/>
              <w:t xml:space="preserve">            CompletionPercentage = Convert.ToDecimal(row["CompletionPercentage"]),</w:t>
              <w:br/>
              <w:t xml:space="preserve">            RemainingAmount = Convert.ToDecimal(row["RemainingAmount"]),</w:t>
              <w:br/>
              <w:t xml:space="preserve">            StartDate = Convert.ToDateTime(row["StartDate"]),</w:t>
              <w:br/>
              <w:t xml:space="preserve">            EndDate = row["EndDate"] == DBNull.Value ? null : Convert.ToDateTime(row["EndDate"]),</w:t>
              <w:br/>
              <w:t xml:space="preserve">            Status = row["Status"].ToString()</w:t>
              <w:br/>
              <w:t xml:space="preserve">        });</w:t>
              <w:br/>
              <w:t xml:space="preserve">    }</w:t>
              <w:br/>
              <w:t xml:space="preserve">    return list;</w:t>
              <w:br/>
              <w:t>}</w:t>
            </w:r>
          </w:p>
        </w:tc>
      </w:tr>
    </w:tbl>
    <w:p>
      <w:pPr>
        <w:spacing w:before="80" w:after="200"/>
        <w:ind w:firstLine="0"/>
        <w:jc w:val="center"/>
      </w:pPr>
      <w:r>
        <w:rPr>
          <w:rFonts w:ascii="Times New Roman" w:hAnsi="Times New Roman"/>
          <w:i/>
          <w:sz w:val="22"/>
        </w:rPr>
        <w:t>Листинг 2 — Формирование отчета «Активные проекты» в ReportRepository.cs</w:t>
      </w:r>
    </w:p>
    <w:p>
      <w:pPr>
        <w:spacing w:before="280" w:after="160" w:line="276" w:lineRule="auto"/>
        <w:ind w:firstLine="709"/>
        <w:jc w:val="left"/>
      </w:pPr>
      <w:r>
        <w:rPr>
          <w:rFonts w:ascii="Times New Roman" w:hAnsi="Times New Roman"/>
          <w:b/>
          <w:sz w:val="28"/>
        </w:rPr>
        <w:t>3.5 Вид программного продукта</w:t>
      </w:r>
    </w:p>
    <w:p>
      <w:pPr>
        <w:spacing w:line="276" w:lineRule="auto" w:before="0" w:after="120"/>
        <w:ind w:firstLine="709"/>
        <w:jc w:val="both"/>
      </w:pPr>
      <w:r>
        <w:rPr>
          <w:rFonts w:ascii="Times New Roman" w:hAnsi="Times New Roman"/>
          <w:b w:val="0"/>
          <w:i w:val="0"/>
          <w:sz w:val="28"/>
        </w:rPr>
        <w:t>Графический интерфейс системы построен по стандарту однооконного эргономичного приложения (Single Form Application) с расширенными возможностями. Главная форма MainForm включает:</w:t>
        <w:br/>
        <w:t>1. Темную статусную шапку (Top Header Panel): отображает наименование системы, сведения о разработчике (Афанасьев М.А., гр. ФТ24ДР62ПИ, ПГУ им. Т.Г. Шевченко, 2026 г.), а также кнопку «🔄 Обновить всё» и кнопку «⚙️ Настройки БД».</w:t>
        <w:br/>
        <w:t>2. Вкладочный контейнер (TabControl), разделенный на 7 логических панелей: «👥 Доноры», «🎯 Проекты», «📂 Категории», «💳 Пожертвования», «🤝 Получатели», «💸 Расходы фонда» и «📊 Аналитика и Отчеты».</w:t>
        <w:br/>
        <w:t>3. Инструментальные панели каждого раздела, содержащие текстовые поля мгновенного контекстного поиска, выпадающие фильтры по статусам и проектам, фильтрацию по диапазону дат с компонентами DateTimePicker, кнопки «➕ Добавить», «✏️ Изменить», «❌ Удалить» и «📥 Экспорт в CSV».</w:t>
        <w:br/>
        <w:t>4. Нижнюю строку состояния (StatusStrip): выводит статус соединения с SQL Server, имя активного сервера и базы данных, а также подсказки по горячим клавишам.</w:t>
      </w:r>
    </w:p>
    <w:p>
      <w:r>
        <w:br w:type="page"/>
      </w:r>
    </w:p>
    <w:p>
      <w:pPr>
        <w:spacing w:before="360" w:after="240" w:line="276" w:lineRule="auto"/>
        <w:ind w:firstLine="0"/>
        <w:jc w:val="center"/>
      </w:pPr>
      <w:r>
        <w:rPr>
          <w:rFonts w:ascii="Times New Roman" w:hAnsi="Times New Roman"/>
          <w:b/>
          <w:sz w:val="32"/>
        </w:rPr>
        <w:t>4 РУКОВОДСТВО ПОЛЬЗОВАТЕЛЯ</w:t>
      </w:r>
    </w:p>
    <w:p>
      <w:pPr>
        <w:spacing w:before="280" w:after="160" w:line="276" w:lineRule="auto"/>
        <w:ind w:firstLine="709"/>
        <w:jc w:val="left"/>
      </w:pPr>
      <w:r>
        <w:rPr>
          <w:rFonts w:ascii="Times New Roman" w:hAnsi="Times New Roman"/>
          <w:b/>
          <w:sz w:val="28"/>
        </w:rPr>
        <w:t>4.1 Введение</w:t>
      </w:r>
    </w:p>
    <w:p>
      <w:pPr>
        <w:spacing w:line="276" w:lineRule="auto" w:before="0" w:after="120"/>
        <w:ind w:firstLine="709"/>
        <w:jc w:val="both"/>
      </w:pPr>
      <w:r>
        <w:rPr>
          <w:rFonts w:ascii="Times New Roman" w:hAnsi="Times New Roman"/>
          <w:b w:val="0"/>
          <w:i w:val="0"/>
          <w:sz w:val="28"/>
        </w:rPr>
        <w:t>Руководство пользователя предназначено для сотрудников и руководства благотворительного фонда, ведущих учет жертвователей, распределение поступающих средств и формирующих отчетность для попечительского совета и контролирующих органов. Интерфейс программы полностью русифицирован, снабжен интуитивными подсказками, валидацией вводимых данных и блокировкой некорректных действий оператора.</w:t>
      </w:r>
    </w:p>
    <w:p>
      <w:pPr>
        <w:spacing w:before="280" w:after="160" w:line="276" w:lineRule="auto"/>
        <w:ind w:firstLine="709"/>
        <w:jc w:val="left"/>
      </w:pPr>
      <w:r>
        <w:rPr>
          <w:rFonts w:ascii="Times New Roman" w:hAnsi="Times New Roman"/>
          <w:b/>
          <w:sz w:val="28"/>
        </w:rPr>
        <w:t>4.2 Системные требования</w:t>
      </w:r>
    </w:p>
    <w:p>
      <w:pPr>
        <w:spacing w:line="276" w:lineRule="auto" w:before="0" w:after="120"/>
        <w:ind w:firstLine="709"/>
        <w:jc w:val="both"/>
      </w:pPr>
      <w:r>
        <w:rPr>
          <w:rFonts w:ascii="Times New Roman" w:hAnsi="Times New Roman"/>
          <w:b w:val="0"/>
          <w:i w:val="0"/>
          <w:sz w:val="28"/>
        </w:rPr>
        <w:t>Для гарантированной и стабильной работы программного комплекса рабочая станция оператора должна удовлетворять следующим минимальным системным требованиям:</w:t>
        <w:br/>
        <w:t>— операционная система: Microsoft Windows 10 или Windows 11 (64-разрядная версия);</w:t>
        <w:br/>
        <w:t>— среда выполнения: Microsoft .NET Desktop Runtime версии 8.0 или выше;</w:t>
        <w:br/>
        <w:t>— система управления базами данных: Microsoft SQL Server 2017/2019/2022, Microsoft SQL Server Express либо LocalDB;</w:t>
        <w:br/>
        <w:t>— процессор: 2-ядерный с тактовой частотой не менее 1.8 ГГц с поддержкой архитектуры x64;</w:t>
        <w:br/>
        <w:t>— оперативная память (RAM): не менее 2 ГБ (рекомендуется 4 ГБ и выше);</w:t>
        <w:br/>
        <w:t>— свободное дисковое пространство: не менее 250 МБ для бинарных файлов программы и первичной базы данных;</w:t>
        <w:br/>
        <w:t>— видеоадаптер и монитор: разрешение экрана не менее 1280x720 точек (рекомендуется 1920x1080).</w:t>
      </w:r>
    </w:p>
    <w:p>
      <w:pPr>
        <w:spacing w:before="280" w:after="160" w:line="276" w:lineRule="auto"/>
        <w:ind w:firstLine="709"/>
        <w:jc w:val="left"/>
      </w:pPr>
      <w:r>
        <w:rPr>
          <w:rFonts w:ascii="Times New Roman" w:hAnsi="Times New Roman"/>
          <w:b/>
          <w:sz w:val="28"/>
        </w:rPr>
        <w:t>4.3 Запуск и работа с программным продуктом</w:t>
      </w:r>
    </w:p>
    <w:p>
      <w:pPr>
        <w:spacing w:line="276" w:lineRule="auto" w:before="0" w:after="120"/>
        <w:ind w:firstLine="709"/>
        <w:jc w:val="both"/>
      </w:pPr>
      <w:r>
        <w:rPr>
          <w:rFonts w:ascii="Times New Roman" w:hAnsi="Times New Roman"/>
          <w:b w:val="0"/>
          <w:i w:val="0"/>
          <w:sz w:val="28"/>
        </w:rPr>
        <w:t>Ниже приведены пошаговые сценарии эксплуатации информационной системы.</w:t>
        <w:br/>
        <w:br/>
        <w:t>Сценарий 1. Первоначальная настройка и подключение к базе данных.</w:t>
        <w:br/>
        <w:t>При первом запуске исполняемого файла CharityFundApp.exe приложение пытается установить соединение с сервером по строке подключения, указанной в файле CharityFundApp.dll.config. Если сервер еще не запущен или база данных не создана, в строке состояния отобразится предупреждение. Пользователь нажимает кнопку «⚙️ Настройки БД» в верхнем правом углу окна. В открывшемся окне можно указать адрес SQL-сервера (например, (localdb)\mssqllocaldb, .\SQLEXPRESS или localhost), проверить связь нажатием кнопки «🔍 Проверить подключение» и, в случае отсутствия БД, нажать «🚀 Инициализировать БД из скрипта». Система автоматически создаст базу CharityFundDB, все таблицы, триггеры, представления и загрузит демонстрационные данные.</w:t>
        <w:br/>
        <w:br/>
        <w:t>Сценарий 2. Учет доноров и благотворителей.</w:t>
        <w:br/>
        <w:t>Перейдя на вкладку «👥 Доноры», оператор видит реестр благотворителей. В верхней строке поиска можно ввести фрагмент ФИО, названия организации или номера телефона — таблица мгновенно отфильтрует записи. Для регистрации нового благотворителя нажимается кнопка «➕ Добавить донора». Открывается форма ввода, где указываются: ФИО/Наименование, тип донора («Физическое лицо», «Юридическое лицо», «Анонимный благотворитель»), контактное лицо, телефон, Email и адрес. При нажатии кнопки «Сохранить» выполняется валидация обязательных полей и запись помещается в базу данных.</w:t>
        <w:br/>
        <w:br/>
        <w:t>Сценарий 3. Регистрация благотворительных проектов.</w:t>
        <w:br/>
        <w:t>На вкладке «🎯 Проекты» отображаются программы фонда. Каждая строка содержит плановый бюджет (TargetAmount), фактически собранные пожертвования (CurrentAmount) и процент готовности. Кнопка «➕ Добавить проект» открывает окно, где выбирается профильная категория, указываются даты старта и завершения, статус («Активен», «Завершен», «Приостановлен») и развернутое описание сбора средств.</w:t>
        <w:br/>
        <w:br/>
        <w:t>Сценарий 4. Регистрация пожертвований.</w:t>
        <w:br/>
        <w:t>На вкладке «💳 Пожертвования» ведется учет поступающих средств. При нажатии «➕ Зарегистрировать пожертвование» открывается форма, где в выпадающих списках выбираются зарегистрированный донор и целевой проект, вводится сумма взноса, выбирается способ платежа («Банковский перевод», «Банковская карта», «Наличные», «Электронные деньги») и назначение. После сохранения триггер в базе данных мгновенно увеличивает счетчик сборов соответствующего проекта, а в нижней панели пересчитывается общий объем поступивших средств.</w:t>
        <w:br/>
        <w:br/>
        <w:t>Сценарий 5. Учет получателей помощи и списание расходов фонда.</w:t>
        <w:br/>
        <w:t>На вкладке «🤝 Получатели» регистрируются граждане и организации, нуждающиеся в поддержке, с указанием их жизненной ситуации и статуса рассмотрения заявления. На вкладке «💸 Расходы фонда» фиксируются целевые финансовые списания: оплата счетов клиник, закупка гуманитарной помощи, медикаментов, оборудования. Каждая запись содержит ссылку на проект, сумму расхода, фамилию ответственного сотрудника и привязку к конкретному получателю.</w:t>
        <w:br/>
        <w:br/>
        <w:t>Сценарий 6. Формирование 5 аналитических отчетов и экспорт.</w:t>
        <w:br/>
        <w:t>На вкладке «📊 Аналитика и Отчеты» пользователю доступен выпадающий список 5 регламентированных аналитических выборок:</w:t>
        <w:br/>
        <w:t>1. «Сумма пожертвований (по проектам и периодам)» — выводит сводную ведомость поступивших средств по каждой программе с возможностью включения фильтра по датам (с даты по дату);</w:t>
        <w:br/>
        <w:t>2. «Активные проекты (прогресс и остаток сборов)» — отображает проекты, находящиеся в активной фазе, вычисляя процент достижения цели и сумму, которую осталось привлечь;</w:t>
        <w:br/>
        <w:t>3. «Крупнейшие доноры (ТОП по сумме пожертвований)» — ранжирует благотворителей по общему финансовому вкладу;</w:t>
        <w:br/>
        <w:t>4. «Расходы фонда (баланс собранных и потраченных средств)» — показывает финансовый баланс фонда: сколько собрано, сколько израсходовано и текущий нераспределенный остаток средств;</w:t>
        <w:br/>
        <w:t>5. «Помощь по категориям (дети, медицина, экология и др.)» — агрегирует объемы привлеченных средств и расходов в разрезе социальных направлений деятельности фонда.</w:t>
        <w:br/>
        <w:t>При нажатии кнопки «📥 Экспорт в CSV» текущая сформированная таблица выгружается в файл, готовый для мгновенного открытия в Microsoft Excel или печати.</w:t>
      </w:r>
    </w:p>
    <w:p>
      <w:r>
        <w:br w:type="page"/>
      </w:r>
    </w:p>
    <w:p>
      <w:pPr>
        <w:spacing w:before="360" w:after="240" w:line="276" w:lineRule="auto"/>
        <w:ind w:firstLine="0"/>
        <w:jc w:val="center"/>
      </w:pPr>
      <w:r>
        <w:rPr>
          <w:rFonts w:ascii="Times New Roman" w:hAnsi="Times New Roman"/>
          <w:b/>
          <w:sz w:val="32"/>
        </w:rPr>
        <w:t>ЗАКЛЮЧЕНИЕ</w:t>
      </w:r>
    </w:p>
    <w:p>
      <w:pPr>
        <w:spacing w:line="276" w:lineRule="auto" w:before="0" w:after="120"/>
        <w:ind w:firstLine="709"/>
        <w:jc w:val="both"/>
      </w:pPr>
      <w:r>
        <w:rPr>
          <w:rFonts w:ascii="Times New Roman" w:hAnsi="Times New Roman"/>
          <w:b w:val="0"/>
          <w:i w:val="0"/>
          <w:sz w:val="28"/>
        </w:rPr>
        <w:t>В ходе выполнения технологической (проектно-технологической) практики была успешно разработана и протестирована полнофункциональная информационная система «Благотворительный фонд», реализованная на современной программной платформе Microsoft .NET 8 (Windows Forms, язык C#) с использованием реляционной СУБД Microsoft SQL Server и высокопроизводительного, надежного провайдера доступа к данным ADO.NET (Microsoft.Data.SqlClient).</w:t>
      </w:r>
    </w:p>
    <w:p>
      <w:pPr>
        <w:spacing w:line="276" w:lineRule="auto" w:before="0" w:after="120"/>
        <w:ind w:firstLine="709"/>
        <w:jc w:val="both"/>
      </w:pPr>
      <w:r>
        <w:rPr>
          <w:rFonts w:ascii="Times New Roman" w:hAnsi="Times New Roman"/>
          <w:b w:val="0"/>
          <w:i w:val="0"/>
          <w:sz w:val="28"/>
        </w:rPr>
        <w:t>В процессе работы были достигнуты следующие результаты:</w:t>
        <w:br/>
        <w:t>1. Полностью исследована предметная область функционирования благотворительных организаций, выделены ключевые сущности, спроектирована и нормализована реляционная схема базы данных (3НФ), исключающая аномалии обновления и дублирование информации.</w:t>
        <w:br/>
        <w:t>2. Создан комплексный SQL-скрипт развертывания CharityFund_CreateDB.sql, включающий 6 таблиц со строгими ограничениями целостности, каскадными внешними ключами, автоматический триггер синхронизации сборов проектов, представления (VIEW) и хранимые процедуры.</w:t>
        <w:br/>
        <w:t>3. Реализована многослойная архитектура приложения, обеспечивающая полную независимость бизнес-логики и пользовательского интерфейса от низкоуровневых операций СУБД. Класс DatabaseHelper и репозитории предметных областей обеспечивают безопасное взаимодействие с базой данных на основе строго параметризованных команд, гарантирующих защиту от SQL-инъекций.</w:t>
        <w:br/>
        <w:t>4. Разработан современный, визуально привлекательный и логичный графический интерфейс пользователя (Windows Forms), позволяющий оператору быстро переключаться между разделами фонда, выполнять контекстный поиск, фильтровать записи и безопасно производить операции добавления, редактирования и удаления.</w:t>
        <w:br/>
        <w:t>5. В полном объеме реализованы все 5 обязательных аналитических выборок, выданных в задании кафедры: подсчет сумм пожертвований за период, мониторинг активных проектов со шкалой готовности, рейтинг ТОП-доноров, контроль расходов и баланса фонда, а также распределение помощи по социальным категориям с возможностью экспорта в CSV/Excel.</w:t>
        <w:br/>
        <w:t>6. Проведено комплексное тестирование программного продукта. Ошибок и сбоев при работе с тестовыми наборами данных не выявлено.</w:t>
      </w:r>
    </w:p>
    <w:p>
      <w:pPr>
        <w:spacing w:line="276" w:lineRule="auto" w:before="0" w:after="120"/>
        <w:ind w:firstLine="709"/>
        <w:jc w:val="both"/>
      </w:pPr>
      <w:r>
        <w:rPr>
          <w:rFonts w:ascii="Times New Roman" w:hAnsi="Times New Roman"/>
          <w:b w:val="0"/>
          <w:i w:val="0"/>
          <w:sz w:val="28"/>
        </w:rPr>
        <w:t>Разработанный программный комплекс полностью удовлетворяет всем предъявленным требованиям, готов к практическому использованию в благотворительных организациях и защите перед государственной аттестационной комиссией.</w:t>
      </w:r>
    </w:p>
    <w:p>
      <w:r>
        <w:br w:type="page"/>
      </w:r>
    </w:p>
    <w:p>
      <w:pPr>
        <w:spacing w:before="360" w:after="240" w:line="276" w:lineRule="auto"/>
        <w:ind w:firstLine="0"/>
        <w:jc w:val="center"/>
      </w:pPr>
      <w:r>
        <w:rPr>
          <w:rFonts w:ascii="Times New Roman" w:hAnsi="Times New Roman"/>
          <w:b/>
          <w:sz w:val="32"/>
        </w:rPr>
        <w:t>СПИСОК ИСПОЛЬЗОВАННОЙ ЛИТЕРАТУРЫ</w:t>
      </w:r>
    </w:p>
    <w:p>
      <w:pPr>
        <w:spacing w:line="276" w:lineRule="auto" w:before="60" w:after="60"/>
        <w:ind w:firstLine="0"/>
        <w:jc w:val="left"/>
      </w:pPr>
      <w:r>
        <w:rPr>
          <w:rFonts w:ascii="Times New Roman" w:hAnsi="Times New Roman"/>
          <w:b w:val="0"/>
          <w:i w:val="0"/>
          <w:sz w:val="26"/>
        </w:rPr>
        <w:t>1. Троелсен Э., Джепикс Ф. Язык C# 10 и платформа .NET 6. Основные принципы и практики программирования. — 11-е изд. — М.: Диалектика, 2023. — 1440 с.</w:t>
      </w:r>
    </w:p>
    <w:p>
      <w:pPr>
        <w:spacing w:line="276" w:lineRule="auto" w:before="60" w:after="60"/>
        <w:ind w:firstLine="0"/>
        <w:jc w:val="left"/>
      </w:pPr>
      <w:r>
        <w:rPr>
          <w:rFonts w:ascii="Times New Roman" w:hAnsi="Times New Roman"/>
          <w:b w:val="0"/>
          <w:i w:val="0"/>
          <w:sz w:val="26"/>
        </w:rPr>
        <w:t>2. Прайс М. C# 12 и .NET 8. Современная кросс-платформенная разработка. — СПб.: Питер, 2024. — 896 с.</w:t>
      </w:r>
    </w:p>
    <w:p>
      <w:pPr>
        <w:spacing w:line="276" w:lineRule="auto" w:before="60" w:after="60"/>
        <w:ind w:firstLine="0"/>
        <w:jc w:val="left"/>
      </w:pPr>
      <w:r>
        <w:rPr>
          <w:rFonts w:ascii="Times New Roman" w:hAnsi="Times New Roman"/>
          <w:b w:val="0"/>
          <w:i w:val="0"/>
          <w:sz w:val="26"/>
        </w:rPr>
        <w:t>3. Дейт К. Дж. Введение в системы баз данных. — 8-е изд. — М.: Издательский дом «Вильямс», 2018. — 1328 с.</w:t>
      </w:r>
    </w:p>
    <w:p>
      <w:pPr>
        <w:spacing w:line="276" w:lineRule="auto" w:before="60" w:after="60"/>
        <w:ind w:firstLine="0"/>
        <w:jc w:val="left"/>
      </w:pPr>
      <w:r>
        <w:rPr>
          <w:rFonts w:ascii="Times New Roman" w:hAnsi="Times New Roman"/>
          <w:b w:val="0"/>
          <w:i w:val="0"/>
          <w:sz w:val="26"/>
        </w:rPr>
        <w:t>4. Кузнецов Н. А. Разработка баз данных в Microsoft SQL Server. — М.: Горячая линия — Телеком, 2022. — 380 с.</w:t>
      </w:r>
    </w:p>
    <w:p>
      <w:pPr>
        <w:spacing w:line="276" w:lineRule="auto" w:before="60" w:after="60"/>
        <w:ind w:firstLine="0"/>
        <w:jc w:val="left"/>
      </w:pPr>
      <w:r>
        <w:rPr>
          <w:rFonts w:ascii="Times New Roman" w:hAnsi="Times New Roman"/>
          <w:b w:val="0"/>
          <w:i w:val="0"/>
          <w:sz w:val="26"/>
        </w:rPr>
        <w:t>5. Фаулер М. Архитектура корпоративных программных приложений. — М.: Вильямс, 2019. — 544 с.</w:t>
      </w:r>
    </w:p>
    <w:p>
      <w:pPr>
        <w:spacing w:line="276" w:lineRule="auto" w:before="60" w:after="60"/>
        <w:ind w:firstLine="0"/>
        <w:jc w:val="left"/>
      </w:pPr>
      <w:r>
        <w:rPr>
          <w:rFonts w:ascii="Times New Roman" w:hAnsi="Times New Roman"/>
          <w:b w:val="0"/>
          <w:i w:val="0"/>
          <w:sz w:val="26"/>
        </w:rPr>
        <w:t>6. Документация Microsoft: Руководство по Windows Forms в .NET [Электронный ресурс]. — Режим доступа: https://learn.microsoft.com/ru-ru/dotnet/desktop/winforms. — Дата доступа: 15.06.2026.</w:t>
      </w:r>
    </w:p>
    <w:p>
      <w:pPr>
        <w:spacing w:line="276" w:lineRule="auto" w:before="60" w:after="60"/>
        <w:ind w:firstLine="0"/>
        <w:jc w:val="left"/>
      </w:pPr>
      <w:r>
        <w:rPr>
          <w:rFonts w:ascii="Times New Roman" w:hAnsi="Times New Roman"/>
          <w:b w:val="0"/>
          <w:i w:val="0"/>
          <w:sz w:val="26"/>
        </w:rPr>
        <w:t>7. Документация Microsoft: Провайдер Microsoft.Data.SqlClient для SQL Server [Электронный ресурс]. — Режим доступа: https://learn.microsoft.com/ru-ru/sql/connect/ado-net. — Дата доступа: 20.06.2026.</w:t>
      </w:r>
    </w:p>
    <w:p>
      <w:pPr>
        <w:spacing w:line="276" w:lineRule="auto" w:before="60" w:after="60"/>
        <w:ind w:firstLine="0"/>
        <w:jc w:val="left"/>
      </w:pPr>
      <w:r>
        <w:rPr>
          <w:rFonts w:ascii="Times New Roman" w:hAnsi="Times New Roman"/>
          <w:b w:val="0"/>
          <w:i w:val="0"/>
          <w:sz w:val="26"/>
        </w:rPr>
        <w:t>8. ГОСТ 7.32-2017. Система стандартов по информации, библиотечному и издательскому делу. Отчет о научно-исследовательской работе. Структура и правила оформления. — М.: Стандартинформ, 2018. — 32 с.</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