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pPr>
      <w:r>
        <w:rPr>
          <w:rFonts w:ascii="Times New Roman" w:hAnsi="Times New Roman"/>
          <w:b/>
          <w:sz w:val="48"/>
        </w:rPr>
        <w:t>Online Games Popularity Prediction</w:t>
      </w:r>
    </w:p>
    <w:p>
      <w:pPr>
        <w:spacing w:after="160" w:before="0" w:line="276" w:lineRule="auto"/>
        <w:jc w:val="center"/>
      </w:pPr>
      <w:r>
        <w:rPr>
          <w:rFonts w:ascii="Times New Roman" w:hAnsi="Times New Roman"/>
          <w:i/>
          <w:sz w:val="32"/>
        </w:rPr>
        <w:t>Milestone 1 Technical Report</w:t>
      </w:r>
    </w:p>
    <w:p>
      <w:pPr>
        <w:spacing w:after="240" w:before="0" w:line="276" w:lineRule="auto"/>
        <w:jc w:val="center"/>
      </w:pPr>
      <w:r>
        <w:rPr>
          <w:rFonts w:ascii="Times New Roman" w:hAnsi="Times New Roman"/>
          <w:b/>
          <w:sz w:val="28"/>
        </w:rPr>
        <w:t>Team ID: CHP_2</w:t>
      </w:r>
    </w:p>
    <w:p>
      <w:pPr>
        <w:spacing w:after="200" w:before="0" w:line="276" w:lineRule="auto"/>
        <w:jc w:val="center"/>
      </w:pPr>
      <w:r>
        <w:rPr>
          <w:rFonts w:ascii="Times New Roman" w:hAnsi="Times New Roman"/>
          <w:b/>
          <w:sz w:val="28"/>
        </w:rPr>
        <w:t>Team Members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before="0"/>
            </w:pPr>
            <w:r>
              <w:rPr>
                <w:rFonts w:ascii="Times New Roman" w:hAnsi="Times New Roman"/>
                <w:b/>
                <w:sz w:val="22"/>
              </w:rPr>
              <w:t>Name</w:t>
            </w:r>
          </w:p>
        </w:tc>
        <w:tc>
          <w:tcPr>
            <w:tcW w:type="dxa" w:w="4968"/>
            <w:vAlign w:val="center"/>
            <w:shd w:fill="D9EAF7"/>
          </w:tcPr>
          <w:p>
            <w:pPr>
              <w:spacing w:after="0" w:before="0"/>
            </w:pPr>
            <w:r>
              <w:rPr>
                <w:rFonts w:ascii="Times New Roman" w:hAnsi="Times New Roman"/>
                <w:b/>
                <w:sz w:val="22"/>
              </w:rPr>
              <w:t>ID</w:t>
            </w:r>
          </w:p>
        </w:tc>
      </w:tr>
      <w:tr>
        <w:tc>
          <w:tcPr>
            <w:tcW w:type="dxa" w:w="4968"/>
            <w:vAlign w:val="center"/>
          </w:tcPr>
          <w:p>
            <w:pPr>
              <w:spacing w:after="0" w:before="0"/>
            </w:pPr>
            <w:r>
              <w:rPr>
                <w:rFonts w:ascii="Times New Roman" w:hAnsi="Times New Roman"/>
                <w:sz w:val="22"/>
              </w:rPr>
              <w:t>Menna Ali Thabet</w:t>
            </w:r>
          </w:p>
        </w:tc>
        <w:tc>
          <w:tcPr>
            <w:tcW w:type="dxa" w:w="4968"/>
            <w:vAlign w:val="center"/>
          </w:tcPr>
          <w:p>
            <w:pPr>
              <w:spacing w:after="0" w:before="0"/>
            </w:pPr>
            <w:r>
              <w:rPr>
                <w:rFonts w:ascii="Times New Roman" w:hAnsi="Times New Roman"/>
                <w:sz w:val="22"/>
              </w:rPr>
              <w:t>2022170844</w:t>
            </w:r>
          </w:p>
        </w:tc>
      </w:tr>
      <w:tr>
        <w:tc>
          <w:tcPr>
            <w:tcW w:type="dxa" w:w="4968"/>
            <w:vAlign w:val="center"/>
          </w:tcPr>
          <w:p>
            <w:pPr>
              <w:spacing w:after="0" w:before="0"/>
            </w:pPr>
            <w:r>
              <w:rPr>
                <w:rFonts w:ascii="Times New Roman" w:hAnsi="Times New Roman"/>
                <w:sz w:val="22"/>
              </w:rPr>
              <w:t>Asmaa Waleed Sayed</w:t>
            </w:r>
          </w:p>
        </w:tc>
        <w:tc>
          <w:tcPr>
            <w:tcW w:type="dxa" w:w="4968"/>
            <w:vAlign w:val="center"/>
          </w:tcPr>
          <w:p>
            <w:pPr>
              <w:spacing w:after="0" w:before="0"/>
            </w:pPr>
            <w:r>
              <w:rPr>
                <w:rFonts w:ascii="Times New Roman" w:hAnsi="Times New Roman"/>
                <w:sz w:val="22"/>
              </w:rPr>
              <w:t>20231700208</w:t>
            </w:r>
          </w:p>
        </w:tc>
      </w:tr>
      <w:tr>
        <w:tc>
          <w:tcPr>
            <w:tcW w:type="dxa" w:w="4968"/>
            <w:vAlign w:val="center"/>
          </w:tcPr>
          <w:p>
            <w:pPr>
              <w:spacing w:after="0" w:before="0"/>
            </w:pPr>
            <w:r>
              <w:rPr>
                <w:rFonts w:ascii="Times New Roman" w:hAnsi="Times New Roman"/>
                <w:sz w:val="22"/>
              </w:rPr>
              <w:t>Yousef Samir Atia</w:t>
            </w:r>
          </w:p>
        </w:tc>
        <w:tc>
          <w:tcPr>
            <w:tcW w:type="dxa" w:w="4968"/>
            <w:vAlign w:val="center"/>
          </w:tcPr>
          <w:p>
            <w:pPr>
              <w:spacing w:after="0" w:before="0"/>
            </w:pPr>
            <w:r>
              <w:rPr>
                <w:rFonts w:ascii="Times New Roman" w:hAnsi="Times New Roman"/>
                <w:sz w:val="22"/>
              </w:rPr>
              <w:t>20231700263</w:t>
            </w:r>
          </w:p>
        </w:tc>
      </w:tr>
      <w:tr>
        <w:tc>
          <w:tcPr>
            <w:tcW w:type="dxa" w:w="4968"/>
            <w:vAlign w:val="center"/>
          </w:tcPr>
          <w:p>
            <w:pPr>
              <w:spacing w:after="0" w:before="0"/>
            </w:pPr>
            <w:r>
              <w:rPr>
                <w:rFonts w:ascii="Times New Roman" w:hAnsi="Times New Roman"/>
                <w:sz w:val="22"/>
              </w:rPr>
              <w:t>Ali Mohamed Gaber</w:t>
            </w:r>
          </w:p>
        </w:tc>
        <w:tc>
          <w:tcPr>
            <w:tcW w:type="dxa" w:w="4968"/>
            <w:vAlign w:val="center"/>
          </w:tcPr>
          <w:p>
            <w:pPr>
              <w:spacing w:after="0" w:before="0"/>
            </w:pPr>
            <w:r>
              <w:rPr>
                <w:rFonts w:ascii="Times New Roman" w:hAnsi="Times New Roman"/>
                <w:sz w:val="22"/>
              </w:rPr>
              <w:t>20231700234</w:t>
            </w:r>
          </w:p>
        </w:tc>
      </w:tr>
      <w:tr>
        <w:tc>
          <w:tcPr>
            <w:tcW w:type="dxa" w:w="4968"/>
            <w:vAlign w:val="center"/>
          </w:tcPr>
          <w:p>
            <w:pPr>
              <w:spacing w:after="0" w:before="0"/>
            </w:pPr>
            <w:r>
              <w:rPr>
                <w:rFonts w:ascii="Times New Roman" w:hAnsi="Times New Roman"/>
                <w:sz w:val="22"/>
              </w:rPr>
              <w:t>Abdullah Hany Ahmed</w:t>
            </w:r>
          </w:p>
        </w:tc>
        <w:tc>
          <w:tcPr>
            <w:tcW w:type="dxa" w:w="4968"/>
            <w:vAlign w:val="center"/>
          </w:tcPr>
          <w:p>
            <w:pPr>
              <w:spacing w:after="0" w:before="0"/>
            </w:pPr>
            <w:r>
              <w:rPr>
                <w:rFonts w:ascii="Times New Roman" w:hAnsi="Times New Roman"/>
                <w:sz w:val="22"/>
              </w:rPr>
              <w:t>20231700231</w:t>
            </w:r>
          </w:p>
        </w:tc>
      </w:tr>
      <w:tr>
        <w:tc>
          <w:tcPr>
            <w:tcW w:type="dxa" w:w="4968"/>
            <w:vAlign w:val="center"/>
          </w:tcPr>
          <w:p>
            <w:pPr>
              <w:spacing w:after="0" w:before="0"/>
            </w:pPr>
            <w:r>
              <w:rPr>
                <w:rFonts w:ascii="Times New Roman" w:hAnsi="Times New Roman"/>
                <w:sz w:val="22"/>
              </w:rPr>
              <w:t>Esraa Mahmoud Khakifa</w:t>
            </w:r>
          </w:p>
        </w:tc>
        <w:tc>
          <w:tcPr>
            <w:tcW w:type="dxa" w:w="4968"/>
            <w:vAlign w:val="center"/>
          </w:tcPr>
          <w:p>
            <w:pPr>
              <w:spacing w:after="0" w:before="0"/>
            </w:pPr>
            <w:r>
              <w:rPr>
                <w:rFonts w:ascii="Times New Roman" w:hAnsi="Times New Roman"/>
                <w:sz w:val="22"/>
              </w:rPr>
              <w:t>20231700207</w:t>
            </w:r>
          </w:p>
        </w:tc>
      </w:tr>
    </w:tbl>
    <w:p/>
    <w:p>
      <w:pPr>
        <w:spacing w:after="80" w:before="0" w:line="276" w:lineRule="auto"/>
        <w:jc w:val="center"/>
      </w:pPr>
      <w:r>
        <w:rPr>
          <w:rFonts w:ascii="Times New Roman" w:hAnsi="Times New Roman"/>
          <w:sz w:val="24"/>
        </w:rPr>
        <w:t>Prepared for the project: Online Games Popularity Prediction</w:t>
      </w:r>
    </w:p>
    <w:p>
      <w:pPr>
        <w:spacing w:after="0" w:before="0" w:line="276" w:lineRule="auto"/>
        <w:jc w:val="center"/>
      </w:pPr>
      <w:r>
        <w:rPr>
          <w:rFonts w:ascii="Times New Roman" w:hAnsi="Times New Roman"/>
          <w:sz w:val="24"/>
        </w:rPr>
        <w:t>Date: 26 April 2026</w:t>
      </w:r>
    </w:p>
    <w:p>
      <w:r>
        <w:br w:type="page"/>
      </w:r>
    </w:p>
    <w:p>
      <w:pPr>
        <w:pStyle w:val="Heading1"/>
        <w:spacing w:after="120" w:before="120" w:line="276" w:lineRule="auto"/>
      </w:pPr>
      <w:r>
        <w:rPr>
          <w:rFonts w:ascii="Times New Roman" w:hAnsi="Times New Roman"/>
          <w:b/>
        </w:rPr>
        <w:t>1. Project Overview</w:t>
      </w:r>
    </w:p>
    <w:p>
      <w:pPr>
        <w:spacing w:after="120" w:before="0" w:line="276" w:lineRule="auto"/>
      </w:pPr>
      <w:r>
        <w:rPr>
          <w:rFonts w:ascii="Times New Roman" w:hAnsi="Times New Roman"/>
          <w:b w:val="0"/>
          <w:i w:val="0"/>
          <w:sz w:val="24"/>
        </w:rPr>
        <w:t>This milestone focuses on predicting the popularity of Steam games using structured metadata, text signals, image metadata, and community-generated information. The target variable is RecommendationCount, and the main goal of this phase was to understand which signals are most related to game popularity and which preprocessing steps were necessary before regression modeling.</w:t>
      </w:r>
    </w:p>
    <w:p>
      <w:pPr>
        <w:spacing w:after="120" w:before="0" w:line="276" w:lineRule="auto"/>
      </w:pPr>
      <w:r>
        <w:rPr>
          <w:rFonts w:ascii="Times New Roman" w:hAnsi="Times New Roman"/>
          <w:b w:val="0"/>
          <w:i w:val="0"/>
          <w:sz w:val="24"/>
        </w:rPr>
        <w:t>The raw dataset contained 11,357 games and 88 columns. After cleaning, duplicate removal, feature construction, and dropping columns that were not useful for modeling, the working dataframe became 11,315 rows and 84 columns. After one-hot encoding and other transformations, the feature space expanded to 144 columns before feature selection.</w:t>
      </w:r>
    </w:p>
    <w:p>
      <w:pPr>
        <w:pStyle w:val="Heading1"/>
        <w:spacing w:after="120" w:before="120" w:line="276" w:lineRule="auto"/>
      </w:pPr>
      <w:r>
        <w:rPr>
          <w:rFonts w:ascii="Times New Roman" w:hAnsi="Times New Roman"/>
          <w:b/>
        </w:rPr>
        <w:t>2. Dataset Analysis</w:t>
      </w:r>
    </w:p>
    <w:p>
      <w:pPr>
        <w:spacing w:after="120" w:before="0" w:line="276" w:lineRule="auto"/>
      </w:pPr>
      <w:r>
        <w:rPr>
          <w:rFonts w:ascii="Times New Roman" w:hAnsi="Times New Roman"/>
          <w:b w:val="0"/>
          <w:i w:val="0"/>
          <w:sz w:val="24"/>
        </w:rPr>
        <w:t>The notebook first examined the structure of the data and the target distribution. The target RecommendationCount was highly skewed, which means the problem is dominated by a small number of very popular games and a large number of low-popularity games. This makes simple linear assumptions weak and motivates careful preprocessing and model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before="0"/>
            </w:pPr>
            <w:r>
              <w:rPr>
                <w:rFonts w:ascii="Times New Roman" w:hAnsi="Times New Roman"/>
                <w:b/>
                <w:sz w:val="22"/>
              </w:rPr>
              <w:t>Feature</w:t>
            </w:r>
          </w:p>
        </w:tc>
        <w:tc>
          <w:tcPr>
            <w:tcW w:type="dxa" w:w="3312"/>
            <w:vAlign w:val="center"/>
            <w:shd w:fill="D9EAF7"/>
          </w:tcPr>
          <w:p>
            <w:pPr>
              <w:spacing w:after="0" w:before="0"/>
            </w:pPr>
            <w:r>
              <w:rPr>
                <w:rFonts w:ascii="Times New Roman" w:hAnsi="Times New Roman"/>
                <w:b/>
                <w:sz w:val="22"/>
              </w:rPr>
              <w:t>Spearman r</w:t>
            </w:r>
          </w:p>
        </w:tc>
        <w:tc>
          <w:tcPr>
            <w:tcW w:type="dxa" w:w="3312"/>
            <w:vAlign w:val="center"/>
            <w:shd w:fill="D9EAF7"/>
          </w:tcPr>
          <w:p>
            <w:pPr>
              <w:spacing w:after="0" w:before="0"/>
            </w:pPr>
            <w:r>
              <w:rPr>
                <w:rFonts w:ascii="Times New Roman" w:hAnsi="Times New Roman"/>
                <w:b/>
                <w:sz w:val="22"/>
              </w:rPr>
              <w:t>Interpretation</w:t>
            </w:r>
          </w:p>
        </w:tc>
      </w:tr>
      <w:tr>
        <w:tc>
          <w:tcPr>
            <w:tcW w:type="dxa" w:w="3312"/>
            <w:vAlign w:val="center"/>
          </w:tcPr>
          <w:p>
            <w:pPr>
              <w:spacing w:after="0" w:before="0"/>
            </w:pPr>
            <w:r>
              <w:rPr>
                <w:rFonts w:ascii="Times New Roman" w:hAnsi="Times New Roman"/>
                <w:sz w:val="22"/>
              </w:rPr>
              <w:t>SteamSpyPlayersEstimate</w:t>
            </w:r>
          </w:p>
        </w:tc>
        <w:tc>
          <w:tcPr>
            <w:tcW w:type="dxa" w:w="3312"/>
            <w:vAlign w:val="center"/>
          </w:tcPr>
          <w:p>
            <w:pPr>
              <w:spacing w:after="0" w:before="0"/>
            </w:pPr>
            <w:r>
              <w:rPr>
                <w:rFonts w:ascii="Times New Roman" w:hAnsi="Times New Roman"/>
                <w:sz w:val="22"/>
              </w:rPr>
              <w:t>0.79</w:t>
            </w:r>
          </w:p>
        </w:tc>
        <w:tc>
          <w:tcPr>
            <w:tcW w:type="dxa" w:w="3312"/>
            <w:vAlign w:val="center"/>
          </w:tcPr>
          <w:p>
            <w:pPr>
              <w:spacing w:after="0" w:before="0"/>
            </w:pPr>
            <w:r>
              <w:rPr>
                <w:rFonts w:ascii="Times New Roman" w:hAnsi="Times New Roman"/>
                <w:sz w:val="22"/>
              </w:rPr>
              <w:t>Strongest relationship with popularity</w:t>
            </w:r>
          </w:p>
        </w:tc>
      </w:tr>
      <w:tr>
        <w:tc>
          <w:tcPr>
            <w:tcW w:type="dxa" w:w="3312"/>
            <w:vAlign w:val="center"/>
          </w:tcPr>
          <w:p>
            <w:pPr>
              <w:spacing w:after="0" w:before="0"/>
            </w:pPr>
            <w:r>
              <w:rPr>
                <w:rFonts w:ascii="Times New Roman" w:hAnsi="Times New Roman"/>
                <w:sz w:val="22"/>
              </w:rPr>
              <w:t>SteamSpyOwners</w:t>
            </w:r>
          </w:p>
        </w:tc>
        <w:tc>
          <w:tcPr>
            <w:tcW w:type="dxa" w:w="3312"/>
            <w:vAlign w:val="center"/>
          </w:tcPr>
          <w:p>
            <w:pPr>
              <w:spacing w:after="0" w:before="0"/>
            </w:pPr>
            <w:r>
              <w:rPr>
                <w:rFonts w:ascii="Times New Roman" w:hAnsi="Times New Roman"/>
                <w:sz w:val="22"/>
              </w:rPr>
              <w:t>0.75</w:t>
            </w:r>
          </w:p>
        </w:tc>
        <w:tc>
          <w:tcPr>
            <w:tcW w:type="dxa" w:w="3312"/>
            <w:vAlign w:val="center"/>
          </w:tcPr>
          <w:p>
            <w:pPr>
              <w:spacing w:after="0" w:before="0"/>
            </w:pPr>
            <w:r>
              <w:rPr>
                <w:rFonts w:ascii="Times New Roman" w:hAnsi="Times New Roman"/>
                <w:sz w:val="22"/>
              </w:rPr>
              <w:t>Very strong positive signal</w:t>
            </w:r>
          </w:p>
        </w:tc>
      </w:tr>
      <w:tr>
        <w:tc>
          <w:tcPr>
            <w:tcW w:type="dxa" w:w="3312"/>
            <w:vAlign w:val="center"/>
          </w:tcPr>
          <w:p>
            <w:pPr>
              <w:spacing w:after="0" w:before="0"/>
            </w:pPr>
            <w:r>
              <w:rPr>
                <w:rFonts w:ascii="Times New Roman" w:hAnsi="Times New Roman"/>
                <w:sz w:val="22"/>
              </w:rPr>
              <w:t>SteamSpyOwnersVariance</w:t>
            </w:r>
          </w:p>
        </w:tc>
        <w:tc>
          <w:tcPr>
            <w:tcW w:type="dxa" w:w="3312"/>
            <w:vAlign w:val="center"/>
          </w:tcPr>
          <w:p>
            <w:pPr>
              <w:spacing w:after="0" w:before="0"/>
            </w:pPr>
            <w:r>
              <w:rPr>
                <w:rFonts w:ascii="Times New Roman" w:hAnsi="Times New Roman"/>
                <w:sz w:val="22"/>
              </w:rPr>
              <w:t>0.75</w:t>
            </w:r>
          </w:p>
        </w:tc>
        <w:tc>
          <w:tcPr>
            <w:tcW w:type="dxa" w:w="3312"/>
            <w:vAlign w:val="center"/>
          </w:tcPr>
          <w:p>
            <w:pPr>
              <w:spacing w:after="0" w:before="0"/>
            </w:pPr>
            <w:r>
              <w:rPr>
                <w:rFonts w:ascii="Times New Roman" w:hAnsi="Times New Roman"/>
                <w:sz w:val="22"/>
              </w:rPr>
              <w:t>Ownership-related signal remains useful</w:t>
            </w:r>
          </w:p>
        </w:tc>
      </w:tr>
      <w:tr>
        <w:tc>
          <w:tcPr>
            <w:tcW w:type="dxa" w:w="3312"/>
            <w:vAlign w:val="center"/>
          </w:tcPr>
          <w:p>
            <w:pPr>
              <w:spacing w:after="0" w:before="0"/>
            </w:pPr>
            <w:r>
              <w:rPr>
                <w:rFonts w:ascii="Times New Roman" w:hAnsi="Times New Roman"/>
                <w:sz w:val="22"/>
              </w:rPr>
              <w:t>Metacritic</w:t>
            </w:r>
          </w:p>
        </w:tc>
        <w:tc>
          <w:tcPr>
            <w:tcW w:type="dxa" w:w="3312"/>
            <w:vAlign w:val="center"/>
          </w:tcPr>
          <w:p>
            <w:pPr>
              <w:spacing w:after="0" w:before="0"/>
            </w:pPr>
            <w:r>
              <w:rPr>
                <w:rFonts w:ascii="Times New Roman" w:hAnsi="Times New Roman"/>
                <w:sz w:val="22"/>
              </w:rPr>
              <w:t>0.47</w:t>
            </w:r>
          </w:p>
        </w:tc>
        <w:tc>
          <w:tcPr>
            <w:tcW w:type="dxa" w:w="3312"/>
            <w:vAlign w:val="center"/>
          </w:tcPr>
          <w:p>
            <w:pPr>
              <w:spacing w:after="0" w:before="0"/>
            </w:pPr>
            <w:r>
              <w:rPr>
                <w:rFonts w:ascii="Times New Roman" w:hAnsi="Times New Roman"/>
                <w:sz w:val="22"/>
              </w:rPr>
              <w:t>Moderate positive association</w:t>
            </w:r>
          </w:p>
        </w:tc>
      </w:tr>
      <w:tr>
        <w:tc>
          <w:tcPr>
            <w:tcW w:type="dxa" w:w="3312"/>
            <w:vAlign w:val="center"/>
          </w:tcPr>
          <w:p>
            <w:pPr>
              <w:spacing w:after="0" w:before="0"/>
            </w:pPr>
            <w:r>
              <w:rPr>
                <w:rFonts w:ascii="Times New Roman" w:hAnsi="Times New Roman"/>
                <w:sz w:val="22"/>
              </w:rPr>
              <w:t>AchievementCount</w:t>
            </w:r>
          </w:p>
        </w:tc>
        <w:tc>
          <w:tcPr>
            <w:tcW w:type="dxa" w:w="3312"/>
            <w:vAlign w:val="center"/>
          </w:tcPr>
          <w:p>
            <w:pPr>
              <w:spacing w:after="0" w:before="0"/>
            </w:pPr>
            <w:r>
              <w:rPr>
                <w:rFonts w:ascii="Times New Roman" w:hAnsi="Times New Roman"/>
                <w:sz w:val="22"/>
              </w:rPr>
              <w:t>0.33</w:t>
            </w:r>
          </w:p>
        </w:tc>
        <w:tc>
          <w:tcPr>
            <w:tcW w:type="dxa" w:w="3312"/>
            <w:vAlign w:val="center"/>
          </w:tcPr>
          <w:p>
            <w:pPr>
              <w:spacing w:after="0" w:before="0"/>
            </w:pPr>
            <w:r>
              <w:rPr>
                <w:rFonts w:ascii="Times New Roman" w:hAnsi="Times New Roman"/>
                <w:sz w:val="22"/>
              </w:rPr>
              <w:t>Useful but weaker than audience-size features</w:t>
            </w:r>
          </w:p>
        </w:tc>
      </w:tr>
      <w:tr>
        <w:tc>
          <w:tcPr>
            <w:tcW w:type="dxa" w:w="3312"/>
            <w:vAlign w:val="center"/>
          </w:tcPr>
          <w:p>
            <w:pPr>
              <w:spacing w:after="0" w:before="0"/>
            </w:pPr>
            <w:r>
              <w:rPr>
                <w:rFonts w:ascii="Times New Roman" w:hAnsi="Times New Roman"/>
                <w:sz w:val="22"/>
              </w:rPr>
              <w:t>PriceFinal</w:t>
            </w:r>
          </w:p>
        </w:tc>
        <w:tc>
          <w:tcPr>
            <w:tcW w:type="dxa" w:w="3312"/>
            <w:vAlign w:val="center"/>
          </w:tcPr>
          <w:p>
            <w:pPr>
              <w:spacing w:after="0" w:before="0"/>
            </w:pPr>
            <w:r>
              <w:rPr>
                <w:rFonts w:ascii="Times New Roman" w:hAnsi="Times New Roman"/>
                <w:sz w:val="22"/>
              </w:rPr>
              <w:t>0.26</w:t>
            </w:r>
          </w:p>
        </w:tc>
        <w:tc>
          <w:tcPr>
            <w:tcW w:type="dxa" w:w="3312"/>
            <w:vAlign w:val="center"/>
          </w:tcPr>
          <w:p>
            <w:pPr>
              <w:spacing w:after="0" w:before="0"/>
            </w:pPr>
            <w:r>
              <w:rPr>
                <w:rFonts w:ascii="Times New Roman" w:hAnsi="Times New Roman"/>
                <w:sz w:val="22"/>
              </w:rPr>
              <w:t>Price matters, but less than player-estimate signals</w:t>
            </w:r>
          </w:p>
        </w:tc>
      </w:tr>
    </w:tbl>
    <w:p>
      <w:pPr>
        <w:spacing w:after="120" w:before="0" w:line="276" w:lineRule="auto"/>
      </w:pPr>
      <w:r>
        <w:rPr>
          <w:rFonts w:ascii="Times New Roman" w:hAnsi="Times New Roman"/>
          <w:b w:val="0"/>
          <w:i w:val="0"/>
          <w:sz w:val="24"/>
        </w:rPr>
        <w:t>These correlations show that popularity is not driven by a single feature. The strongest evidence comes from audience-size proxies such as SteamSpyPlayersEstimate and SteamSpyOwners. In comparison, quality proxies such as Metacritic and AchievementCount are positive but weaker.</w:t>
      </w:r>
    </w:p>
    <w:p>
      <w:pPr>
        <w:spacing w:after="120" w:before="0" w:line="276" w:lineRule="auto"/>
      </w:pPr>
      <w:r>
        <w:rPr>
          <w:rFonts w:ascii="Times New Roman" w:hAnsi="Times New Roman"/>
          <w:b w:val="0"/>
          <w:i w:val="0"/>
          <w:sz w:val="24"/>
        </w:rPr>
        <w:t>The visual analysis in the notebook also showed several important patterns: more movies/trailers and screenshots tended to increase median recommendations, free games typically attracted more recommendations than paid games, price had a non-linear effect, and older games accumulated more recommendations over time. Release year therefore needed to be treated carefully as a time-related signal rather than a simple standalone feature.</w:t>
      </w:r>
    </w:p>
    <w:p>
      <w:pPr>
        <w:spacing w:after="120" w:before="0" w:line="276" w:lineRule="auto"/>
      </w:pPr>
      <w:r>
        <w:rPr>
          <w:rFonts w:ascii="Times New Roman" w:hAnsi="Times New Roman"/>
          <w:b w:val="0"/>
          <w:i w:val="0"/>
          <w:sz w:val="24"/>
        </w:rPr>
        <w:t>A URL/domain analysis was also performed. SupportURL and Website values were parsed because many developers had no dedicated web presence, while others used recognizable domains such as social pages or official portals. This led to the Support_Tier and Website_Authority features, which capture professionalism and publication style in a more compact way than raw URLs.</w:t>
      </w:r>
    </w:p>
    <w:p>
      <w:pPr>
        <w:pStyle w:val="Heading1"/>
        <w:spacing w:after="120" w:before="120" w:line="276" w:lineRule="auto"/>
      </w:pPr>
      <w:r>
        <w:rPr>
          <w:rFonts w:ascii="Times New Roman" w:hAnsi="Times New Roman"/>
          <w:b/>
        </w:rPr>
        <w:t>3. Preprocessing and Feature Engineering</w:t>
      </w:r>
    </w:p>
    <w:p>
      <w:pPr>
        <w:spacing w:after="120" w:before="0" w:line="276" w:lineRule="auto"/>
      </w:pPr>
      <w:r>
        <w:rPr>
          <w:rFonts w:ascii="Times New Roman" w:hAnsi="Times New Roman"/>
          <w:b w:val="0"/>
          <w:i w:val="0"/>
          <w:sz w:val="24"/>
        </w:rPr>
        <w:t>The preprocessing pipeline was extensive because the dataset contained a mix of booleans, numeric values, text, URLs, list-like strings, dates, and sparse support/requirements fields. The main principle was to convert noisy raw metadata into compact signals while keeping leakage under control.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before="0"/>
            </w:pPr>
            <w:r>
              <w:rPr>
                <w:rFonts w:ascii="Times New Roman" w:hAnsi="Times New Roman"/>
                <w:b/>
                <w:sz w:val="22"/>
              </w:rPr>
              <w:t>Technique</w:t>
            </w:r>
          </w:p>
        </w:tc>
        <w:tc>
          <w:tcPr>
            <w:tcW w:type="dxa" w:w="3312"/>
            <w:vAlign w:val="center"/>
            <w:shd w:fill="D9EAF7"/>
          </w:tcPr>
          <w:p>
            <w:pPr>
              <w:spacing w:after="0" w:before="0"/>
            </w:pPr>
            <w:r>
              <w:rPr>
                <w:rFonts w:ascii="Times New Roman" w:hAnsi="Times New Roman"/>
                <w:b/>
                <w:sz w:val="22"/>
              </w:rPr>
              <w:t>How it was implemented</w:t>
            </w:r>
          </w:p>
        </w:tc>
        <w:tc>
          <w:tcPr>
            <w:tcW w:type="dxa" w:w="3312"/>
            <w:vAlign w:val="center"/>
            <w:shd w:fill="D9EAF7"/>
          </w:tcPr>
          <w:p>
            <w:pPr>
              <w:spacing w:after="0" w:before="0"/>
            </w:pPr>
            <w:r>
              <w:rPr>
                <w:rFonts w:ascii="Times New Roman" w:hAnsi="Times New Roman"/>
                <w:b/>
                <w:sz w:val="22"/>
              </w:rPr>
              <w:t>Why it helped</w:t>
            </w:r>
          </w:p>
        </w:tc>
      </w:tr>
      <w:tr>
        <w:tc>
          <w:tcPr>
            <w:tcW w:type="dxa" w:w="3312"/>
            <w:vAlign w:val="center"/>
          </w:tcPr>
          <w:p>
            <w:pPr>
              <w:spacing w:after="0" w:before="0"/>
            </w:pPr>
            <w:r>
              <w:rPr>
                <w:rFonts w:ascii="Times New Roman" w:hAnsi="Times New Roman"/>
                <w:sz w:val="22"/>
              </w:rPr>
              <w:t>Blank strings -&gt; missing values</w:t>
            </w:r>
          </w:p>
        </w:tc>
        <w:tc>
          <w:tcPr>
            <w:tcW w:type="dxa" w:w="3312"/>
            <w:vAlign w:val="center"/>
          </w:tcPr>
          <w:p>
            <w:pPr>
              <w:spacing w:after="0" w:before="0"/>
            </w:pPr>
            <w:r>
              <w:rPr>
                <w:rFonts w:ascii="Times New Roman" w:hAnsi="Times New Roman"/>
                <w:sz w:val="22"/>
              </w:rPr>
              <w:t>Replaced whitespace-only strings with NaN before imputation.</w:t>
            </w:r>
          </w:p>
        </w:tc>
        <w:tc>
          <w:tcPr>
            <w:tcW w:type="dxa" w:w="3312"/>
            <w:vAlign w:val="center"/>
          </w:tcPr>
          <w:p>
            <w:pPr>
              <w:spacing w:after="0" w:before="0"/>
            </w:pPr>
            <w:r>
              <w:rPr>
                <w:rFonts w:ascii="Times New Roman" w:hAnsi="Times New Roman"/>
                <w:sz w:val="22"/>
              </w:rPr>
              <w:t>Allowed consistent missing-data handling.</w:t>
            </w:r>
          </w:p>
        </w:tc>
      </w:tr>
      <w:tr>
        <w:tc>
          <w:tcPr>
            <w:tcW w:type="dxa" w:w="3312"/>
            <w:vAlign w:val="center"/>
          </w:tcPr>
          <w:p>
            <w:pPr>
              <w:spacing w:after="0" w:before="0"/>
            </w:pPr>
            <w:r>
              <w:rPr>
                <w:rFonts w:ascii="Times New Roman" w:hAnsi="Times New Roman"/>
                <w:sz w:val="22"/>
              </w:rPr>
              <w:t>Row inconsistency cleanup</w:t>
            </w:r>
          </w:p>
        </w:tc>
        <w:tc>
          <w:tcPr>
            <w:tcW w:type="dxa" w:w="3312"/>
            <w:vAlign w:val="center"/>
          </w:tcPr>
          <w:p>
            <w:pPr>
              <w:spacing w:after="0" w:before="0"/>
            </w:pPr>
            <w:r>
              <w:rPr>
                <w:rFonts w:ascii="Times New Roman" w:hAnsi="Times New Roman"/>
                <w:sz w:val="22"/>
              </w:rPr>
              <w:t>Used more reliable source columns where duplicates or mismatches existed.</w:t>
            </w:r>
          </w:p>
        </w:tc>
        <w:tc>
          <w:tcPr>
            <w:tcW w:type="dxa" w:w="3312"/>
            <w:vAlign w:val="center"/>
          </w:tcPr>
          <w:p>
            <w:pPr>
              <w:spacing w:after="0" w:before="0"/>
            </w:pPr>
            <w:r>
              <w:rPr>
                <w:rFonts w:ascii="Times New Roman" w:hAnsi="Times New Roman"/>
                <w:sz w:val="22"/>
              </w:rPr>
              <w:t>Reduced noise from conflicting fields.</w:t>
            </w:r>
          </w:p>
        </w:tc>
      </w:tr>
      <w:tr>
        <w:tc>
          <w:tcPr>
            <w:tcW w:type="dxa" w:w="3312"/>
            <w:vAlign w:val="center"/>
          </w:tcPr>
          <w:p>
            <w:pPr>
              <w:spacing w:after="0" w:before="0"/>
            </w:pPr>
            <w:r>
              <w:rPr>
                <w:rFonts w:ascii="Times New Roman" w:hAnsi="Times New Roman"/>
                <w:sz w:val="22"/>
              </w:rPr>
              <w:t>Release date parsing</w:t>
            </w:r>
          </w:p>
        </w:tc>
        <w:tc>
          <w:tcPr>
            <w:tcW w:type="dxa" w:w="3312"/>
            <w:vAlign w:val="center"/>
          </w:tcPr>
          <w:p>
            <w:pPr>
              <w:spacing w:after="0" w:before="0"/>
            </w:pPr>
            <w:r>
              <w:rPr>
                <w:rFonts w:ascii="Times New Roman" w:hAnsi="Times New Roman"/>
                <w:sz w:val="22"/>
              </w:rPr>
              <w:t>Parsed ReleaseDate and created Release_Year, Release_Month, month sine/cosine, and game age.</w:t>
            </w:r>
          </w:p>
        </w:tc>
        <w:tc>
          <w:tcPr>
            <w:tcW w:type="dxa" w:w="3312"/>
            <w:vAlign w:val="center"/>
          </w:tcPr>
          <w:p>
            <w:pPr>
              <w:spacing w:after="0" w:before="0"/>
            </w:pPr>
            <w:r>
              <w:rPr>
                <w:rFonts w:ascii="Times New Roman" w:hAnsi="Times New Roman"/>
                <w:sz w:val="22"/>
              </w:rPr>
              <w:t>Captured seasonality and age effects.</w:t>
            </w:r>
          </w:p>
        </w:tc>
      </w:tr>
      <w:tr>
        <w:tc>
          <w:tcPr>
            <w:tcW w:type="dxa" w:w="3312"/>
            <w:vAlign w:val="center"/>
          </w:tcPr>
          <w:p>
            <w:pPr>
              <w:spacing w:after="0" w:before="0"/>
            </w:pPr>
            <w:r>
              <w:rPr>
                <w:rFonts w:ascii="Times New Roman" w:hAnsi="Times New Roman"/>
                <w:sz w:val="22"/>
              </w:rPr>
              <w:t>Unified description text</w:t>
            </w:r>
          </w:p>
        </w:tc>
        <w:tc>
          <w:tcPr>
            <w:tcW w:type="dxa" w:w="3312"/>
            <w:vAlign w:val="center"/>
          </w:tcPr>
          <w:p>
            <w:pPr>
              <w:spacing w:after="0" w:before="0"/>
            </w:pPr>
            <w:r>
              <w:rPr>
                <w:rFonts w:ascii="Times New Roman" w:hAnsi="Times New Roman"/>
                <w:sz w:val="22"/>
              </w:rPr>
              <w:t>Merged DetailedDescrip, AboutText, and ShortDescrip into Game_Description.</w:t>
            </w:r>
          </w:p>
        </w:tc>
        <w:tc>
          <w:tcPr>
            <w:tcW w:type="dxa" w:w="3312"/>
            <w:vAlign w:val="center"/>
          </w:tcPr>
          <w:p>
            <w:pPr>
              <w:spacing w:after="0" w:before="0"/>
            </w:pPr>
            <w:r>
              <w:rPr>
                <w:rFonts w:ascii="Times New Roman" w:hAnsi="Times New Roman"/>
                <w:sz w:val="22"/>
              </w:rPr>
              <w:t>Reduced fragmentation across text fields.</w:t>
            </w:r>
          </w:p>
        </w:tc>
      </w:tr>
      <w:tr>
        <w:tc>
          <w:tcPr>
            <w:tcW w:type="dxa" w:w="3312"/>
            <w:vAlign w:val="center"/>
          </w:tcPr>
          <w:p>
            <w:pPr>
              <w:spacing w:after="0" w:before="0"/>
            </w:pPr>
            <w:r>
              <w:rPr>
                <w:rFonts w:ascii="Times New Roman" w:hAnsi="Times New Roman"/>
                <w:sz w:val="22"/>
              </w:rPr>
              <w:t>Sparse text flags</w:t>
            </w:r>
          </w:p>
        </w:tc>
        <w:tc>
          <w:tcPr>
            <w:tcW w:type="dxa" w:w="3312"/>
            <w:vAlign w:val="center"/>
          </w:tcPr>
          <w:p>
            <w:pPr>
              <w:spacing w:after="0" w:before="0"/>
            </w:pPr>
            <w:r>
              <w:rPr>
                <w:rFonts w:ascii="Times New Roman" w:hAnsi="Times New Roman"/>
                <w:sz w:val="22"/>
              </w:rPr>
              <w:t>Created Has_* indicators for fields like SupportEmail and DRMNotice.</w:t>
            </w:r>
          </w:p>
        </w:tc>
        <w:tc>
          <w:tcPr>
            <w:tcW w:type="dxa" w:w="3312"/>
            <w:vAlign w:val="center"/>
          </w:tcPr>
          <w:p>
            <w:pPr>
              <w:spacing w:after="0" w:before="0"/>
            </w:pPr>
            <w:r>
              <w:rPr>
                <w:rFonts w:ascii="Times New Roman" w:hAnsi="Times New Roman"/>
                <w:sz w:val="22"/>
              </w:rPr>
              <w:t>Kept presence/absence signal without sparse noise.</w:t>
            </w:r>
          </w:p>
        </w:tc>
      </w:tr>
      <w:tr>
        <w:tc>
          <w:tcPr>
            <w:tcW w:type="dxa" w:w="3312"/>
            <w:vAlign w:val="center"/>
          </w:tcPr>
          <w:p>
            <w:pPr>
              <w:spacing w:after="0" w:before="0"/>
            </w:pPr>
            <w:r>
              <w:rPr>
                <w:rFonts w:ascii="Times New Roman" w:hAnsi="Times New Roman"/>
                <w:sz w:val="22"/>
              </w:rPr>
              <w:t>List-like cleanup</w:t>
            </w:r>
          </w:p>
        </w:tc>
        <w:tc>
          <w:tcPr>
            <w:tcW w:type="dxa" w:w="3312"/>
            <w:vAlign w:val="center"/>
          </w:tcPr>
          <w:p>
            <w:pPr>
              <w:spacing w:after="0" w:before="0"/>
            </w:pPr>
            <w:r>
              <w:rPr>
                <w:rFonts w:ascii="Times New Roman" w:hAnsi="Times New Roman"/>
                <w:sz w:val="22"/>
              </w:rPr>
              <w:t>Normalized SupportedLanguages and PopularUserTags into tuples.</w:t>
            </w:r>
          </w:p>
        </w:tc>
        <w:tc>
          <w:tcPr>
            <w:tcW w:type="dxa" w:w="3312"/>
            <w:vAlign w:val="center"/>
          </w:tcPr>
          <w:p>
            <w:pPr>
              <w:spacing w:after="0" w:before="0"/>
            </w:pPr>
            <w:r>
              <w:rPr>
                <w:rFonts w:ascii="Times New Roman" w:hAnsi="Times New Roman"/>
                <w:sz w:val="22"/>
              </w:rPr>
              <w:t>Made tag counts and language-based features possible.</w:t>
            </w:r>
          </w:p>
        </w:tc>
      </w:tr>
      <w:tr>
        <w:tc>
          <w:tcPr>
            <w:tcW w:type="dxa" w:w="3312"/>
            <w:vAlign w:val="center"/>
          </w:tcPr>
          <w:p>
            <w:pPr>
              <w:spacing w:after="0" w:before="0"/>
            </w:pPr>
            <w:r>
              <w:rPr>
                <w:rFonts w:ascii="Times New Roman" w:hAnsi="Times New Roman"/>
                <w:sz w:val="22"/>
              </w:rPr>
              <w:t>Text normalization</w:t>
            </w:r>
          </w:p>
        </w:tc>
        <w:tc>
          <w:tcPr>
            <w:tcW w:type="dxa" w:w="3312"/>
            <w:vAlign w:val="center"/>
          </w:tcPr>
          <w:p>
            <w:pPr>
              <w:spacing w:after="0" w:before="0"/>
            </w:pPr>
            <w:r>
              <w:rPr>
                <w:rFonts w:ascii="Times New Roman" w:hAnsi="Times New Roman"/>
                <w:sz w:val="22"/>
              </w:rPr>
              <w:t>Removed trademark markers and cleaned special symbols in ordinary text columns.</w:t>
            </w:r>
          </w:p>
        </w:tc>
        <w:tc>
          <w:tcPr>
            <w:tcW w:type="dxa" w:w="3312"/>
            <w:vAlign w:val="center"/>
          </w:tcPr>
          <w:p>
            <w:pPr>
              <w:spacing w:after="0" w:before="0"/>
            </w:pPr>
            <w:r>
              <w:rPr>
                <w:rFonts w:ascii="Times New Roman" w:hAnsi="Times New Roman"/>
                <w:sz w:val="22"/>
              </w:rPr>
              <w:t>Standardized text before downstream processing.</w:t>
            </w:r>
          </w:p>
        </w:tc>
      </w:tr>
      <w:tr>
        <w:tc>
          <w:tcPr>
            <w:tcW w:type="dxa" w:w="3312"/>
            <w:vAlign w:val="center"/>
          </w:tcPr>
          <w:p>
            <w:pPr>
              <w:spacing w:after="0" w:before="0"/>
            </w:pPr>
            <w:r>
              <w:rPr>
                <w:rFonts w:ascii="Times New Roman" w:hAnsi="Times New Roman"/>
                <w:sz w:val="22"/>
              </w:rPr>
              <w:t>Review sentiment</w:t>
            </w:r>
          </w:p>
        </w:tc>
        <w:tc>
          <w:tcPr>
            <w:tcW w:type="dxa" w:w="3312"/>
            <w:vAlign w:val="center"/>
          </w:tcPr>
          <w:p>
            <w:pPr>
              <w:spacing w:after="0" w:before="0"/>
            </w:pPr>
            <w:r>
              <w:rPr>
                <w:rFonts w:ascii="Times New Roman" w:hAnsi="Times New Roman"/>
                <w:sz w:val="22"/>
              </w:rPr>
              <w:t>Used a DistilBERT sentiment model on Reviews to create Review_Sentiment.</w:t>
            </w:r>
          </w:p>
        </w:tc>
        <w:tc>
          <w:tcPr>
            <w:tcW w:type="dxa" w:w="3312"/>
            <w:vAlign w:val="center"/>
          </w:tcPr>
          <w:p>
            <w:pPr>
              <w:spacing w:after="0" w:before="0"/>
            </w:pPr>
            <w:r>
              <w:rPr>
                <w:rFonts w:ascii="Times New Roman" w:hAnsi="Times New Roman"/>
                <w:sz w:val="22"/>
              </w:rPr>
              <w:t>Converted long review text into a compact polarity feature.</w:t>
            </w:r>
          </w:p>
        </w:tc>
      </w:tr>
      <w:tr>
        <w:tc>
          <w:tcPr>
            <w:tcW w:type="dxa" w:w="3312"/>
            <w:vAlign w:val="center"/>
          </w:tcPr>
          <w:p>
            <w:pPr>
              <w:spacing w:after="0" w:before="0"/>
            </w:pPr>
            <w:r>
              <w:rPr>
                <w:rFonts w:ascii="Times New Roman" w:hAnsi="Times New Roman"/>
                <w:sz w:val="22"/>
              </w:rPr>
              <w:t>Missing-value imputation</w:t>
            </w:r>
          </w:p>
        </w:tc>
        <w:tc>
          <w:tcPr>
            <w:tcW w:type="dxa" w:w="3312"/>
            <w:vAlign w:val="center"/>
          </w:tcPr>
          <w:p>
            <w:pPr>
              <w:spacing w:after="0" w:before="0"/>
            </w:pPr>
            <w:r>
              <w:rPr>
                <w:rFonts w:ascii="Times New Roman" w:hAnsi="Times New Roman"/>
                <w:sz w:val="22"/>
              </w:rPr>
              <w:t>Used IterativeImputer with BayesianRidge for numeric fields; mode fill for categorical fields.</w:t>
            </w:r>
          </w:p>
        </w:tc>
        <w:tc>
          <w:tcPr>
            <w:tcW w:type="dxa" w:w="3312"/>
            <w:vAlign w:val="center"/>
          </w:tcPr>
          <w:p>
            <w:pPr>
              <w:spacing w:after="0" w:before="0"/>
            </w:pPr>
            <w:r>
              <w:rPr>
                <w:rFonts w:ascii="Times New Roman" w:hAnsi="Times New Roman"/>
                <w:sz w:val="22"/>
              </w:rPr>
              <w:t>Preserved information while filling gaps.</w:t>
            </w:r>
          </w:p>
        </w:tc>
      </w:tr>
      <w:tr>
        <w:tc>
          <w:tcPr>
            <w:tcW w:type="dxa" w:w="3312"/>
            <w:vAlign w:val="center"/>
          </w:tcPr>
          <w:p>
            <w:pPr>
              <w:spacing w:after="0" w:before="0"/>
            </w:pPr>
            <w:r>
              <w:rPr>
                <w:rFonts w:ascii="Times New Roman" w:hAnsi="Times New Roman"/>
                <w:sz w:val="22"/>
              </w:rPr>
              <w:t>Outlier handling</w:t>
            </w:r>
          </w:p>
        </w:tc>
        <w:tc>
          <w:tcPr>
            <w:tcW w:type="dxa" w:w="3312"/>
            <w:vAlign w:val="center"/>
          </w:tcPr>
          <w:p>
            <w:pPr>
              <w:spacing w:after="0" w:before="0"/>
            </w:pPr>
            <w:r>
              <w:rPr>
                <w:rFonts w:ascii="Times New Roman" w:hAnsi="Times New Roman"/>
                <w:sz w:val="22"/>
              </w:rPr>
              <w:t>Examined boxplots, applied log1p to skewed numeric columns, then winsorized remaining extreme values.</w:t>
            </w:r>
          </w:p>
        </w:tc>
        <w:tc>
          <w:tcPr>
            <w:tcW w:type="dxa" w:w="3312"/>
            <w:vAlign w:val="center"/>
          </w:tcPr>
          <w:p>
            <w:pPr>
              <w:spacing w:after="0" w:before="0"/>
            </w:pPr>
            <w:r>
              <w:rPr>
                <w:rFonts w:ascii="Times New Roman" w:hAnsi="Times New Roman"/>
                <w:sz w:val="22"/>
              </w:rPr>
              <w:t>Reduced the impact of heavy-tailed variables.</w:t>
            </w:r>
          </w:p>
        </w:tc>
      </w:tr>
      <w:tr>
        <w:tc>
          <w:tcPr>
            <w:tcW w:type="dxa" w:w="3312"/>
            <w:vAlign w:val="center"/>
          </w:tcPr>
          <w:p>
            <w:pPr>
              <w:spacing w:after="0" w:before="0"/>
            </w:pPr>
            <w:r>
              <w:rPr>
                <w:rFonts w:ascii="Times New Roman" w:hAnsi="Times New Roman"/>
                <w:sz w:val="22"/>
              </w:rPr>
              <w:t>Encoding</w:t>
            </w:r>
          </w:p>
        </w:tc>
        <w:tc>
          <w:tcPr>
            <w:tcW w:type="dxa" w:w="3312"/>
            <w:vAlign w:val="center"/>
          </w:tcPr>
          <w:p>
            <w:pPr>
              <w:spacing w:after="0" w:before="0"/>
            </w:pPr>
            <w:r>
              <w:rPr>
                <w:rFonts w:ascii="Times New Roman" w:hAnsi="Times New Roman"/>
                <w:sz w:val="22"/>
              </w:rPr>
              <w:t>Applied ordinal encoding to Header_Size_Group and one-hot encoding to categorical fields.</w:t>
            </w:r>
          </w:p>
        </w:tc>
        <w:tc>
          <w:tcPr>
            <w:tcW w:type="dxa" w:w="3312"/>
            <w:vAlign w:val="center"/>
          </w:tcPr>
          <w:p>
            <w:pPr>
              <w:spacing w:after="0" w:before="0"/>
            </w:pPr>
            <w:r>
              <w:rPr>
                <w:rFonts w:ascii="Times New Roman" w:hAnsi="Times New Roman"/>
                <w:sz w:val="22"/>
              </w:rPr>
              <w:t>Prepared features for regression models.</w:t>
            </w:r>
          </w:p>
        </w:tc>
      </w:tr>
      <w:tr>
        <w:tc>
          <w:tcPr>
            <w:tcW w:type="dxa" w:w="3312"/>
            <w:vAlign w:val="center"/>
          </w:tcPr>
          <w:p>
            <w:pPr>
              <w:spacing w:after="0" w:before="0"/>
            </w:pPr>
            <w:r>
              <w:rPr>
                <w:rFonts w:ascii="Times New Roman" w:hAnsi="Times New Roman"/>
                <w:sz w:val="22"/>
              </w:rPr>
              <w:t>Scaling</w:t>
            </w:r>
          </w:p>
        </w:tc>
        <w:tc>
          <w:tcPr>
            <w:tcW w:type="dxa" w:w="3312"/>
            <w:vAlign w:val="center"/>
          </w:tcPr>
          <w:p>
            <w:pPr>
              <w:spacing w:after="0" w:before="0"/>
            </w:pPr>
            <w:r>
              <w:rPr>
                <w:rFonts w:ascii="Times New Roman" w:hAnsi="Times New Roman"/>
                <w:sz w:val="22"/>
              </w:rPr>
              <w:t>Standardized the final numeric feature set after feature selection.</w:t>
            </w:r>
          </w:p>
        </w:tc>
        <w:tc>
          <w:tcPr>
            <w:tcW w:type="dxa" w:w="3312"/>
            <w:vAlign w:val="center"/>
          </w:tcPr>
          <w:p>
            <w:pPr>
              <w:spacing w:after="0" w:before="0"/>
            </w:pPr>
            <w:r>
              <w:rPr>
                <w:rFonts w:ascii="Times New Roman" w:hAnsi="Times New Roman"/>
                <w:sz w:val="22"/>
              </w:rPr>
              <w:t>Helped linear and distance-sensitive models.</w:t>
            </w:r>
          </w:p>
        </w:tc>
      </w:tr>
    </w:tbl>
    <w:p>
      <w:pPr>
        <w:spacing w:after="120" w:before="0" w:line="276" w:lineRule="auto"/>
      </w:pPr>
      <w:r>
        <w:rPr>
          <w:rFonts w:ascii="Times New Roman" w:hAnsi="Times New Roman"/>
          <w:b w:val="0"/>
          <w:i w:val="0"/>
          <w:sz w:val="24"/>
        </w:rPr>
        <w:t>Feature engineering also added several higher-level signals: Has_discount and discount_amount, platform_count, category_count, genre_count, language_count_log, header/background image size features, and semantic description embeddings. The description embeddings were produced with all-MiniLM-L6-v2 and reduced with PCA to 30 components, capturing 0.427 of the variance in the notebook.</w:t>
      </w:r>
    </w:p>
    <w:p>
      <w:pPr>
        <w:pStyle w:val="Heading2"/>
        <w:spacing w:after="80" w:before="80" w:line="276" w:lineRule="auto"/>
      </w:pPr>
      <w:r>
        <w:rPr>
          <w:rFonts w:ascii="Times New Roman" w:hAnsi="Times New Roman"/>
          <w:b/>
        </w:rPr>
        <w:t>3.1 Dataset sizes and split strategy</w:t>
      </w:r>
    </w:p>
    <w:p>
      <w:pPr>
        <w:spacing w:after="120" w:before="0" w:line="276" w:lineRule="auto"/>
      </w:pPr>
      <w:r>
        <w:rPr>
          <w:rFonts w:ascii="Times New Roman" w:hAnsi="Times New Roman"/>
          <w:b w:val="0"/>
          <w:i w:val="0"/>
          <w:sz w:val="24"/>
        </w:rPr>
        <w:t>The final modeling split used train_test_split with an 80/20 split on indices only, so the dataframe itself remained available during preprocessing. The resulting split sizes were 9,052 training rows and 2,263 test rows.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before="0"/>
            </w:pPr>
            <w:r>
              <w:rPr>
                <w:rFonts w:ascii="Times New Roman" w:hAnsi="Times New Roman"/>
                <w:b/>
                <w:sz w:val="22"/>
              </w:rPr>
              <w:t>Set</w:t>
            </w:r>
          </w:p>
        </w:tc>
        <w:tc>
          <w:tcPr>
            <w:tcW w:type="dxa" w:w="4968"/>
            <w:vAlign w:val="center"/>
            <w:shd w:fill="D9EAF7"/>
          </w:tcPr>
          <w:p>
            <w:pPr>
              <w:spacing w:after="0" w:before="0"/>
            </w:pPr>
            <w:r>
              <w:rPr>
                <w:rFonts w:ascii="Times New Roman" w:hAnsi="Times New Roman"/>
                <w:b/>
                <w:sz w:val="22"/>
              </w:rPr>
              <w:t>Size</w:t>
            </w:r>
          </w:p>
        </w:tc>
      </w:tr>
      <w:tr>
        <w:tc>
          <w:tcPr>
            <w:tcW w:type="dxa" w:w="4968"/>
            <w:vAlign w:val="center"/>
          </w:tcPr>
          <w:p>
            <w:pPr>
              <w:spacing w:after="0" w:before="0"/>
            </w:pPr>
            <w:r>
              <w:rPr>
                <w:rFonts w:ascii="Times New Roman" w:hAnsi="Times New Roman"/>
                <w:sz w:val="22"/>
              </w:rPr>
              <w:t>Training</w:t>
            </w:r>
          </w:p>
        </w:tc>
        <w:tc>
          <w:tcPr>
            <w:tcW w:type="dxa" w:w="4968"/>
            <w:vAlign w:val="center"/>
          </w:tcPr>
          <w:p>
            <w:pPr>
              <w:spacing w:after="0" w:before="0"/>
            </w:pPr>
            <w:r>
              <w:rPr>
                <w:rFonts w:ascii="Times New Roman" w:hAnsi="Times New Roman"/>
                <w:sz w:val="22"/>
              </w:rPr>
              <w:t>9,052</w:t>
            </w:r>
          </w:p>
        </w:tc>
      </w:tr>
      <w:tr>
        <w:tc>
          <w:tcPr>
            <w:tcW w:type="dxa" w:w="4968"/>
            <w:vAlign w:val="center"/>
          </w:tcPr>
          <w:p>
            <w:pPr>
              <w:spacing w:after="0" w:before="0"/>
            </w:pPr>
            <w:r>
              <w:rPr>
                <w:rFonts w:ascii="Times New Roman" w:hAnsi="Times New Roman"/>
                <w:sz w:val="22"/>
              </w:rPr>
              <w:t>Testing</w:t>
            </w:r>
          </w:p>
        </w:tc>
        <w:tc>
          <w:tcPr>
            <w:tcW w:type="dxa" w:w="4968"/>
            <w:vAlign w:val="center"/>
          </w:tcPr>
          <w:p>
            <w:pPr>
              <w:spacing w:after="0" w:before="0"/>
            </w:pPr>
            <w:r>
              <w:rPr>
                <w:rFonts w:ascii="Times New Roman" w:hAnsi="Times New Roman"/>
                <w:sz w:val="22"/>
              </w:rPr>
              <w:t>2,263</w:t>
            </w:r>
          </w:p>
        </w:tc>
      </w:tr>
      <w:tr>
        <w:tc>
          <w:tcPr>
            <w:tcW w:type="dxa" w:w="4968"/>
            <w:vAlign w:val="center"/>
          </w:tcPr>
          <w:p>
            <w:pPr>
              <w:spacing w:after="0" w:before="0"/>
            </w:pPr>
            <w:r>
              <w:rPr>
                <w:rFonts w:ascii="Times New Roman" w:hAnsi="Times New Roman"/>
                <w:sz w:val="22"/>
              </w:rPr>
              <w:t>Validation</w:t>
            </w:r>
          </w:p>
        </w:tc>
        <w:tc>
          <w:tcPr>
            <w:tcW w:type="dxa" w:w="4968"/>
            <w:vAlign w:val="center"/>
          </w:tcPr>
          <w:p>
            <w:pPr>
              <w:spacing w:after="0" w:before="0"/>
            </w:pPr>
            <w:r>
              <w:rPr>
                <w:rFonts w:ascii="Times New Roman" w:hAnsi="Times New Roman"/>
                <w:sz w:val="22"/>
              </w:rPr>
              <w:t>No separate validation set; 5-fold CV was used inside GridSearchCV on the training set</w:t>
            </w:r>
          </w:p>
        </w:tc>
      </w:tr>
    </w:tbl>
    <w:p>
      <w:pPr>
        <w:pStyle w:val="Heading2"/>
        <w:spacing w:after="80" w:before="80" w:line="276" w:lineRule="auto"/>
      </w:pPr>
      <w:r>
        <w:rPr>
          <w:rFonts w:ascii="Times New Roman" w:hAnsi="Times New Roman"/>
          <w:b/>
        </w:rPr>
        <w:t>3.2 Feature selection and discarded columns</w:t>
      </w:r>
    </w:p>
    <w:p>
      <w:pPr>
        <w:spacing w:after="120" w:before="0" w:line="276" w:lineRule="auto"/>
      </w:pPr>
      <w:r>
        <w:rPr>
          <w:rFonts w:ascii="Times New Roman" w:hAnsi="Times New Roman"/>
          <w:b w:val="0"/>
          <w:i w:val="0"/>
          <w:sz w:val="24"/>
        </w:rPr>
        <w:t>To avoid modeling with the full 144-feature matrix, a RandomForestRegressor was first fitted on the training split to estimate feature importance. The cumulative-importance cutoff kept 43 features covering 95% of the total importance mass.</w:t>
      </w:r>
    </w:p>
    <w:p>
      <w:pPr>
        <w:spacing w:after="120" w:before="0" w:line="276" w:lineRule="auto"/>
      </w:pPr>
      <w:r>
        <w:rPr>
          <w:rFonts w:ascii="Times New Roman" w:hAnsi="Times New Roman"/>
          <w:b w:val="0"/>
          <w:i w:val="0"/>
          <w:sz w:val="24"/>
        </w:rPr>
        <w:t>The strongest retained features were SteamSpyPlayersEstimate, SteamSpyPlayersVariance, tag_count, pc_min_word_count, AchievementCount, PriceFinal, several semantic description components, header/background image sizes, SteamSpyOwners, SteamSpyOwnersVariance, and Release_Year. After this step, all selected features were numeric, so the final scaling step applied to all of them.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before="0"/>
            </w:pPr>
            <w:r>
              <w:rPr>
                <w:rFonts w:ascii="Times New Roman" w:hAnsi="Times New Roman"/>
                <w:b/>
                <w:sz w:val="22"/>
              </w:rPr>
              <w:t>Kept / engineered feature groups</w:t>
            </w:r>
          </w:p>
        </w:tc>
        <w:tc>
          <w:tcPr>
            <w:tcW w:type="dxa" w:w="4968"/>
            <w:vAlign w:val="center"/>
            <w:shd w:fill="D9EAF7"/>
          </w:tcPr>
          <w:p>
            <w:pPr>
              <w:spacing w:after="0" w:before="0"/>
            </w:pPr>
            <w:r>
              <w:rPr>
                <w:rFonts w:ascii="Times New Roman" w:hAnsi="Times New Roman"/>
                <w:b/>
                <w:sz w:val="22"/>
              </w:rPr>
              <w:t>Discarded raw inputs</w:t>
            </w:r>
          </w:p>
        </w:tc>
      </w:tr>
      <w:tr>
        <w:tc>
          <w:tcPr>
            <w:tcW w:type="dxa" w:w="4968"/>
            <w:vAlign w:val="center"/>
          </w:tcPr>
          <w:p>
            <w:pPr>
              <w:spacing w:after="0" w:before="0"/>
            </w:pPr>
            <w:r>
              <w:rPr>
                <w:rFonts w:ascii="Times New Roman" w:hAnsi="Times New Roman"/>
                <w:sz w:val="22"/>
              </w:rPr>
              <w:t>Game popularity proxies, semantic embeddings, image metadata, tags, price/platform/category richness, language count, and requirement-derived features</w:t>
            </w:r>
          </w:p>
        </w:tc>
        <w:tc>
          <w:tcPr>
            <w:tcW w:type="dxa" w:w="4968"/>
            <w:vAlign w:val="center"/>
          </w:tcPr>
          <w:p>
            <w:pPr>
              <w:spacing w:after="0" w:before="0"/>
            </w:pPr>
            <w:r>
              <w:rPr>
                <w:rFonts w:ascii="Times New Roman" w:hAnsi="Times New Roman"/>
                <w:sz w:val="22"/>
              </w:rPr>
              <w:t>QueryID, ResponseID, QueryName, SupportURL, Background, HeaderImage, Website, AboutText, DetailedDescrip, ShortDescrip, Reviews, ReleaseDate variants, ResponseName, SupportEmail, LegalNotice, raw PC/Mac/Linux requirement text, constant columns, duplicates, and very high-missing columns</w:t>
            </w:r>
          </w:p>
        </w:tc>
      </w:tr>
    </w:tbl>
    <w:p>
      <w:pPr>
        <w:pStyle w:val="Heading1"/>
        <w:spacing w:after="120" w:before="120" w:line="276" w:lineRule="auto"/>
      </w:pPr>
      <w:r>
        <w:rPr>
          <w:rFonts w:ascii="Times New Roman" w:hAnsi="Times New Roman"/>
          <w:b/>
        </w:rPr>
        <w:t>4. Regression Models</w:t>
      </w:r>
    </w:p>
    <w:p>
      <w:pPr>
        <w:spacing w:after="120" w:before="0" w:line="276" w:lineRule="auto"/>
      </w:pPr>
      <w:r>
        <w:rPr>
          <w:rFonts w:ascii="Times New Roman" w:hAnsi="Times New Roman"/>
          <w:b w:val="0"/>
          <w:i w:val="0"/>
          <w:sz w:val="24"/>
        </w:rPr>
        <w:t>The notebook compared at least two regression families, but in practice it tested several models: LinearRegression, Ridge, Lasso, DecisionTreeRegressor, RandomForestRegressor, GradientBoostingRegressor, ExtraTreesRegressor, and a separate XGBoost regressor. Hyperparameters were tuned with GridSearchCV using 5-fold KFold cross-validation on the training data.</w:t>
      </w:r>
    </w:p>
    <w:p>
      <w:pPr>
        <w:spacing w:after="120" w:before="0" w:line="276" w:lineRule="auto"/>
      </w:pPr>
      <w:r>
        <w:rPr>
          <w:rFonts w:ascii="Times New Roman" w:hAnsi="Times New Roman"/>
          <w:b w:val="0"/>
          <w:i w:val="0"/>
          <w:sz w:val="24"/>
        </w:rPr>
        <w:t>The main difference between the models is how they learn relationships. Linear models assume an approximately linear relation and are easy to interpret. Ridge adds L2 regularization to reduce coefficient instability. Lasso adds L1 regularization and can shrink weak features toward zero. Tree models capture non-linear patterns and interactions: a single decision tree is interpretable but can overfit, while Random Forest, Extra Trees, and Gradient Boosting reduce error by combining many trees in different ways.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before="0"/>
            </w:pPr>
            <w:r>
              <w:rPr>
                <w:rFonts w:ascii="Times New Roman" w:hAnsi="Times New Roman"/>
                <w:b/>
                <w:sz w:val="22"/>
              </w:rPr>
              <w:t>Model</w:t>
            </w:r>
          </w:p>
        </w:tc>
        <w:tc>
          <w:tcPr>
            <w:tcW w:type="dxa" w:w="1987"/>
            <w:vAlign w:val="center"/>
            <w:shd w:fill="D9EAF7"/>
          </w:tcPr>
          <w:p>
            <w:pPr>
              <w:spacing w:after="0" w:before="0"/>
            </w:pPr>
            <w:r>
              <w:rPr>
                <w:rFonts w:ascii="Times New Roman" w:hAnsi="Times New Roman"/>
                <w:b/>
                <w:sz w:val="22"/>
              </w:rPr>
              <w:t>Train MSE</w:t>
            </w:r>
          </w:p>
        </w:tc>
        <w:tc>
          <w:tcPr>
            <w:tcW w:type="dxa" w:w="1987"/>
            <w:vAlign w:val="center"/>
            <w:shd w:fill="D9EAF7"/>
          </w:tcPr>
          <w:p>
            <w:pPr>
              <w:spacing w:after="0" w:before="0"/>
            </w:pPr>
            <w:r>
              <w:rPr>
                <w:rFonts w:ascii="Times New Roman" w:hAnsi="Times New Roman"/>
                <w:b/>
                <w:sz w:val="22"/>
              </w:rPr>
              <w:t>Test MSE</w:t>
            </w:r>
          </w:p>
        </w:tc>
        <w:tc>
          <w:tcPr>
            <w:tcW w:type="dxa" w:w="1987"/>
            <w:vAlign w:val="center"/>
            <w:shd w:fill="D9EAF7"/>
          </w:tcPr>
          <w:p>
            <w:pPr>
              <w:spacing w:after="0" w:before="0"/>
            </w:pPr>
            <w:r>
              <w:rPr>
                <w:rFonts w:ascii="Times New Roman" w:hAnsi="Times New Roman"/>
                <w:b/>
                <w:sz w:val="22"/>
              </w:rPr>
              <w:t>Train R²</w:t>
            </w:r>
          </w:p>
        </w:tc>
        <w:tc>
          <w:tcPr>
            <w:tcW w:type="dxa" w:w="1987"/>
            <w:vAlign w:val="center"/>
            <w:shd w:fill="D9EAF7"/>
          </w:tcPr>
          <w:p>
            <w:pPr>
              <w:spacing w:after="0" w:before="0"/>
            </w:pPr>
            <w:r>
              <w:rPr>
                <w:rFonts w:ascii="Times New Roman" w:hAnsi="Times New Roman"/>
                <w:b/>
                <w:sz w:val="22"/>
              </w:rPr>
              <w:t>Test R²</w:t>
            </w:r>
          </w:p>
        </w:tc>
      </w:tr>
      <w:tr>
        <w:tc>
          <w:tcPr>
            <w:tcW w:type="dxa" w:w="1987"/>
            <w:vAlign w:val="center"/>
          </w:tcPr>
          <w:p>
            <w:pPr>
              <w:spacing w:after="0" w:before="0"/>
            </w:pPr>
            <w:r>
              <w:rPr>
                <w:rFonts w:ascii="Times New Roman" w:hAnsi="Times New Roman"/>
                <w:sz w:val="22"/>
              </w:rPr>
              <w:t>Linear Regression</w:t>
            </w:r>
          </w:p>
        </w:tc>
        <w:tc>
          <w:tcPr>
            <w:tcW w:type="dxa" w:w="1987"/>
            <w:vAlign w:val="center"/>
          </w:tcPr>
          <w:p>
            <w:pPr>
              <w:spacing w:after="0" w:before="0"/>
            </w:pPr>
            <w:r>
              <w:rPr>
                <w:rFonts w:ascii="Times New Roman" w:hAnsi="Times New Roman"/>
                <w:sz w:val="22"/>
              </w:rPr>
              <w:t>3.4471</w:t>
            </w:r>
          </w:p>
        </w:tc>
        <w:tc>
          <w:tcPr>
            <w:tcW w:type="dxa" w:w="1987"/>
            <w:vAlign w:val="center"/>
          </w:tcPr>
          <w:p>
            <w:pPr>
              <w:spacing w:after="0" w:before="0"/>
            </w:pPr>
            <w:r>
              <w:rPr>
                <w:rFonts w:ascii="Times New Roman" w:hAnsi="Times New Roman"/>
                <w:sz w:val="22"/>
              </w:rPr>
              <w:t>3.3742</w:t>
            </w:r>
          </w:p>
        </w:tc>
        <w:tc>
          <w:tcPr>
            <w:tcW w:type="dxa" w:w="1987"/>
            <w:vAlign w:val="center"/>
          </w:tcPr>
          <w:p>
            <w:pPr>
              <w:spacing w:after="0" w:before="0"/>
            </w:pPr>
            <w:r>
              <w:rPr>
                <w:rFonts w:ascii="Times New Roman" w:hAnsi="Times New Roman"/>
                <w:sz w:val="22"/>
              </w:rPr>
              <w:t>0.6675</w:t>
            </w:r>
          </w:p>
        </w:tc>
        <w:tc>
          <w:tcPr>
            <w:tcW w:type="dxa" w:w="1987"/>
            <w:vAlign w:val="center"/>
          </w:tcPr>
          <w:p>
            <w:pPr>
              <w:spacing w:after="0" w:before="0"/>
            </w:pPr>
            <w:r>
              <w:rPr>
                <w:rFonts w:ascii="Times New Roman" w:hAnsi="Times New Roman"/>
                <w:sz w:val="22"/>
              </w:rPr>
              <w:t>0.6771</w:t>
            </w:r>
          </w:p>
        </w:tc>
      </w:tr>
      <w:tr>
        <w:tc>
          <w:tcPr>
            <w:tcW w:type="dxa" w:w="1987"/>
            <w:vAlign w:val="center"/>
          </w:tcPr>
          <w:p>
            <w:pPr>
              <w:spacing w:after="0" w:before="0"/>
            </w:pPr>
            <w:r>
              <w:rPr>
                <w:rFonts w:ascii="Times New Roman" w:hAnsi="Times New Roman"/>
                <w:sz w:val="22"/>
              </w:rPr>
              <w:t>Ridge</w:t>
            </w:r>
          </w:p>
        </w:tc>
        <w:tc>
          <w:tcPr>
            <w:tcW w:type="dxa" w:w="1987"/>
            <w:vAlign w:val="center"/>
          </w:tcPr>
          <w:p>
            <w:pPr>
              <w:spacing w:after="0" w:before="0"/>
            </w:pPr>
            <w:r>
              <w:rPr>
                <w:rFonts w:ascii="Times New Roman" w:hAnsi="Times New Roman"/>
                <w:sz w:val="22"/>
              </w:rPr>
              <w:t>3.4473</w:t>
            </w:r>
          </w:p>
        </w:tc>
        <w:tc>
          <w:tcPr>
            <w:tcW w:type="dxa" w:w="1987"/>
            <w:vAlign w:val="center"/>
          </w:tcPr>
          <w:p>
            <w:pPr>
              <w:spacing w:after="0" w:before="0"/>
            </w:pPr>
            <w:r>
              <w:rPr>
                <w:rFonts w:ascii="Times New Roman" w:hAnsi="Times New Roman"/>
                <w:sz w:val="22"/>
              </w:rPr>
              <w:t>3.3760</w:t>
            </w:r>
          </w:p>
        </w:tc>
        <w:tc>
          <w:tcPr>
            <w:tcW w:type="dxa" w:w="1987"/>
            <w:vAlign w:val="center"/>
          </w:tcPr>
          <w:p>
            <w:pPr>
              <w:spacing w:after="0" w:before="0"/>
            </w:pPr>
            <w:r>
              <w:rPr>
                <w:rFonts w:ascii="Times New Roman" w:hAnsi="Times New Roman"/>
                <w:sz w:val="22"/>
              </w:rPr>
              <w:t>0.6675</w:t>
            </w:r>
          </w:p>
        </w:tc>
        <w:tc>
          <w:tcPr>
            <w:tcW w:type="dxa" w:w="1987"/>
            <w:vAlign w:val="center"/>
          </w:tcPr>
          <w:p>
            <w:pPr>
              <w:spacing w:after="0" w:before="0"/>
            </w:pPr>
            <w:r>
              <w:rPr>
                <w:rFonts w:ascii="Times New Roman" w:hAnsi="Times New Roman"/>
                <w:sz w:val="22"/>
              </w:rPr>
              <w:t>0.6769</w:t>
            </w:r>
          </w:p>
        </w:tc>
      </w:tr>
      <w:tr>
        <w:tc>
          <w:tcPr>
            <w:tcW w:type="dxa" w:w="1987"/>
            <w:vAlign w:val="center"/>
          </w:tcPr>
          <w:p>
            <w:pPr>
              <w:spacing w:after="0" w:before="0"/>
            </w:pPr>
            <w:r>
              <w:rPr>
                <w:rFonts w:ascii="Times New Roman" w:hAnsi="Times New Roman"/>
                <w:sz w:val="22"/>
              </w:rPr>
              <w:t>Lasso</w:t>
            </w:r>
          </w:p>
        </w:tc>
        <w:tc>
          <w:tcPr>
            <w:tcW w:type="dxa" w:w="1987"/>
            <w:vAlign w:val="center"/>
          </w:tcPr>
          <w:p>
            <w:pPr>
              <w:spacing w:after="0" w:before="0"/>
            </w:pPr>
            <w:r>
              <w:rPr>
                <w:rFonts w:ascii="Times New Roman" w:hAnsi="Times New Roman"/>
                <w:sz w:val="22"/>
              </w:rPr>
              <w:t>4.7326</w:t>
            </w:r>
          </w:p>
        </w:tc>
        <w:tc>
          <w:tcPr>
            <w:tcW w:type="dxa" w:w="1987"/>
            <w:vAlign w:val="center"/>
          </w:tcPr>
          <w:p>
            <w:pPr>
              <w:spacing w:after="0" w:before="0"/>
            </w:pPr>
            <w:r>
              <w:rPr>
                <w:rFonts w:ascii="Times New Roman" w:hAnsi="Times New Roman"/>
                <w:sz w:val="22"/>
              </w:rPr>
              <w:t>4.7095</w:t>
            </w:r>
          </w:p>
        </w:tc>
        <w:tc>
          <w:tcPr>
            <w:tcW w:type="dxa" w:w="1987"/>
            <w:vAlign w:val="center"/>
          </w:tcPr>
          <w:p>
            <w:pPr>
              <w:spacing w:after="0" w:before="0"/>
            </w:pPr>
            <w:r>
              <w:rPr>
                <w:rFonts w:ascii="Times New Roman" w:hAnsi="Times New Roman"/>
                <w:sz w:val="22"/>
              </w:rPr>
              <w:t>0.5436</w:t>
            </w:r>
          </w:p>
        </w:tc>
        <w:tc>
          <w:tcPr>
            <w:tcW w:type="dxa" w:w="1987"/>
            <w:vAlign w:val="center"/>
          </w:tcPr>
          <w:p>
            <w:pPr>
              <w:spacing w:after="0" w:before="0"/>
            </w:pPr>
            <w:r>
              <w:rPr>
                <w:rFonts w:ascii="Times New Roman" w:hAnsi="Times New Roman"/>
                <w:sz w:val="22"/>
              </w:rPr>
              <w:t>0.5493</w:t>
            </w:r>
          </w:p>
        </w:tc>
      </w:tr>
      <w:tr>
        <w:tc>
          <w:tcPr>
            <w:tcW w:type="dxa" w:w="1987"/>
            <w:vAlign w:val="center"/>
          </w:tcPr>
          <w:p>
            <w:pPr>
              <w:spacing w:after="0" w:before="0"/>
            </w:pPr>
            <w:r>
              <w:rPr>
                <w:rFonts w:ascii="Times New Roman" w:hAnsi="Times New Roman"/>
                <w:sz w:val="22"/>
              </w:rPr>
              <w:t>Decision Tree</w:t>
            </w:r>
          </w:p>
        </w:tc>
        <w:tc>
          <w:tcPr>
            <w:tcW w:type="dxa" w:w="1987"/>
            <w:vAlign w:val="center"/>
          </w:tcPr>
          <w:p>
            <w:pPr>
              <w:spacing w:after="0" w:before="0"/>
            </w:pPr>
            <w:r>
              <w:rPr>
                <w:rFonts w:ascii="Times New Roman" w:hAnsi="Times New Roman"/>
                <w:sz w:val="22"/>
              </w:rPr>
              <w:t>2.2790</w:t>
            </w:r>
          </w:p>
        </w:tc>
        <w:tc>
          <w:tcPr>
            <w:tcW w:type="dxa" w:w="1987"/>
            <w:vAlign w:val="center"/>
          </w:tcPr>
          <w:p>
            <w:pPr>
              <w:spacing w:after="0" w:before="0"/>
            </w:pPr>
            <w:r>
              <w:rPr>
                <w:rFonts w:ascii="Times New Roman" w:hAnsi="Times New Roman"/>
                <w:sz w:val="22"/>
              </w:rPr>
              <w:t>2.4038</w:t>
            </w:r>
          </w:p>
        </w:tc>
        <w:tc>
          <w:tcPr>
            <w:tcW w:type="dxa" w:w="1987"/>
            <w:vAlign w:val="center"/>
          </w:tcPr>
          <w:p>
            <w:pPr>
              <w:spacing w:after="0" w:before="0"/>
            </w:pPr>
            <w:r>
              <w:rPr>
                <w:rFonts w:ascii="Times New Roman" w:hAnsi="Times New Roman"/>
                <w:sz w:val="22"/>
              </w:rPr>
              <w:t>0.7802</w:t>
            </w:r>
          </w:p>
        </w:tc>
        <w:tc>
          <w:tcPr>
            <w:tcW w:type="dxa" w:w="1987"/>
            <w:vAlign w:val="center"/>
          </w:tcPr>
          <w:p>
            <w:pPr>
              <w:spacing w:after="0" w:before="0"/>
            </w:pPr>
            <w:r>
              <w:rPr>
                <w:rFonts w:ascii="Times New Roman" w:hAnsi="Times New Roman"/>
                <w:sz w:val="22"/>
              </w:rPr>
              <w:t>0.7699</w:t>
            </w:r>
          </w:p>
        </w:tc>
      </w:tr>
      <w:tr>
        <w:tc>
          <w:tcPr>
            <w:tcW w:type="dxa" w:w="1987"/>
            <w:vAlign w:val="center"/>
          </w:tcPr>
          <w:p>
            <w:pPr>
              <w:spacing w:after="0" w:before="0"/>
            </w:pPr>
            <w:r>
              <w:rPr>
                <w:rFonts w:ascii="Times New Roman" w:hAnsi="Times New Roman"/>
                <w:sz w:val="22"/>
              </w:rPr>
              <w:t>Random Forest</w:t>
            </w:r>
          </w:p>
        </w:tc>
        <w:tc>
          <w:tcPr>
            <w:tcW w:type="dxa" w:w="1987"/>
            <w:vAlign w:val="center"/>
          </w:tcPr>
          <w:p>
            <w:pPr>
              <w:spacing w:after="0" w:before="0"/>
            </w:pPr>
            <w:r>
              <w:rPr>
                <w:rFonts w:ascii="Times New Roman" w:hAnsi="Times New Roman"/>
                <w:sz w:val="22"/>
              </w:rPr>
              <w:t>1.0430</w:t>
            </w:r>
          </w:p>
        </w:tc>
        <w:tc>
          <w:tcPr>
            <w:tcW w:type="dxa" w:w="1987"/>
            <w:vAlign w:val="center"/>
          </w:tcPr>
          <w:p>
            <w:pPr>
              <w:spacing w:after="0" w:before="0"/>
            </w:pPr>
            <w:r>
              <w:rPr>
                <w:rFonts w:ascii="Times New Roman" w:hAnsi="Times New Roman"/>
                <w:sz w:val="22"/>
              </w:rPr>
              <w:t>2.1442</w:t>
            </w:r>
          </w:p>
        </w:tc>
        <w:tc>
          <w:tcPr>
            <w:tcW w:type="dxa" w:w="1987"/>
            <w:vAlign w:val="center"/>
          </w:tcPr>
          <w:p>
            <w:pPr>
              <w:spacing w:after="0" w:before="0"/>
            </w:pPr>
            <w:r>
              <w:rPr>
                <w:rFonts w:ascii="Times New Roman" w:hAnsi="Times New Roman"/>
                <w:sz w:val="22"/>
              </w:rPr>
              <w:t>0.8994</w:t>
            </w:r>
          </w:p>
        </w:tc>
        <w:tc>
          <w:tcPr>
            <w:tcW w:type="dxa" w:w="1987"/>
            <w:vAlign w:val="center"/>
          </w:tcPr>
          <w:p>
            <w:pPr>
              <w:spacing w:after="0" w:before="0"/>
            </w:pPr>
            <w:r>
              <w:rPr>
                <w:rFonts w:ascii="Times New Roman" w:hAnsi="Times New Roman"/>
                <w:sz w:val="22"/>
              </w:rPr>
              <w:t>0.7948</w:t>
            </w:r>
          </w:p>
        </w:tc>
      </w:tr>
      <w:tr>
        <w:tc>
          <w:tcPr>
            <w:tcW w:type="dxa" w:w="1987"/>
            <w:vAlign w:val="center"/>
          </w:tcPr>
          <w:p>
            <w:pPr>
              <w:spacing w:after="0" w:before="0"/>
            </w:pPr>
            <w:r>
              <w:rPr>
                <w:rFonts w:ascii="Times New Roman" w:hAnsi="Times New Roman"/>
                <w:sz w:val="22"/>
              </w:rPr>
              <w:t>Gradient Boosting</w:t>
            </w:r>
          </w:p>
        </w:tc>
        <w:tc>
          <w:tcPr>
            <w:tcW w:type="dxa" w:w="1987"/>
            <w:vAlign w:val="center"/>
          </w:tcPr>
          <w:p>
            <w:pPr>
              <w:spacing w:after="0" w:before="0"/>
            </w:pPr>
            <w:r>
              <w:rPr>
                <w:rFonts w:ascii="Times New Roman" w:hAnsi="Times New Roman"/>
                <w:sz w:val="22"/>
              </w:rPr>
              <w:t>1.1855</w:t>
            </w:r>
          </w:p>
        </w:tc>
        <w:tc>
          <w:tcPr>
            <w:tcW w:type="dxa" w:w="1987"/>
            <w:vAlign w:val="center"/>
          </w:tcPr>
          <w:p>
            <w:pPr>
              <w:spacing w:after="0" w:before="0"/>
            </w:pPr>
            <w:r>
              <w:rPr>
                <w:rFonts w:ascii="Times New Roman" w:hAnsi="Times New Roman"/>
                <w:sz w:val="22"/>
              </w:rPr>
              <w:t>2.0802</w:t>
            </w:r>
          </w:p>
        </w:tc>
        <w:tc>
          <w:tcPr>
            <w:tcW w:type="dxa" w:w="1987"/>
            <w:vAlign w:val="center"/>
          </w:tcPr>
          <w:p>
            <w:pPr>
              <w:spacing w:after="0" w:before="0"/>
            </w:pPr>
            <w:r>
              <w:rPr>
                <w:rFonts w:ascii="Times New Roman" w:hAnsi="Times New Roman"/>
                <w:sz w:val="22"/>
              </w:rPr>
              <w:t>0.8857</w:t>
            </w:r>
          </w:p>
        </w:tc>
        <w:tc>
          <w:tcPr>
            <w:tcW w:type="dxa" w:w="1987"/>
            <w:vAlign w:val="center"/>
          </w:tcPr>
          <w:p>
            <w:pPr>
              <w:spacing w:after="0" w:before="0"/>
            </w:pPr>
            <w:r>
              <w:rPr>
                <w:rFonts w:ascii="Times New Roman" w:hAnsi="Times New Roman"/>
                <w:sz w:val="22"/>
              </w:rPr>
              <w:t>0.8009</w:t>
            </w:r>
          </w:p>
        </w:tc>
      </w:tr>
      <w:tr>
        <w:tc>
          <w:tcPr>
            <w:tcW w:type="dxa" w:w="1987"/>
            <w:vAlign w:val="center"/>
          </w:tcPr>
          <w:p>
            <w:pPr>
              <w:spacing w:after="0" w:before="0"/>
            </w:pPr>
            <w:r>
              <w:rPr>
                <w:rFonts w:ascii="Times New Roman" w:hAnsi="Times New Roman"/>
                <w:sz w:val="22"/>
              </w:rPr>
              <w:t>Extra Trees</w:t>
            </w:r>
          </w:p>
        </w:tc>
        <w:tc>
          <w:tcPr>
            <w:tcW w:type="dxa" w:w="1987"/>
            <w:vAlign w:val="center"/>
          </w:tcPr>
          <w:p>
            <w:pPr>
              <w:spacing w:after="0" w:before="0"/>
            </w:pPr>
            <w:r>
              <w:rPr>
                <w:rFonts w:ascii="Times New Roman" w:hAnsi="Times New Roman"/>
                <w:sz w:val="22"/>
              </w:rPr>
              <w:t>1.2930</w:t>
            </w:r>
          </w:p>
        </w:tc>
        <w:tc>
          <w:tcPr>
            <w:tcW w:type="dxa" w:w="1987"/>
            <w:vAlign w:val="center"/>
          </w:tcPr>
          <w:p>
            <w:pPr>
              <w:spacing w:after="0" w:before="0"/>
            </w:pPr>
            <w:r>
              <w:rPr>
                <w:rFonts w:ascii="Times New Roman" w:hAnsi="Times New Roman"/>
                <w:sz w:val="22"/>
              </w:rPr>
              <w:t>2.1116</w:t>
            </w:r>
          </w:p>
        </w:tc>
        <w:tc>
          <w:tcPr>
            <w:tcW w:type="dxa" w:w="1987"/>
            <w:vAlign w:val="center"/>
          </w:tcPr>
          <w:p>
            <w:pPr>
              <w:spacing w:after="0" w:before="0"/>
            </w:pPr>
            <w:r>
              <w:rPr>
                <w:rFonts w:ascii="Times New Roman" w:hAnsi="Times New Roman"/>
                <w:sz w:val="22"/>
              </w:rPr>
              <w:t>0.8753</w:t>
            </w:r>
          </w:p>
        </w:tc>
        <w:tc>
          <w:tcPr>
            <w:tcW w:type="dxa" w:w="1987"/>
            <w:vAlign w:val="center"/>
          </w:tcPr>
          <w:p>
            <w:pPr>
              <w:spacing w:after="0" w:before="0"/>
            </w:pPr>
            <w:r>
              <w:rPr>
                <w:rFonts w:ascii="Times New Roman" w:hAnsi="Times New Roman"/>
                <w:sz w:val="22"/>
              </w:rPr>
              <w:t>0.7979</w:t>
            </w:r>
          </w:p>
        </w:tc>
      </w:tr>
      <w:tr>
        <w:tc>
          <w:tcPr>
            <w:tcW w:type="dxa" w:w="1987"/>
            <w:vAlign w:val="center"/>
          </w:tcPr>
          <w:p>
            <w:pPr>
              <w:spacing w:after="0" w:before="0"/>
            </w:pPr>
            <w:r>
              <w:rPr>
                <w:rFonts w:ascii="Times New Roman" w:hAnsi="Times New Roman"/>
                <w:sz w:val="22"/>
              </w:rPr>
              <w:t>XGBoost</w:t>
            </w:r>
          </w:p>
        </w:tc>
        <w:tc>
          <w:tcPr>
            <w:tcW w:type="dxa" w:w="1987"/>
            <w:vAlign w:val="center"/>
          </w:tcPr>
          <w:p>
            <w:pPr>
              <w:spacing w:after="0" w:before="0"/>
            </w:pPr>
            <w:r>
              <w:rPr>
                <w:rFonts w:ascii="Times New Roman" w:hAnsi="Times New Roman"/>
                <w:sz w:val="22"/>
              </w:rPr>
              <w:t>1.5495</w:t>
            </w:r>
          </w:p>
        </w:tc>
        <w:tc>
          <w:tcPr>
            <w:tcW w:type="dxa" w:w="1987"/>
            <w:vAlign w:val="center"/>
          </w:tcPr>
          <w:p>
            <w:pPr>
              <w:spacing w:after="0" w:before="0"/>
            </w:pPr>
            <w:r>
              <w:rPr>
                <w:rFonts w:ascii="Times New Roman" w:hAnsi="Times New Roman"/>
                <w:sz w:val="22"/>
              </w:rPr>
              <w:t>2.0999</w:t>
            </w:r>
          </w:p>
        </w:tc>
        <w:tc>
          <w:tcPr>
            <w:tcW w:type="dxa" w:w="1987"/>
            <w:vAlign w:val="center"/>
          </w:tcPr>
          <w:p>
            <w:pPr>
              <w:spacing w:after="0" w:before="0"/>
            </w:pPr>
            <w:r>
              <w:rPr>
                <w:rFonts w:ascii="Times New Roman" w:hAnsi="Times New Roman"/>
                <w:sz w:val="22"/>
              </w:rPr>
              <w:t>0.8506</w:t>
            </w:r>
          </w:p>
        </w:tc>
        <w:tc>
          <w:tcPr>
            <w:tcW w:type="dxa" w:w="1987"/>
            <w:vAlign w:val="center"/>
          </w:tcPr>
          <w:p>
            <w:pPr>
              <w:spacing w:after="0" w:before="0"/>
            </w:pPr>
            <w:r>
              <w:rPr>
                <w:rFonts w:ascii="Times New Roman" w:hAnsi="Times New Roman"/>
                <w:sz w:val="22"/>
              </w:rPr>
              <w:t>0.7990</w:t>
            </w:r>
          </w:p>
        </w:tc>
      </w:tr>
    </w:tbl>
    <w:p>
      <w:pPr>
        <w:spacing w:after="120" w:before="0" w:line="276" w:lineRule="auto"/>
      </w:pPr>
      <w:r>
        <w:rPr>
          <w:rFonts w:ascii="Times New Roman" w:hAnsi="Times New Roman"/>
          <w:b w:val="0"/>
          <w:i w:val="0"/>
          <w:sz w:val="24"/>
        </w:rPr>
        <w:t>Gradient Boosting achieved the best test R² in the notebook (0.8009) with the lowest test MSE among the compared models (2.0802). XGBoost was extremely close, with a test R² of 0.7990. Random Forest achieved the best train score, but its larger train-test gap suggests slightly more overfitting than Gradient Boosting. Lasso performed the worst of the tested models, which suggests that the data is not well explained by a heavily sparse linear fit.</w:t>
      </w:r>
    </w:p>
    <w:p>
      <w:pPr>
        <w:pStyle w:val="Heading1"/>
        <w:spacing w:after="120" w:before="120" w:line="276" w:lineRule="auto"/>
      </w:pPr>
      <w:r>
        <w:rPr>
          <w:rFonts w:ascii="Times New Roman" w:hAnsi="Times New Roman"/>
          <w:b/>
        </w:rPr>
        <w:t>5. Plots and Observations</w:t>
      </w:r>
    </w:p>
    <w:p>
      <w:pPr>
        <w:spacing w:after="120" w:before="0" w:line="276" w:lineRule="auto"/>
      </w:pPr>
      <w:r>
        <w:rPr>
          <w:rFonts w:ascii="Times New Roman" w:hAnsi="Times New Roman"/>
          <w:b w:val="0"/>
          <w:i w:val="0"/>
          <w:sz w:val="24"/>
        </w:rPr>
        <w:t>The figures below summarize the model comparison and the residual behavior of the best model. They were taken from the notebook outputs and included here as evidence of performance.</w:t>
      </w:r>
    </w:p>
    <w:p>
      <w:pPr>
        <w:spacing w:after="40" w:before="0" w:line="276" w:lineRule="auto"/>
        <w:jc w:val="center"/>
      </w:pPr>
      <w:r>
        <w:drawing>
          <wp:inline xmlns:a="http://schemas.openxmlformats.org/drawingml/2006/main" xmlns:pic="http://schemas.openxmlformats.org/drawingml/2006/picture">
            <wp:extent cx="5760720" cy="2160270"/>
            <wp:docPr id="1" name="Picture 1"/>
            <wp:cNvGraphicFramePr>
              <a:graphicFrameLocks noChangeAspect="1"/>
            </wp:cNvGraphicFramePr>
            <a:graphic>
              <a:graphicData uri="http://schemas.openxmlformats.org/drawingml/2006/picture">
                <pic:pic>
                  <pic:nvPicPr>
                    <pic:cNvPr id="0" name="cell118_out0.png"/>
                    <pic:cNvPicPr/>
                  </pic:nvPicPr>
                  <pic:blipFill>
                    <a:blip r:embed="rId9"/>
                    <a:stretch>
                      <a:fillRect/>
                    </a:stretch>
                  </pic:blipFill>
                  <pic:spPr>
                    <a:xfrm>
                      <a:off x="0" y="0"/>
                      <a:ext cx="5760720" cy="2160270"/>
                    </a:xfrm>
                    <a:prstGeom prst="rect"/>
                  </pic:spPr>
                </pic:pic>
              </a:graphicData>
            </a:graphic>
          </wp:inline>
        </w:drawing>
      </w:r>
    </w:p>
    <w:p>
      <w:pPr>
        <w:spacing w:after="160" w:before="0" w:line="276" w:lineRule="auto"/>
        <w:jc w:val="center"/>
      </w:pPr>
      <w:r>
        <w:rPr>
          <w:rFonts w:ascii="Times New Roman" w:hAnsi="Times New Roman"/>
          <w:i/>
          <w:sz w:val="22"/>
        </w:rPr>
        <w:t>Figure 1. Train and test MSE per model.</w:t>
      </w:r>
    </w:p>
    <w:p>
      <w:pPr>
        <w:spacing w:after="120" w:before="0" w:line="276" w:lineRule="auto"/>
      </w:pPr>
      <w:r>
        <w:rPr>
          <w:rFonts w:ascii="Times New Roman" w:hAnsi="Times New Roman"/>
          <w:b w:val="0"/>
          <w:i w:val="0"/>
          <w:sz w:val="24"/>
        </w:rPr>
        <w:t>Observation: linear models sit around the 3.4 MSE range, while tree ensembles reduce the error substantially. Gradient Boosting and XGBoost are the strongest generalizers among the tested models.</w:t>
      </w:r>
    </w:p>
    <w:p>
      <w:pPr>
        <w:spacing w:after="40" w:before="0" w:line="276" w:lineRule="auto"/>
        <w:jc w:val="center"/>
      </w:pPr>
      <w:r>
        <w:drawing>
          <wp:inline xmlns:a="http://schemas.openxmlformats.org/drawingml/2006/main" xmlns:pic="http://schemas.openxmlformats.org/drawingml/2006/picture">
            <wp:extent cx="5760720" cy="2160270"/>
            <wp:docPr id="2" name="Picture 2"/>
            <wp:cNvGraphicFramePr>
              <a:graphicFrameLocks noChangeAspect="1"/>
            </wp:cNvGraphicFramePr>
            <a:graphic>
              <a:graphicData uri="http://schemas.openxmlformats.org/drawingml/2006/picture">
                <pic:pic>
                  <pic:nvPicPr>
                    <pic:cNvPr id="0" name="cell119_out0.png"/>
                    <pic:cNvPicPr/>
                  </pic:nvPicPr>
                  <pic:blipFill>
                    <a:blip r:embed="rId10"/>
                    <a:stretch>
                      <a:fillRect/>
                    </a:stretch>
                  </pic:blipFill>
                  <pic:spPr>
                    <a:xfrm>
                      <a:off x="0" y="0"/>
                      <a:ext cx="5760720" cy="2160270"/>
                    </a:xfrm>
                    <a:prstGeom prst="rect"/>
                  </pic:spPr>
                </pic:pic>
              </a:graphicData>
            </a:graphic>
          </wp:inline>
        </w:drawing>
      </w:r>
    </w:p>
    <w:p>
      <w:pPr>
        <w:spacing w:after="160" w:before="0" w:line="276" w:lineRule="auto"/>
        <w:jc w:val="center"/>
      </w:pPr>
      <w:r>
        <w:rPr>
          <w:rFonts w:ascii="Times New Roman" w:hAnsi="Times New Roman"/>
          <w:i/>
          <w:sz w:val="22"/>
        </w:rPr>
        <w:t>Figure 2. Train and test R² per model.</w:t>
      </w:r>
    </w:p>
    <w:p>
      <w:pPr>
        <w:spacing w:after="120" w:before="0" w:line="276" w:lineRule="auto"/>
      </w:pPr>
      <w:r>
        <w:rPr>
          <w:rFonts w:ascii="Times New Roman" w:hAnsi="Times New Roman"/>
          <w:b w:val="0"/>
          <w:i w:val="0"/>
          <w:sz w:val="24"/>
        </w:rPr>
        <w:t>Observation: ensemble trees clearly outperform the linear baselines. Random Forest has the highest train R², but Gradient Boosting gives the best test R², which is the more important result for generalization.</w:t>
      </w:r>
    </w:p>
    <w:p>
      <w:pPr>
        <w:spacing w:after="40" w:before="0" w:line="276" w:lineRule="auto"/>
        <w:jc w:val="center"/>
      </w:pPr>
      <w:r>
        <w:drawing>
          <wp:inline xmlns:a="http://schemas.openxmlformats.org/drawingml/2006/main" xmlns:pic="http://schemas.openxmlformats.org/drawingml/2006/picture">
            <wp:extent cx="5760720" cy="4283612"/>
            <wp:docPr id="3" name="Picture 3"/>
            <wp:cNvGraphicFramePr>
              <a:graphicFrameLocks noChangeAspect="1"/>
            </wp:cNvGraphicFramePr>
            <a:graphic>
              <a:graphicData uri="http://schemas.openxmlformats.org/drawingml/2006/picture">
                <pic:pic>
                  <pic:nvPicPr>
                    <pic:cNvPr id="0" name="cell120_out1.png"/>
                    <pic:cNvPicPr/>
                  </pic:nvPicPr>
                  <pic:blipFill>
                    <a:blip r:embed="rId11"/>
                    <a:stretch>
                      <a:fillRect/>
                    </a:stretch>
                  </pic:blipFill>
                  <pic:spPr>
                    <a:xfrm>
                      <a:off x="0" y="0"/>
                      <a:ext cx="5760720" cy="4283612"/>
                    </a:xfrm>
                    <a:prstGeom prst="rect"/>
                  </pic:spPr>
                </pic:pic>
              </a:graphicData>
            </a:graphic>
          </wp:inline>
        </w:drawing>
      </w:r>
    </w:p>
    <w:p>
      <w:pPr>
        <w:spacing w:after="160" w:before="0" w:line="276" w:lineRule="auto"/>
        <w:jc w:val="center"/>
      </w:pPr>
      <w:r>
        <w:rPr>
          <w:rFonts w:ascii="Times New Roman" w:hAnsi="Times New Roman"/>
          <w:i/>
          <w:sz w:val="22"/>
        </w:rPr>
        <w:t>Figure 3. Actual versus predicted values for the best model.</w:t>
      </w:r>
    </w:p>
    <w:p>
      <w:pPr>
        <w:spacing w:after="120" w:before="0" w:line="276" w:lineRule="auto"/>
      </w:pPr>
      <w:r>
        <w:rPr>
          <w:rFonts w:ascii="Times New Roman" w:hAnsi="Times New Roman"/>
          <w:b w:val="0"/>
          <w:i w:val="0"/>
          <w:sz w:val="24"/>
        </w:rPr>
        <w:t>Observation: predictions follow the diagonal trend closely, which means the model captures the overall ordering of popularity well. The spread becomes wider for extreme values, showing that very large recommendation counts are harder to predict precisely.</w:t>
      </w:r>
    </w:p>
    <w:p>
      <w:pPr>
        <w:spacing w:after="40" w:before="0" w:line="276" w:lineRule="auto"/>
        <w:jc w:val="center"/>
      </w:pPr>
      <w:r>
        <w:drawing>
          <wp:inline xmlns:a="http://schemas.openxmlformats.org/drawingml/2006/main" xmlns:pic="http://schemas.openxmlformats.org/drawingml/2006/picture">
            <wp:extent cx="5760720" cy="2045473"/>
            <wp:docPr id="4" name="Picture 4"/>
            <wp:cNvGraphicFramePr>
              <a:graphicFrameLocks noChangeAspect="1"/>
            </wp:cNvGraphicFramePr>
            <a:graphic>
              <a:graphicData uri="http://schemas.openxmlformats.org/drawingml/2006/picture">
                <pic:pic>
                  <pic:nvPicPr>
                    <pic:cNvPr id="0" name="cell121_out0.png"/>
                    <pic:cNvPicPr/>
                  </pic:nvPicPr>
                  <pic:blipFill>
                    <a:blip r:embed="rId12"/>
                    <a:stretch>
                      <a:fillRect/>
                    </a:stretch>
                  </pic:blipFill>
                  <pic:spPr>
                    <a:xfrm>
                      <a:off x="0" y="0"/>
                      <a:ext cx="5760720" cy="2045473"/>
                    </a:xfrm>
                    <a:prstGeom prst="rect"/>
                  </pic:spPr>
                </pic:pic>
              </a:graphicData>
            </a:graphic>
          </wp:inline>
        </w:drawing>
      </w:r>
    </w:p>
    <w:p>
      <w:pPr>
        <w:spacing w:after="160" w:before="0" w:line="276" w:lineRule="auto"/>
        <w:jc w:val="center"/>
      </w:pPr>
      <w:r>
        <w:rPr>
          <w:rFonts w:ascii="Times New Roman" w:hAnsi="Times New Roman"/>
          <w:i/>
          <w:sz w:val="22"/>
        </w:rPr>
        <w:t>Figure 4. Residual analysis for the best model.</w:t>
      </w:r>
    </w:p>
    <w:p>
      <w:pPr>
        <w:spacing w:after="120" w:before="0" w:line="276" w:lineRule="auto"/>
      </w:pPr>
      <w:r>
        <w:rPr>
          <w:rFonts w:ascii="Times New Roman" w:hAnsi="Times New Roman"/>
          <w:b w:val="0"/>
          <w:i w:val="0"/>
          <w:sz w:val="24"/>
        </w:rPr>
        <w:t>Observation: residuals are centered near zero and the histogram is concentrated around the middle, which is a good sign. The scatter still widens for larger predicted values, indicating that high-popularity games remain the hardest cases.</w:t>
      </w:r>
    </w:p>
    <w:p>
      <w:pPr>
        <w:pStyle w:val="Heading1"/>
        <w:spacing w:after="120" w:before="120" w:line="276" w:lineRule="auto"/>
      </w:pPr>
      <w:r>
        <w:rPr>
          <w:rFonts w:ascii="Times New Roman" w:hAnsi="Times New Roman"/>
          <w:b/>
        </w:rPr>
        <w:t>6. Conclusion</w:t>
      </w:r>
    </w:p>
    <w:p>
      <w:pPr>
        <w:spacing w:after="120" w:before="0" w:line="276" w:lineRule="auto"/>
      </w:pPr>
      <w:r>
        <w:rPr>
          <w:rFonts w:ascii="Times New Roman" w:hAnsi="Times New Roman"/>
          <w:b w:val="0"/>
          <w:i w:val="0"/>
          <w:sz w:val="24"/>
        </w:rPr>
        <w:t>This milestone confirmed the main intuition behind the project: online game popularity is driven mostly by strong audience and visibility signals, not by a single raw field. SteamSpy player and owner estimates were the most important predictors, while price, achievements, media richness, semantic description features, and metadata about developer support and web presence contributed additional value.</w:t>
      </w:r>
    </w:p>
    <w:p>
      <w:pPr>
        <w:spacing w:after="120" w:before="0" w:line="276" w:lineRule="auto"/>
      </w:pPr>
      <w:r>
        <w:rPr>
          <w:rFonts w:ascii="Times New Roman" w:hAnsi="Times New Roman"/>
          <w:b w:val="0"/>
          <w:i w:val="0"/>
          <w:sz w:val="24"/>
        </w:rPr>
        <w:t>The preprocessing work also proved that many raw columns were too noisy or too sparse to use directly. Converting text and list fields into compact engineered features, handling missing values carefully, and reducing the feature space to the most informative variables made the regression problem much easier for the models.</w:t>
      </w:r>
    </w:p>
    <w:p>
      <w:pPr>
        <w:spacing w:after="120" w:before="0" w:line="276" w:lineRule="auto"/>
      </w:pPr>
      <w:r>
        <w:rPr>
          <w:rFonts w:ascii="Times New Roman" w:hAnsi="Times New Roman"/>
          <w:b w:val="0"/>
          <w:i w:val="0"/>
          <w:sz w:val="24"/>
        </w:rPr>
        <w:t>Overall, the linear models provided a useful baseline, but the tree-based ensemble models clearly performed better. Gradient Boosting was the best final choice in this milestone, with XGBoost very close behind. The results support the idea that game popularity depends on a mixture of structured metadata, community signals, and descriptive quality indicators.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