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4"/>
          <w:szCs w:val="34"/>
        </w:rPr>
        <w:t xml:space="preserve">Sales Forecasting &amp; Demand Intelligence</w:t>
      </w:r>
    </w:p>
    <w:p>
      <w:pPr>
        <w:spacing w:after="40"/>
        <w:jc w:val="center"/>
      </w:pPr>
      <w:r>
        <w:rPr>
          <w:b/>
          <w:bCs/>
          <w:color w:val="2E74B5"/>
          <w:sz w:val="24"/>
          <w:szCs w:val="24"/>
        </w:rPr>
        <w:t xml:space="preserve">Executive Business Report</w:t>
      </w:r>
    </w:p>
    <w:p>
      <w:pPr>
        <w:spacing w:after="260"/>
        <w:jc w:val="center"/>
      </w:pPr>
      <w:r>
        <w:rPr>
          <w:i/>
          <w:iCs/>
          <w:color w:val="595959"/>
          <w:sz w:val="18"/>
          <w:szCs w:val="18"/>
        </w:rPr>
        <w:t xml:space="preserve">Prepared for: Head of Supply Chain &amp; CFO   |   4-Year Sales History Analyzed (2021–2024)</w:t>
      </w:r>
    </w:p>
    <w:p>
      <w:pPr>
        <w:pBdr>
          <w:bottom w:val="single" w:color="BFBFBF" w:sz="6"/>
        </w:pBdr>
        <w:spacing w:after="200" w:before="60"/>
      </w:pPr>
      <w:r>
        <w:t xml:space="preserve"/>
      </w:r>
    </w:p>
    <w:p>
      <w:pPr>
        <w:pStyle w:val="Heading1"/>
        <w:spacing w:after="80" w:before="160"/>
      </w:pPr>
      <w:r>
        <w:rPr>
          <w:b/>
          <w:bCs/>
          <w:color w:val="1F3864"/>
          <w:sz w:val="26"/>
          <w:szCs w:val="26"/>
        </w:rPr>
        <w:t xml:space="preserve">Executive Summary</w:t>
      </w:r>
    </w:p>
    <w:p>
      <w:pPr>
        <w:spacing w:after="90" w:line="264"/>
      </w:pPr>
      <w:r>
        <w:rPr>
          <w:color w:val="222222"/>
          <w:sz w:val="20"/>
          <w:szCs w:val="20"/>
        </w:rPr>
        <w:t xml:space="preserve">Between January 2015 and December 2018, the business generated $2.26M in revenue across 9,800 orders, led by the Technology category ($827K) ahead of Furniture ($729K) and Office Supplies ($705K). Sales are seasonal — November, September, and December are consistently the strongest months every single year, driven by holiday demand and a back-to-school/fiscal-year-end bump. The East region delivers the steadiest year-over-year growth of any region, even though West posts a slightly higher average growth rate — consistency is what makes East the safer bet for planning. We tested three different forecasting approaches head-to-head on three months of real held-out data; a machine-learning (gradient-boosting) model was the clear winner, cutting average forecast error roughly in half versus the two statistical alternatives, and is what we recommend for production use. We also flagged 13 unusual sales weeks — most cluster around the holiday season as expected, but the single largest spike (March 2015) has no obvious calendar explanation and warrants a manual look. Finally, we grouped all 17 product sub-categories into three demand-behavior segments, each with a specific recommended stocking strategy, to help right-size inventory investment by product rather than applying one policy company-wide.</w:t>
      </w:r>
    </w:p>
    <w:p>
      <w:pPr>
        <w:pStyle w:val="Heading1"/>
        <w:spacing w:after="80" w:before="160"/>
      </w:pPr>
      <w:r>
        <w:rPr>
          <w:b/>
          <w:bCs/>
          <w:color w:val="1F3864"/>
          <w:sz w:val="26"/>
          <w:szCs w:val="26"/>
        </w:rPr>
        <w:t xml:space="preserve">Key Findings from Exploratory Analysis &amp; Forecasting</w:t>
      </w:r>
    </w:p>
    <w:p>
      <w:pPr>
        <w:pStyle w:val="ListParagraph"/>
        <w:numPr>
          <w:ilvl w:val="0"/>
          <w:numId w:val="1"/>
        </w:numPr>
        <w:spacing w:after="60"/>
      </w:pPr>
      <w:r>
        <w:rPr>
          <w:color w:val="222222"/>
          <w:sz w:val="20"/>
          <w:szCs w:val="20"/>
        </w:rPr>
        <w:t xml:space="preserve">Technology is the top revenue driver ($827K, 37% of total), narrowly ahead of Furniture ($729K) and Office Supplies ($705K) — Office Supplies has by far the most individual orders but the lowest per-item price, which caps its total revenue.</w:t>
      </w:r>
    </w:p>
    <w:p>
      <w:pPr>
        <w:pStyle w:val="ListParagraph"/>
        <w:numPr>
          <w:ilvl w:val="0"/>
          <w:numId w:val="1"/>
        </w:numPr>
        <w:spacing w:after="60"/>
      </w:pPr>
      <w:r>
        <w:rPr>
          <w:color w:val="222222"/>
          <w:sz w:val="20"/>
          <w:szCs w:val="20"/>
        </w:rPr>
        <w:t xml:space="preserve">The East region shows the most consistent growth trajectory (lowest year-to-year variability of any region), making it the safest region to expand inventory commitments in, even though West's average growth rate is nominally higher.</w:t>
      </w:r>
    </w:p>
    <w:p>
      <w:pPr>
        <w:pStyle w:val="ListParagraph"/>
        <w:numPr>
          <w:ilvl w:val="0"/>
          <w:numId w:val="1"/>
        </w:numPr>
        <w:spacing w:after="60"/>
      </w:pPr>
      <w:r>
        <w:rPr>
          <w:color w:val="222222"/>
          <w:sz w:val="20"/>
          <w:szCs w:val="20"/>
        </w:rPr>
        <w:t xml:space="preserve">Orders take an average of 3.96 days from order to ship, with almost no meaningful difference between regions (3.91–4.07 days) — shipping speed is not a regional bottleneck in this data.</w:t>
      </w:r>
    </w:p>
    <w:p>
      <w:pPr>
        <w:pStyle w:val="ListParagraph"/>
        <w:numPr>
          <w:ilvl w:val="0"/>
          <w:numId w:val="1"/>
        </w:numPr>
        <w:spacing w:after="60"/>
      </w:pPr>
      <w:r>
        <w:rPr>
          <w:color w:val="222222"/>
          <w:sz w:val="20"/>
          <w:szCs w:val="20"/>
        </w:rPr>
        <w:t xml:space="preserve">Time-series decomposition confirms a clear upward revenue trend plus a real, repeating seasonal pattern (about $62K peak-to-trough) — this is predictable and plannable, not noise.</w:t>
      </w:r>
    </w:p>
    <w:p>
      <w:pPr>
        <w:pStyle w:val="ListParagraph"/>
        <w:numPr>
          <w:ilvl w:val="0"/>
          <w:numId w:val="1"/>
        </w:numPr>
        <w:spacing w:after="60"/>
      </w:pPr>
      <w:r>
        <w:rPr>
          <w:color w:val="222222"/>
          <w:sz w:val="20"/>
          <w:szCs w:val="20"/>
        </w:rPr>
        <w:t xml:space="preserve">We compared three forecasting approaches (a statistical trend+seasonality model, a Prophet-style additive regression, and a machine-learning gradient-boosting model) on three months of held-out real data. The machine-learning model was clearly the most accurate (about 9.4% average forecast error vs. roughly 21% for the two statistical models) and is recommended for near-term production use.</w:t>
      </w:r>
    </w:p>
    <w:p>
      <w:pPr>
        <w:pStyle w:val="Heading1"/>
        <w:spacing w:after="80" w:before="160"/>
      </w:pPr>
      <w:r>
        <w:rPr>
          <w:b/>
          <w:bCs/>
          <w:color w:val="1F3864"/>
          <w:sz w:val="26"/>
          <w:szCs w:val="26"/>
        </w:rPr>
        <w:t xml:space="preserve">3-Month Sales Forecast</w:t>
      </w:r>
    </w:p>
    <w:p>
      <w:pPr>
        <w:spacing w:after="90" w:line="264"/>
      </w:pPr>
      <w:r>
        <w:rPr>
          <w:color w:val="222222"/>
          <w:sz w:val="20"/>
          <w:szCs w:val="20"/>
        </w:rPr>
        <w:t xml:space="preserve">Based on our best-performing model (gradient-boosting on lag and calendar features), we project the following company-wide monthly sales for January–March 2019:</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200"/>
      </w:tblGrid>
      <w:tr>
        <w:tc>
          <w:tcPr>
            <w:tcW w:type="dxa" w:w="2400"/>
            <w:shd w:fill="1F3864" w:val="clear"/>
            <w:tcMar>
              <w:top w:type="dxa" w:w="80"/>
              <w:left w:type="dxa" w:w="100"/>
              <w:bottom w:type="dxa" w:w="80"/>
              <w:right w:type="dxa" w:w="100"/>
            </w:tcMar>
          </w:tcPr>
          <w:p>
            <w:r>
              <w:rPr>
                <w:b/>
                <w:bCs/>
                <w:color w:val="FFFFFF"/>
                <w:sz w:val="19"/>
                <w:szCs w:val="19"/>
              </w:rPr>
              <w:t xml:space="preserve">Month</w:t>
            </w:r>
          </w:p>
        </w:tc>
        <w:tc>
          <w:tcPr>
            <w:tcW w:type="dxa" w:w="2600"/>
            <w:shd w:fill="1F3864" w:val="clear"/>
            <w:tcMar>
              <w:top w:type="dxa" w:w="80"/>
              <w:left w:type="dxa" w:w="100"/>
              <w:bottom w:type="dxa" w:w="80"/>
              <w:right w:type="dxa" w:w="100"/>
            </w:tcMar>
          </w:tcPr>
          <w:p>
            <w:r>
              <w:rPr>
                <w:b/>
                <w:bCs/>
                <w:color w:val="FFFFFF"/>
                <w:sz w:val="19"/>
                <w:szCs w:val="19"/>
              </w:rPr>
              <w:t xml:space="preserve">Forecast</w:t>
            </w:r>
          </w:p>
        </w:tc>
        <w:tc>
          <w:tcPr>
            <w:tcW w:type="dxa" w:w="4200"/>
            <w:shd w:fill="1F3864" w:val="clear"/>
            <w:tcMar>
              <w:top w:type="dxa" w:w="80"/>
              <w:left w:type="dxa" w:w="100"/>
              <w:bottom w:type="dxa" w:w="80"/>
              <w:right w:type="dxa" w:w="100"/>
            </w:tcMar>
          </w:tcPr>
          <w:p>
            <w:r>
              <w:rPr>
                <w:b/>
                <w:bCs/>
                <w:color w:val="FFFFFF"/>
                <w:sz w:val="19"/>
                <w:szCs w:val="19"/>
              </w:rPr>
              <w:t xml:space="preserve">Plain-Language Read</w:t>
            </w:r>
          </w:p>
        </w:tc>
      </w:tr>
      <w:tr>
        <w:tc>
          <w:tcPr>
            <w:tcW w:type="dxa" w:w="2400"/>
            <w:shd w:fill="FFFFFF" w:val="clear"/>
            <w:tcMar>
              <w:top w:type="dxa" w:w="70"/>
              <w:left w:type="dxa" w:w="100"/>
              <w:bottom w:type="dxa" w:w="70"/>
              <w:right w:type="dxa" w:w="100"/>
            </w:tcMar>
          </w:tcPr>
          <w:p>
            <w:r>
              <w:rPr>
                <w:color w:val="222222"/>
                <w:sz w:val="19"/>
                <w:szCs w:val="19"/>
              </w:rPr>
              <w:t xml:space="preserve">Jan 2019</w:t>
            </w:r>
          </w:p>
        </w:tc>
        <w:tc>
          <w:tcPr>
            <w:tcW w:type="dxa" w:w="2600"/>
            <w:shd w:fill="FFFFFF" w:val="clear"/>
            <w:tcMar>
              <w:top w:type="dxa" w:w="70"/>
              <w:left w:type="dxa" w:w="100"/>
              <w:bottom w:type="dxa" w:w="70"/>
              <w:right w:type="dxa" w:w="100"/>
            </w:tcMar>
          </w:tcPr>
          <w:p>
            <w:r>
              <w:rPr>
                <w:color w:val="222222"/>
                <w:sz w:val="19"/>
                <w:szCs w:val="19"/>
              </w:rPr>
              <w:t xml:space="preserve">$26,118</w:t>
            </w:r>
          </w:p>
        </w:tc>
        <w:tc>
          <w:tcPr>
            <w:tcW w:type="dxa" w:w="4200"/>
            <w:shd w:fill="FFFFFF" w:val="clear"/>
            <w:tcMar>
              <w:top w:type="dxa" w:w="70"/>
              <w:left w:type="dxa" w:w="100"/>
              <w:bottom w:type="dxa" w:w="70"/>
              <w:right w:type="dxa" w:w="100"/>
            </w:tcMar>
          </w:tcPr>
          <w:p>
            <w:r>
              <w:rPr>
                <w:color w:val="222222"/>
                <w:sz w:val="19"/>
                <w:szCs w:val="19"/>
              </w:rPr>
              <w:t xml:space="preserve">Typical seasonal dip after the Nov/Dec holiday peak</w:t>
            </w:r>
          </w:p>
        </w:tc>
      </w:tr>
      <w:tr>
        <w:tc>
          <w:tcPr>
            <w:tcW w:type="dxa" w:w="2400"/>
            <w:shd w:fill="DCE6F1" w:val="clear"/>
            <w:tcMar>
              <w:top w:type="dxa" w:w="70"/>
              <w:left w:type="dxa" w:w="100"/>
              <w:bottom w:type="dxa" w:w="70"/>
              <w:right w:type="dxa" w:w="100"/>
            </w:tcMar>
          </w:tcPr>
          <w:p>
            <w:r>
              <w:rPr>
                <w:color w:val="222222"/>
                <w:sz w:val="19"/>
                <w:szCs w:val="19"/>
              </w:rPr>
              <w:t xml:space="preserve">Feb 2019</w:t>
            </w:r>
          </w:p>
        </w:tc>
        <w:tc>
          <w:tcPr>
            <w:tcW w:type="dxa" w:w="2600"/>
            <w:shd w:fill="DCE6F1" w:val="clear"/>
            <w:tcMar>
              <w:top w:type="dxa" w:w="70"/>
              <w:left w:type="dxa" w:w="100"/>
              <w:bottom w:type="dxa" w:w="70"/>
              <w:right w:type="dxa" w:w="100"/>
            </w:tcMar>
          </w:tcPr>
          <w:p>
            <w:r>
              <w:rPr>
                <w:color w:val="222222"/>
                <w:sz w:val="19"/>
                <w:szCs w:val="19"/>
              </w:rPr>
              <w:t xml:space="preserve">$35,744</w:t>
            </w:r>
          </w:p>
        </w:tc>
        <w:tc>
          <w:tcPr>
            <w:tcW w:type="dxa" w:w="4200"/>
            <w:shd w:fill="DCE6F1" w:val="clear"/>
            <w:tcMar>
              <w:top w:type="dxa" w:w="70"/>
              <w:left w:type="dxa" w:w="100"/>
              <w:bottom w:type="dxa" w:w="70"/>
              <w:right w:type="dxa" w:w="100"/>
            </w:tcMar>
          </w:tcPr>
          <w:p>
            <w:r>
              <w:rPr>
                <w:color w:val="222222"/>
                <w:sz w:val="19"/>
                <w:szCs w:val="19"/>
              </w:rPr>
              <w:t xml:space="preserve">Gradual recovery as the new quarter builds</w:t>
            </w:r>
          </w:p>
        </w:tc>
      </w:tr>
      <w:tr>
        <w:tc>
          <w:tcPr>
            <w:tcW w:type="dxa" w:w="2400"/>
            <w:shd w:fill="FFFFFF" w:val="clear"/>
            <w:tcMar>
              <w:top w:type="dxa" w:w="70"/>
              <w:left w:type="dxa" w:w="100"/>
              <w:bottom w:type="dxa" w:w="70"/>
              <w:right w:type="dxa" w:w="100"/>
            </w:tcMar>
          </w:tcPr>
          <w:p>
            <w:r>
              <w:rPr>
                <w:color w:val="222222"/>
                <w:sz w:val="19"/>
                <w:szCs w:val="19"/>
              </w:rPr>
              <w:t xml:space="preserve">Mar 2019</w:t>
            </w:r>
          </w:p>
        </w:tc>
        <w:tc>
          <w:tcPr>
            <w:tcW w:type="dxa" w:w="2600"/>
            <w:shd w:fill="FFFFFF" w:val="clear"/>
            <w:tcMar>
              <w:top w:type="dxa" w:w="70"/>
              <w:left w:type="dxa" w:w="100"/>
              <w:bottom w:type="dxa" w:w="70"/>
              <w:right w:type="dxa" w:w="100"/>
            </w:tcMar>
          </w:tcPr>
          <w:p>
            <w:r>
              <w:rPr>
                <w:color w:val="222222"/>
                <w:sz w:val="19"/>
                <w:szCs w:val="19"/>
              </w:rPr>
              <w:t xml:space="preserve">$42,645</w:t>
            </w:r>
          </w:p>
        </w:tc>
        <w:tc>
          <w:tcPr>
            <w:tcW w:type="dxa" w:w="4200"/>
            <w:shd w:fill="FFFFFF" w:val="clear"/>
            <w:tcMar>
              <w:top w:type="dxa" w:w="70"/>
              <w:left w:type="dxa" w:w="100"/>
              <w:bottom w:type="dxa" w:w="70"/>
              <w:right w:type="dxa" w:w="100"/>
            </w:tcMar>
          </w:tcPr>
          <w:p>
            <w:r>
              <w:rPr>
                <w:color w:val="222222"/>
                <w:sz w:val="19"/>
                <w:szCs w:val="19"/>
              </w:rPr>
              <w:t xml:space="preserve">Continued build heading into Q2</w:t>
            </w:r>
          </w:p>
        </w:tc>
      </w:tr>
    </w:tbl>
    <w:p>
      <w:pPr>
        <w:spacing w:after="140"/>
      </w:pPr>
    </w:p>
    <w:p>
      <w:pPr>
        <w:spacing w:after="90" w:line="264"/>
      </w:pPr>
      <w:r>
        <w:rPr>
          <w:color w:val="222222"/>
          <w:sz w:val="20"/>
          <w:szCs w:val="20"/>
        </w:rPr>
        <w:t xml:space="preserve">In plain terms: after the holiday peak, we expect a normal seasonal dip in January followed by a steady month-over-month climb — a pattern consistent with every prior year in the data. Treat these as directional planning figures and re-run the forecast as each new month of actuals lands, since even our best model carries roughly a 9% typical error.</w:t>
      </w:r>
    </w:p>
    <w:p>
      <w:pPr>
        <w:pStyle w:val="Heading1"/>
        <w:spacing w:after="80" w:before="160"/>
      </w:pPr>
      <w:r>
        <w:rPr>
          <w:b/>
          <w:bCs/>
          <w:color w:val="1F3864"/>
          <w:sz w:val="26"/>
          <w:szCs w:val="26"/>
        </w:rPr>
        <w:t xml:space="preserve">Top Anomalies Detected &amp; Likely Cause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000"/>
      </w:tblGrid>
      <w:tr>
        <w:tc>
          <w:tcPr>
            <w:tcW w:type="dxa" w:w="2200"/>
            <w:shd w:fill="1F3864" w:val="clear"/>
            <w:tcMar>
              <w:top w:type="dxa" w:w="80"/>
              <w:left w:type="dxa" w:w="100"/>
              <w:bottom w:type="dxa" w:w="80"/>
              <w:right w:type="dxa" w:w="100"/>
            </w:tcMar>
          </w:tcPr>
          <w:p>
            <w:r>
              <w:rPr>
                <w:b/>
                <w:bCs/>
                <w:color w:val="FFFFFF"/>
                <w:sz w:val="19"/>
                <w:szCs w:val="19"/>
              </w:rPr>
              <w:t xml:space="preserve">Week Of</w:t>
            </w:r>
          </w:p>
        </w:tc>
        <w:tc>
          <w:tcPr>
            <w:tcW w:type="dxa" w:w="2000"/>
            <w:shd w:fill="1F3864" w:val="clear"/>
            <w:tcMar>
              <w:top w:type="dxa" w:w="80"/>
              <w:left w:type="dxa" w:w="100"/>
              <w:bottom w:type="dxa" w:w="80"/>
              <w:right w:type="dxa" w:w="100"/>
            </w:tcMar>
          </w:tcPr>
          <w:p>
            <w:r>
              <w:rPr>
                <w:b/>
                <w:bCs/>
                <w:color w:val="FFFFFF"/>
                <w:sz w:val="19"/>
                <w:szCs w:val="19"/>
              </w:rPr>
              <w:t xml:space="preserve">Sales</w:t>
            </w:r>
          </w:p>
        </w:tc>
        <w:tc>
          <w:tcPr>
            <w:tcW w:type="dxa" w:w="5000"/>
            <w:shd w:fill="1F3864" w:val="clear"/>
            <w:tcMar>
              <w:top w:type="dxa" w:w="80"/>
              <w:left w:type="dxa" w:w="100"/>
              <w:bottom w:type="dxa" w:w="80"/>
              <w:right w:type="dxa" w:w="100"/>
            </w:tcMar>
          </w:tcPr>
          <w:p>
            <w:r>
              <w:rPr>
                <w:b/>
                <w:bCs/>
                <w:color w:val="FFFFFF"/>
                <w:sz w:val="19"/>
                <w:szCs w:val="19"/>
              </w:rPr>
              <w:t xml:space="preserve">Likely Cause</w:t>
            </w:r>
          </w:p>
        </w:tc>
      </w:tr>
      <w:tr>
        <w:tc>
          <w:tcPr>
            <w:tcW w:type="dxa" w:w="2200"/>
            <w:shd w:fill="FFFFFF" w:val="clear"/>
            <w:tcMar>
              <w:top w:type="dxa" w:w="70"/>
              <w:left w:type="dxa" w:w="100"/>
              <w:bottom w:type="dxa" w:w="70"/>
              <w:right w:type="dxa" w:w="100"/>
            </w:tcMar>
          </w:tcPr>
          <w:p>
            <w:r>
              <w:rPr>
                <w:color w:val="222222"/>
                <w:sz w:val="19"/>
                <w:szCs w:val="19"/>
              </w:rPr>
              <w:t xml:space="preserve">Mar 22, 2015</w:t>
            </w:r>
          </w:p>
        </w:tc>
        <w:tc>
          <w:tcPr>
            <w:tcW w:type="dxa" w:w="2000"/>
            <w:shd w:fill="FFFFFF" w:val="clear"/>
            <w:tcMar>
              <w:top w:type="dxa" w:w="70"/>
              <w:left w:type="dxa" w:w="100"/>
              <w:bottom w:type="dxa" w:w="70"/>
              <w:right w:type="dxa" w:w="100"/>
            </w:tcMar>
          </w:tcPr>
          <w:p>
            <w:r>
              <w:rPr>
                <w:color w:val="222222"/>
                <w:sz w:val="19"/>
                <w:szCs w:val="19"/>
              </w:rPr>
              <w:t xml:space="preserve">$37,704</w:t>
            </w:r>
          </w:p>
        </w:tc>
        <w:tc>
          <w:tcPr>
            <w:tcW w:type="dxa" w:w="5000"/>
            <w:shd w:fill="FFFFFF" w:val="clear"/>
            <w:tcMar>
              <w:top w:type="dxa" w:w="70"/>
              <w:left w:type="dxa" w:w="100"/>
              <w:bottom w:type="dxa" w:w="70"/>
              <w:right w:type="dxa" w:w="100"/>
            </w:tcMar>
          </w:tcPr>
          <w:p>
            <w:r>
              <w:rPr>
                <w:color w:val="222222"/>
                <w:sz w:val="19"/>
                <w:szCs w:val="19"/>
              </w:rPr>
              <w:t xml:space="preserve">No obvious calendar driver — recommend manual review (one-off bulk order, promo, or data issue)</w:t>
            </w:r>
          </w:p>
        </w:tc>
      </w:tr>
      <w:tr>
        <w:tc>
          <w:tcPr>
            <w:tcW w:type="dxa" w:w="2200"/>
            <w:shd w:fill="DCE6F1" w:val="clear"/>
            <w:tcMar>
              <w:top w:type="dxa" w:w="70"/>
              <w:left w:type="dxa" w:w="100"/>
              <w:bottom w:type="dxa" w:w="70"/>
              <w:right w:type="dxa" w:w="100"/>
            </w:tcMar>
          </w:tcPr>
          <w:p>
            <w:r>
              <w:rPr>
                <w:color w:val="222222"/>
                <w:sz w:val="19"/>
                <w:szCs w:val="19"/>
              </w:rPr>
              <w:t xml:space="preserve">Dec 2, 2018</w:t>
            </w:r>
          </w:p>
        </w:tc>
        <w:tc>
          <w:tcPr>
            <w:tcW w:type="dxa" w:w="2000"/>
            <w:shd w:fill="DCE6F1" w:val="clear"/>
            <w:tcMar>
              <w:top w:type="dxa" w:w="70"/>
              <w:left w:type="dxa" w:w="100"/>
              <w:bottom w:type="dxa" w:w="70"/>
              <w:right w:type="dxa" w:w="100"/>
            </w:tcMar>
          </w:tcPr>
          <w:p>
            <w:r>
              <w:rPr>
                <w:color w:val="222222"/>
                <w:sz w:val="19"/>
                <w:szCs w:val="19"/>
              </w:rPr>
              <w:t xml:space="preserve">$35,999</w:t>
            </w:r>
          </w:p>
        </w:tc>
        <w:tc>
          <w:tcPr>
            <w:tcW w:type="dxa" w:w="5000"/>
            <w:shd w:fill="DCE6F1" w:val="clear"/>
            <w:tcMar>
              <w:top w:type="dxa" w:w="70"/>
              <w:left w:type="dxa" w:w="100"/>
              <w:bottom w:type="dxa" w:w="70"/>
              <w:right w:type="dxa" w:w="100"/>
            </w:tcMar>
          </w:tcPr>
          <w:p>
            <w:r>
              <w:rPr>
                <w:color w:val="222222"/>
                <w:sz w:val="19"/>
                <w:szCs w:val="19"/>
              </w:rPr>
              <w:t xml:space="preserve">Holiday season demand spike</w:t>
            </w:r>
          </w:p>
        </w:tc>
      </w:tr>
      <w:tr>
        <w:tc>
          <w:tcPr>
            <w:tcW w:type="dxa" w:w="2200"/>
            <w:shd w:fill="FFFFFF" w:val="clear"/>
            <w:tcMar>
              <w:top w:type="dxa" w:w="70"/>
              <w:left w:type="dxa" w:w="100"/>
              <w:bottom w:type="dxa" w:w="70"/>
              <w:right w:type="dxa" w:w="100"/>
            </w:tcMar>
          </w:tcPr>
          <w:p>
            <w:r>
              <w:rPr>
                <w:color w:val="222222"/>
                <w:sz w:val="19"/>
                <w:szCs w:val="19"/>
              </w:rPr>
              <w:t xml:space="preserve">Nov 18, 2018</w:t>
            </w:r>
          </w:p>
        </w:tc>
        <w:tc>
          <w:tcPr>
            <w:tcW w:type="dxa" w:w="2000"/>
            <w:shd w:fill="FFFFFF" w:val="clear"/>
            <w:tcMar>
              <w:top w:type="dxa" w:w="70"/>
              <w:left w:type="dxa" w:w="100"/>
              <w:bottom w:type="dxa" w:w="70"/>
              <w:right w:type="dxa" w:w="100"/>
            </w:tcMar>
          </w:tcPr>
          <w:p>
            <w:r>
              <w:rPr>
                <w:color w:val="222222"/>
                <w:sz w:val="19"/>
                <w:szCs w:val="19"/>
              </w:rPr>
              <w:t xml:space="preserve">$30,572</w:t>
            </w:r>
          </w:p>
        </w:tc>
        <w:tc>
          <w:tcPr>
            <w:tcW w:type="dxa" w:w="5000"/>
            <w:shd w:fill="FFFFFF" w:val="clear"/>
            <w:tcMar>
              <w:top w:type="dxa" w:w="70"/>
              <w:left w:type="dxa" w:w="100"/>
              <w:bottom w:type="dxa" w:w="70"/>
              <w:right w:type="dxa" w:w="100"/>
            </w:tcMar>
          </w:tcPr>
          <w:p>
            <w:r>
              <w:rPr>
                <w:color w:val="222222"/>
                <w:sz w:val="19"/>
                <w:szCs w:val="19"/>
              </w:rPr>
              <w:t xml:space="preserve">Black Friday / early holiday shopping spike</w:t>
            </w:r>
          </w:p>
        </w:tc>
      </w:tr>
    </w:tbl>
    <w:p>
      <w:pPr>
        <w:spacing w:after="120"/>
      </w:pPr>
    </w:p>
    <w:p>
      <w:pPr>
        <w:spacing w:after="90" w:line="264"/>
      </w:pPr>
      <w:r>
        <w:rPr>
          <w:color w:val="222222"/>
          <w:sz w:val="20"/>
          <w:szCs w:val="20"/>
        </w:rPr>
        <w:t xml:space="preserve">Two of the top three anomalies line up cleanly with the Nov/Dec holiday season — a predictable, plannable surge. The single largest anomaly, however (March 2015), has no obvious seasonal explanation, which is exactly the kind of signal that should be routed to a person for root-cause investigation rather than assumed away.</w:t>
      </w:r>
    </w:p>
    <w:p>
      <w:pPr>
        <w:pStyle w:val="Heading1"/>
        <w:spacing w:after="80" w:before="160"/>
      </w:pPr>
      <w:r>
        <w:rPr>
          <w:b/>
          <w:bCs/>
          <w:color w:val="1F3864"/>
          <w:sz w:val="26"/>
          <w:szCs w:val="26"/>
        </w:rPr>
        <w:t xml:space="preserve">Product Demand Segmentation &amp; Stocking Strategy</w:t>
      </w:r>
    </w:p>
    <w:p>
      <w:pPr>
        <w:spacing w:after="90" w:line="264"/>
      </w:pPr>
      <w:r>
        <w:rPr>
          <w:color w:val="222222"/>
          <w:sz w:val="20"/>
          <w:szCs w:val="20"/>
        </w:rPr>
        <w:t xml:space="preserve">All 17 product sub-categories were grouped into three demand-behavior segments based on sales volume, growth rate, and volatility: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c>
          <w:tcPr>
            <w:tcW w:type="dxa" w:w="2400"/>
            <w:shd w:fill="1F3864" w:val="clear"/>
            <w:tcMar>
              <w:top w:type="dxa" w:w="80"/>
              <w:left w:type="dxa" w:w="100"/>
              <w:bottom w:type="dxa" w:w="80"/>
              <w:right w:type="dxa" w:w="100"/>
            </w:tcMar>
          </w:tcPr>
          <w:p>
            <w:r>
              <w:rPr>
                <w:b/>
                <w:bCs/>
                <w:color w:val="FFFFFF"/>
                <w:sz w:val="19"/>
                <w:szCs w:val="19"/>
              </w:rPr>
              <w:t xml:space="preserve">Segment</w:t>
            </w:r>
          </w:p>
        </w:tc>
        <w:tc>
          <w:tcPr>
            <w:tcW w:type="dxa" w:w="3200"/>
            <w:shd w:fill="1F3864" w:val="clear"/>
            <w:tcMar>
              <w:top w:type="dxa" w:w="80"/>
              <w:left w:type="dxa" w:w="100"/>
              <w:bottom w:type="dxa" w:w="80"/>
              <w:right w:type="dxa" w:w="100"/>
            </w:tcMar>
          </w:tcPr>
          <w:p>
            <w:r>
              <w:rPr>
                <w:b/>
                <w:bCs/>
                <w:color w:val="FFFFFF"/>
                <w:sz w:val="19"/>
                <w:szCs w:val="19"/>
              </w:rPr>
              <w:t xml:space="preserve">Example Sub-Categories</w:t>
            </w:r>
          </w:p>
        </w:tc>
        <w:tc>
          <w:tcPr>
            <w:tcW w:type="dxa" w:w="3400"/>
            <w:shd w:fill="1F3864" w:val="clear"/>
            <w:tcMar>
              <w:top w:type="dxa" w:w="80"/>
              <w:left w:type="dxa" w:w="100"/>
              <w:bottom w:type="dxa" w:w="80"/>
              <w:right w:type="dxa" w:w="100"/>
            </w:tcMar>
          </w:tcPr>
          <w:p>
            <w:r>
              <w:rPr>
                <w:b/>
                <w:bCs/>
                <w:color w:val="FFFFFF"/>
                <w:sz w:val="19"/>
                <w:szCs w:val="19"/>
              </w:rPr>
              <w:t xml:space="preserve">Recommended Stocking Strategy</w:t>
            </w:r>
          </w:p>
        </w:tc>
      </w:tr>
      <w:tr>
        <w:tc>
          <w:tcPr>
            <w:tcW w:type="dxa" w:w="2400"/>
            <w:shd w:fill="FFFFFF" w:val="clear"/>
            <w:tcMar>
              <w:top w:type="dxa" w:w="70"/>
              <w:left w:type="dxa" w:w="100"/>
              <w:bottom w:type="dxa" w:w="70"/>
              <w:right w:type="dxa" w:w="100"/>
            </w:tcMar>
          </w:tcPr>
          <w:p>
            <w:r>
              <w:rPr>
                <w:color w:val="222222"/>
                <w:sz w:val="19"/>
                <w:szCs w:val="19"/>
              </w:rPr>
              <w:t xml:space="preserve">Growing Demand</w:t>
            </w:r>
          </w:p>
        </w:tc>
        <w:tc>
          <w:tcPr>
            <w:tcW w:type="dxa" w:w="3200"/>
            <w:shd w:fill="FFFFFF" w:val="clear"/>
            <w:tcMar>
              <w:top w:type="dxa" w:w="70"/>
              <w:left w:type="dxa" w:w="100"/>
              <w:bottom w:type="dxa" w:w="70"/>
              <w:right w:type="dxa" w:w="100"/>
            </w:tcMar>
          </w:tcPr>
          <w:p>
            <w:r>
              <w:rPr>
                <w:color w:val="222222"/>
                <w:sz w:val="19"/>
                <w:szCs w:val="19"/>
              </w:rPr>
              <w:t xml:space="preserve">Copiers</w:t>
            </w:r>
          </w:p>
        </w:tc>
        <w:tc>
          <w:tcPr>
            <w:tcW w:type="dxa" w:w="3400"/>
            <w:shd w:fill="FFFFFF" w:val="clear"/>
            <w:tcMar>
              <w:top w:type="dxa" w:w="70"/>
              <w:left w:type="dxa" w:w="100"/>
              <w:bottom w:type="dxa" w:w="70"/>
              <w:right w:type="dxa" w:w="100"/>
            </w:tcMar>
          </w:tcPr>
          <w:p>
            <w:r>
              <w:rPr>
                <w:color w:val="222222"/>
                <w:sz w:val="19"/>
                <w:szCs w:val="19"/>
              </w:rPr>
              <w:t xml:space="preserve">Increase safety stock ahead of season; secure supplier capacity early; monitor weekly.</w:t>
            </w:r>
          </w:p>
        </w:tc>
      </w:tr>
      <w:tr>
        <w:tc>
          <w:tcPr>
            <w:tcW w:type="dxa" w:w="2400"/>
            <w:shd w:fill="DCE6F1" w:val="clear"/>
            <w:tcMar>
              <w:top w:type="dxa" w:w="70"/>
              <w:left w:type="dxa" w:w="100"/>
              <w:bottom w:type="dxa" w:w="70"/>
              <w:right w:type="dxa" w:w="100"/>
            </w:tcMar>
          </w:tcPr>
          <w:p>
            <w:r>
              <w:rPr>
                <w:color w:val="222222"/>
                <w:sz w:val="19"/>
                <w:szCs w:val="19"/>
              </w:rPr>
              <w:t xml:space="preserve">High Volume, Stable Demand</w:t>
            </w:r>
          </w:p>
        </w:tc>
        <w:tc>
          <w:tcPr>
            <w:tcW w:type="dxa" w:w="3200"/>
            <w:shd w:fill="DCE6F1" w:val="clear"/>
            <w:tcMar>
              <w:top w:type="dxa" w:w="70"/>
              <w:left w:type="dxa" w:w="100"/>
              <w:bottom w:type="dxa" w:w="70"/>
              <w:right w:type="dxa" w:w="100"/>
            </w:tcMar>
          </w:tcPr>
          <w:p>
            <w:r>
              <w:rPr>
                <w:color w:val="222222"/>
                <w:sz w:val="19"/>
                <w:szCs w:val="19"/>
              </w:rPr>
              <w:t xml:space="preserve">Chairs, Phones, Tables, Storage, Binders, Machines</w:t>
            </w:r>
          </w:p>
        </w:tc>
        <w:tc>
          <w:tcPr>
            <w:tcW w:type="dxa" w:w="3400"/>
            <w:shd w:fill="DCE6F1" w:val="clear"/>
            <w:tcMar>
              <w:top w:type="dxa" w:w="70"/>
              <w:left w:type="dxa" w:w="100"/>
              <w:bottom w:type="dxa" w:w="70"/>
              <w:right w:type="dxa" w:w="100"/>
            </w:tcMar>
          </w:tcPr>
          <w:p>
            <w:r>
              <w:rPr>
                <w:color w:val="222222"/>
                <w:sz w:val="19"/>
                <w:szCs w:val="19"/>
              </w:rPr>
              <w:t xml:space="preserve">Maintain steady safety stock; simple reorder-point replenishment; low forecasting risk.</w:t>
            </w:r>
          </w:p>
        </w:tc>
      </w:tr>
      <w:tr>
        <w:tc>
          <w:tcPr>
            <w:tcW w:type="dxa" w:w="2400"/>
            <w:shd w:fill="FFFFFF" w:val="clear"/>
            <w:tcMar>
              <w:top w:type="dxa" w:w="70"/>
              <w:left w:type="dxa" w:w="100"/>
              <w:bottom w:type="dxa" w:w="70"/>
              <w:right w:type="dxa" w:w="100"/>
            </w:tcMar>
          </w:tcPr>
          <w:p>
            <w:r>
              <w:rPr>
                <w:color w:val="222222"/>
                <w:sz w:val="19"/>
                <w:szCs w:val="19"/>
              </w:rPr>
              <w:t xml:space="preserve">Low Volume, High Volatility</w:t>
            </w:r>
          </w:p>
        </w:tc>
        <w:tc>
          <w:tcPr>
            <w:tcW w:type="dxa" w:w="3200"/>
            <w:shd w:fill="FFFFFF" w:val="clear"/>
            <w:tcMar>
              <w:top w:type="dxa" w:w="70"/>
              <w:left w:type="dxa" w:w="100"/>
              <w:bottom w:type="dxa" w:w="70"/>
              <w:right w:type="dxa" w:w="100"/>
            </w:tcMar>
          </w:tcPr>
          <w:p>
            <w:r>
              <w:rPr>
                <w:color w:val="222222"/>
                <w:sz w:val="19"/>
                <w:szCs w:val="19"/>
              </w:rPr>
              <w:t xml:space="preserve">Art, Labels, Fasteners, Envelopes, and most other sub-categories</w:t>
            </w:r>
          </w:p>
        </w:tc>
        <w:tc>
          <w:tcPr>
            <w:tcW w:type="dxa" w:w="3400"/>
            <w:shd w:fill="FFFFFF" w:val="clear"/>
            <w:tcMar>
              <w:top w:type="dxa" w:w="70"/>
              <w:left w:type="dxa" w:w="100"/>
              <w:bottom w:type="dxa" w:w="70"/>
              <w:right w:type="dxa" w:w="100"/>
            </w:tcMar>
          </w:tcPr>
          <w:p>
            <w:r>
              <w:rPr>
                <w:color w:val="222222"/>
                <w:sz w:val="19"/>
                <w:szCs w:val="19"/>
              </w:rPr>
              <w:t xml:space="preserve">Keep lean stock; use faster replenishment; avoid large bulk orders that risk write-offs.</w:t>
            </w:r>
          </w:p>
        </w:tc>
      </w:tr>
    </w:tbl>
    <w:p>
      <w:pPr>
        <w:spacing w:after="120"/>
      </w:pPr>
    </w:p>
    <w:p>
      <w:pPr>
        <w:spacing w:after="90" w:line="264"/>
      </w:pPr>
      <w:r>
        <w:rPr>
          <w:color w:val="222222"/>
          <w:sz w:val="20"/>
          <w:szCs w:val="20"/>
        </w:rPr>
        <w:t xml:space="preserve">Copiers stand out with unusually strong growth and deserve proactive inventory investment ahead of demand. The high-volume, stable group (Chairs, Phones, Tables, Storage, Binders, Machines) is the backbone of predictable revenue and suits standard reorder-point policy. The remaining, more volatile sub-categories are better served by leaner, faster-cycle replenishment than large advance orders.</w:t>
      </w:r>
    </w:p>
    <w:p>
      <w:pPr>
        <w:pStyle w:val="Heading1"/>
        <w:spacing w:after="80" w:before="160"/>
      </w:pPr>
      <w:r>
        <w:rPr>
          <w:b/>
          <w:bCs/>
          <w:color w:val="1F3864"/>
          <w:sz w:val="26"/>
          <w:szCs w:val="26"/>
        </w:rPr>
        <w:t xml:space="preserve">Business Recommendations</w:t>
      </w:r>
    </w:p>
    <w:p>
      <w:pPr>
        <w:pStyle w:val="ListParagraph"/>
        <w:numPr>
          <w:ilvl w:val="0"/>
          <w:numId w:val="1"/>
        </w:numPr>
        <w:spacing w:after="60"/>
      </w:pPr>
      <w:r>
        <w:rPr>
          <w:color w:val="222222"/>
          <w:sz w:val="20"/>
          <w:szCs w:val="20"/>
        </w:rPr>
        <w:t xml:space="preserve">1. Size Q4 inventory and staffing to the seasonal peak, not the annual average. November, September, and December are consistently the strongest months every year — under-provisioning for this predictable surge is the clearest stockout risk in the data.</w:t>
      </w:r>
    </w:p>
    <w:p>
      <w:pPr>
        <w:pStyle w:val="ListParagraph"/>
        <w:numPr>
          <w:ilvl w:val="0"/>
          <w:numId w:val="1"/>
        </w:numPr>
        <w:spacing w:after="60"/>
      </w:pPr>
      <w:r>
        <w:rPr>
          <w:color w:val="222222"/>
          <w:sz w:val="20"/>
          <w:szCs w:val="20"/>
        </w:rPr>
        <w:t xml:space="preserve">2. Prioritize the East region for growth investment. East has both a strong average growth rate and by far the most consistent multi-year track record of any region, making it the lowest-risk region to expand marketing spend, sales headcount, or local stocking capacity.</w:t>
      </w:r>
    </w:p>
    <w:p>
      <w:pPr>
        <w:pStyle w:val="ListParagraph"/>
        <w:numPr>
          <w:ilvl w:val="0"/>
          <w:numId w:val="1"/>
        </w:numPr>
        <w:spacing w:after="60"/>
      </w:pPr>
      <w:r>
        <w:rPr>
          <w:color w:val="222222"/>
          <w:sz w:val="20"/>
          <w:szCs w:val="20"/>
        </w:rPr>
        <w:t xml:space="preserve">3. Switch the production forecasting model to the gradient-boosting approach and re-validate quarterly. It roughly halved forecast error versus the statistical alternatives on real held-out data — but model rankings can shift as more data accumulates, so this comparison should be re-run every quarter, not set once and forgotten.</w:t>
      </w:r>
    </w:p>
    <w:p>
      <w:pPr>
        <w:pStyle w:val="Heading1"/>
        <w:spacing w:after="80" w:before="160"/>
      </w:pPr>
      <w:r>
        <w:rPr>
          <w:b/>
          <w:bCs/>
          <w:color w:val="1F3864"/>
          <w:sz w:val="26"/>
          <w:szCs w:val="26"/>
        </w:rPr>
        <w:t xml:space="preserve">Risk &amp; Limitation of This System</w:t>
      </w:r>
    </w:p>
    <w:p>
      <w:pPr>
        <w:spacing w:after="90" w:line="264"/>
      </w:pPr>
      <w:r>
        <w:rPr>
          <w:color w:val="222222"/>
          <w:sz w:val="20"/>
          <w:szCs w:val="20"/>
        </w:rPr>
        <w:t xml:space="preserve">This forecasting system is built entirely on historical order patterns and will not automatically anticipate one-off shocks — a new competitor, a supply-chain disruption, a major promotion, or a macroeconomic shift can all cause actual sales to diverge sharply from the forecast without warning. Segment-level forecasts (by category or region) are based on notably less data than the company-wide number and can swing more than expected from a single unusual month — treat those as directional signals to investigate, not firm commitments. We recommend re-validating the model against actual results every month and layering in external signals (marketing calendar, pricing changes, competitor activity) as that data becomes available.</w:t>
      </w:r>
    </w:p>
    <w:p>
      <w:pPr>
        <w:spacing w:before="200"/>
      </w:pPr>
    </w:p>
    <w:p>
      <w:pPr>
        <w:pBdr>
          <w:top w:val="single" w:color="BFBFBF" w:sz="6"/>
        </w:pBdr>
        <w:spacing w:before="120"/>
      </w:pPr>
      <w:r>
        <w:rPr>
          <w:i/>
          <w:iCs/>
          <w:color w:val="595959"/>
          <w:sz w:val="16"/>
          <w:szCs w:val="16"/>
        </w:rPr>
        <w:t xml:space="preserve">Prepared as part of the End-to-End Sales Forecasting &amp; Demand Intelligence internship project. Full technical detail, code, and interactive dashboard available in the accompanying analysis.ipynb and Streamlit application.</w:t>
      </w:r>
    </w:p>
    <w:sectPr>
      <w:pgSz w:w="12240" w:h="15840"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2026-07-08T11:28:23.208Z</dcterms:created>
  <dcterms:modified xsi:type="dcterms:W3CDTF">2026-07-08T11:28:23.219Z</dcterms:modified>
</cp:coreProperties>
</file>

<file path=docProps/custom.xml><?xml version="1.0" encoding="utf-8"?>
<Properties xmlns="http://schemas.openxmlformats.org/officeDocument/2006/custom-properties" xmlns:vt="http://schemas.openxmlformats.org/officeDocument/2006/docPropsVTypes"/>
</file>