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5C67" w14:textId="77777777" w:rsidR="00B67911" w:rsidRPr="001B5183" w:rsidRDefault="00000000">
      <w:pPr>
        <w:spacing w:before="480" w:after="1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6"/>
          <w:szCs w:val="26"/>
        </w:rPr>
        <w:t>QM 640 – Data Analytics Capstone</w:t>
      </w:r>
    </w:p>
    <w:p w14:paraId="4B88BA5A" w14:textId="77777777" w:rsidR="00B67911" w:rsidRPr="001B5183" w:rsidRDefault="00000000">
      <w:pPr>
        <w:spacing w:after="10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34"/>
          <w:szCs w:val="34"/>
        </w:rPr>
        <w:t>Research Project Planning – Step 1</w:t>
      </w:r>
    </w:p>
    <w:p w14:paraId="5761EDDA" w14:textId="77777777" w:rsidR="00B67911" w:rsidRPr="001B5183" w:rsidRDefault="00000000">
      <w:pPr>
        <w:spacing w:after="8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  <w:sz w:val="28"/>
          <w:szCs w:val="28"/>
        </w:rPr>
        <w:t>Define the Research Problem and Topic</w:t>
      </w:r>
    </w:p>
    <w:p w14:paraId="62EEB842" w14:textId="6C235B5F" w:rsidR="00B67911" w:rsidRPr="001B5183" w:rsidRDefault="001B5183">
      <w:pPr>
        <w:spacing w:after="60"/>
        <w:jc w:val="center"/>
        <w:rPr>
          <w:color w:val="153D63" w:themeColor="text2" w:themeTint="E6"/>
        </w:rPr>
      </w:pPr>
      <w:r>
        <w:rPr>
          <w:b/>
          <w:bCs/>
          <w:i/>
          <w:iCs/>
          <w:color w:val="153D63" w:themeColor="text2" w:themeTint="E6"/>
          <w:sz w:val="26"/>
          <w:szCs w:val="26"/>
        </w:rPr>
        <w:t>Med Sum-AI: Intelligent Clinical Report Summarization</w:t>
      </w:r>
    </w:p>
    <w:p w14:paraId="7B1FA3AD" w14:textId="77777777" w:rsidR="00B67911" w:rsidRPr="001B5183" w:rsidRDefault="00000000">
      <w:pPr>
        <w:spacing w:after="60"/>
        <w:jc w:val="center"/>
        <w:rPr>
          <w:color w:val="153D63" w:themeColor="text2" w:themeTint="E6"/>
        </w:rPr>
      </w:pPr>
      <w:r>
        <w:rPr>
          <w:b/>
          <w:bCs/>
          <w:i/>
          <w:iCs/>
          <w:color w:val="153D63" w:themeColor="text2" w:themeTint="E6"/>
          <w:sz w:val="22"/>
          <w:szCs w:val="22"/>
        </w:rPr>
        <w:t>and Predictive Outcome Analytics Using Transformer-Based NLP &amp; Advanced Statistical Models</w:t>
      </w:r>
    </w:p>
    <w:p w14:paraId="07D70CAD" w14:textId="528380BD" w:rsidR="00B67911" w:rsidRPr="001B5183" w:rsidRDefault="001B5183">
      <w:pPr>
        <w:spacing w:before="200" w:after="60"/>
        <w:jc w:val="center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 xml:space="preserve">Asmaa Hamed Ewes Mohamed </w:t>
      </w:r>
    </w:p>
    <w:p w14:paraId="600E00D1" w14:textId="4FB850C2" w:rsidR="00B67911" w:rsidRPr="001B5183" w:rsidRDefault="00000000">
      <w:pPr>
        <w:spacing w:after="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2"/>
          <w:szCs w:val="22"/>
        </w:rPr>
        <w:t>Walsh College  |  QM640 V1: Data Analytics Capstone  |  Spring 2026 Term</w:t>
      </w:r>
    </w:p>
    <w:p w14:paraId="14424611" w14:textId="69A5C43E" w:rsidR="00B67911" w:rsidRPr="001B5183" w:rsidRDefault="001B5183" w:rsidP="001B5183">
      <w:pPr>
        <w:spacing w:after="60"/>
        <w:jc w:val="center"/>
        <w:rPr>
          <w:color w:val="153D63" w:themeColor="text2" w:themeTint="E6"/>
        </w:rPr>
      </w:pPr>
      <w:r>
        <w:rPr>
          <w:color w:val="153D63" w:themeColor="text2" w:themeTint="E6"/>
          <w:sz w:val="22"/>
          <w:szCs w:val="22"/>
        </w:rPr>
        <w:t>Dr Javad</w:t>
      </w:r>
    </w:p>
    <w:p w14:paraId="4D86C27B" w14:textId="77777777" w:rsidR="00B67911" w:rsidRDefault="00000000">
      <w:r>
        <w:br w:type="page"/>
      </w:r>
    </w:p>
    <w:p w14:paraId="45DFCD63" w14:textId="77777777" w:rsidR="00B67911" w:rsidRDefault="00000000">
      <w:pPr>
        <w:pStyle w:val="Heading1"/>
        <w:pBdr>
          <w:bottom w:val="thick" w:sz="8" w:space="4" w:color="0D9488"/>
        </w:pBdr>
      </w:pPr>
      <w:r>
        <w:lastRenderedPageBreak/>
        <w:t>1.1  Identify the Domain of Study</w:t>
      </w:r>
    </w:p>
    <w:p w14:paraId="35D72D9A" w14:textId="77777777" w:rsidR="00B67911" w:rsidRDefault="00000000">
      <w:pPr>
        <w:spacing w:before="80" w:after="80"/>
        <w:jc w:val="both"/>
      </w:pPr>
      <w:r>
        <w:t>Selected Field: Healthcare — Natural Language Processing (NLP) and Predictive Analytics Applied to Clinical Documentation</w:t>
      </w:r>
    </w:p>
    <w:p w14:paraId="7E30259D" w14:textId="5B61E56F" w:rsidR="00B67911" w:rsidRDefault="00F05AF3">
      <w:pPr>
        <w:spacing w:before="80" w:after="80"/>
        <w:jc w:val="both"/>
      </w:pPr>
      <w:r>
        <w:t>Med Sum-AI operates at the intersection of two high-impact domains: clinical NLP and outcome prediction. Healthcare is the most data-intensive industry globally, generating over 3.5 billion clinical notes every year. Physicians, nurses, and clinical staff spend an estimated 35–55% of their working time on documentation rather than direct patient care. This burden is a leading driver of clinician burnout, handover errors, and suboptimal patient outcomes.</w:t>
      </w:r>
    </w:p>
    <w:p w14:paraId="1F5D587F" w14:textId="6037D9FD" w:rsidR="00B67911" w:rsidRDefault="00000000">
      <w:pPr>
        <w:spacing w:before="80" w:after="80"/>
        <w:jc w:val="both"/>
      </w:pPr>
      <w:r>
        <w:t>Simultaneously, vast quantities of unstructured text locked inside discharge summaries, radiology reports, and physician notes contain prognostic signals that conventional structured EHR models never exploit. Med Sum-AI addresses both problems in a single unified pipeline: automatically generating concise, clinically accurate summaries via transformer-based NLP models (BERT, Bio BERT, Clinical BERT, BART), then extracting structured features from those summaries to feed advanced statistical models that predict 30-day readmission, in-hospital length of stay (LOS), and in-hospital mortality.</w:t>
      </w:r>
    </w:p>
    <w:p w14:paraId="5B18BDBA" w14:textId="77777777" w:rsidR="00B67911" w:rsidRPr="00972D20" w:rsidRDefault="00B67911">
      <w:pPr>
        <w:spacing w:before="80" w:after="80"/>
        <w:rPr>
          <w:color w:val="153D63" w:themeColor="text2" w:themeTint="E6"/>
        </w:rPr>
      </w:pPr>
    </w:p>
    <w:p w14:paraId="53195362" w14:textId="37F8FD1D" w:rsidR="00B67911" w:rsidRPr="00842C44" w:rsidRDefault="00000000" w:rsidP="00842C44">
      <w:pPr>
        <w:pBdr>
          <w:left w:val="thick" w:sz="16" w:space="12" w:color="0D9488"/>
        </w:pBdr>
        <w:spacing w:before="120" w:after="120"/>
        <w:ind w:left="440"/>
        <w:jc w:val="both"/>
        <w:rPr>
          <w:color w:val="153D63" w:themeColor="text2" w:themeTint="E6"/>
        </w:rPr>
      </w:pPr>
      <w:r>
        <w:rPr>
          <w:i/>
          <w:iCs/>
          <w:color w:val="153D63" w:themeColor="text2" w:themeTint="E6"/>
          <w:sz w:val="23"/>
          <w:szCs w:val="23"/>
        </w:rPr>
        <w:t>Innovation Statement: Med Sum-AI is the first unified platform combining transformer summarization, RAG-based hallucination mitigation, and downstream outcome prediction — all validated with clinical expert assessment and SHAP/LIME explainability. No existing published study covers all these components simultaneously.</w:t>
      </w:r>
    </w:p>
    <w:p w14:paraId="0DA0B10B" w14:textId="77777777" w:rsidR="00B67911" w:rsidRPr="00972D20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Why This Domain Matters — Key Drivers</w:t>
      </w:r>
    </w:p>
    <w:p w14:paraId="68B4AFB0" w14:textId="3194EC9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Documentation overload: Clinicians spend 35–55% of working hours on paperwork; Med Sum-AI targets a 1–2 hour/shift reduction per clinician.</w:t>
      </w:r>
    </w:p>
    <w:p w14:paraId="76C4D1B8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Information loss at handover: Studies report 70% of adverse events originate from miscommunication during patient handovers. Automated summaries provide consistent, complete briefs.</w:t>
      </w:r>
    </w:p>
    <w:p w14:paraId="77AE776D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Predictive opportunity: NLP-extracted features from unstructured notes improve readmission prediction AUC by 5–12% over structured-data-only models (Adams et al., 2021).</w:t>
      </w:r>
    </w:p>
    <w:p w14:paraId="7B288CE7" w14:textId="2D113634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UAE / Gulf relevance: The UAE National AI Strategy 2031 and Dubai Health Authority Digital Health Strategy priorities AI adoption in healthcare — making this project locally and nationally relevant.</w:t>
      </w:r>
    </w:p>
    <w:p w14:paraId="5DB260F1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Open science: All three datasets used (CASIA-CXR, i2b2, Indiana University Chest X-Ray Reports) are publicly available, ensuring full reproducibility.</w:t>
      </w:r>
    </w:p>
    <w:p w14:paraId="CASIAB01" w14:textId="77777777" w:rsidR="00B67911" w:rsidRDefault="00000000">
      <w:pPr>
        <w:pStyle w:val="Heading2"/>
      </w:pPr>
      <w:r>
        <w:rPr>
          <w:color w:val="153D63" w:themeColor="text2" w:themeTint="E6"/>
        </w:rPr>
        <w:t>Why CASIA-CXR Replaces MIMIC-III as the Primary Dataset</w:t>
      </w:r>
    </w:p>
    <w:p w14:paraId="CASIAB02" w14:textId="77777777" w:rsidR="00B67911" w:rsidRDefault="00000000">
      <w:pPr>
        <w:spacing w:before="80" w:after="80"/>
        <w:jc w:val="both"/>
      </w:pPr>
      <w:r>
        <w:t>MIMIC-III is no longer accessible for this project due to access restrictions. The CASIA-CXR (Chinese Academy of Sciences Institute of Automation Chest X-Ray) dataset is selected as the primary replacement. It offers several key advantages that make it particularly well-suited for Med Sum-AI:</w:t>
      </w:r>
    </w:p>
    <w:p w14:paraId="CASIAB03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Open and freely accessible: CASIA-CXR requires no special credentialing, PhysioNet registration, or CITI training. Any researcher can download it directly from www.casia-cxr.net, removing the access barriers that make MIMIC-III unavailable for this project.</w:t>
      </w:r>
    </w:p>
    <w:p w14:paraId="CASIAB04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Radiology-domain clinical focus: CASIA-CXR contains expert-annotated chest X-ray reports covering five major pathologies: Cardiomegaly, Pneumonia, Pneumothorax, Pleural Effusion, and Mass. This makes it ideal for fine-tuning clinical NLP summarization models on realistic radiology language.</w:t>
      </w:r>
    </w:p>
    <w:p w14:paraId="CASIAB05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Multimodal richness: Each CASIA-CXR case includes chest X-ray images, structured radiology reports (Findings and Impressions), and classification labels per pathology category. This multimodal structure supports both NLP summarization (RQ1-RQ3) and image-assisted outcome prediction research (RQ4).</w:t>
      </w:r>
    </w:p>
    <w:p w14:paraId="CASIAB06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Benchmark-ready evaluation: CASIA-CXR was designed specifically to benchmark automatic radiology report generation, meaning ROUGE, BERTScore, and clinical quality metrics are directly comparable to established international standards without adaptation.</w:t>
      </w:r>
    </w:p>
    <w:p w14:paraId="CASIAB07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Pre-labelled pathology targets: Unlike MIMIC-III where outcome labels require complex ICD code derivation, CASIA-CXR provides ready-to-use pathology label CSV files per category (e.g., CASIA-CXR_Pneumonia_Labels.csv), directly usable as prediction targets and streamlining RQ4 feature engineering.</w:t>
      </w:r>
    </w:p>
    <w:p w14:paraId="CASIAB08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Ethically compliant and de-identified: CASIA-CXR is fully de-identified and approved for research use, satisfying the same HIPAA-equivalent privacy requirements as MIMIC-III without any institutional overhead, making it immediately usable for this capstone project.</w:t>
      </w:r>
    </w:p>
    <w:p w14:paraId="1F3DF477" w14:textId="77777777" w:rsidR="00B67911" w:rsidRDefault="00000000">
      <w:pPr>
        <w:pStyle w:val="Heading1"/>
        <w:pBdr>
          <w:bottom w:val="thick" w:sz="8" w:space="4" w:color="0D9488"/>
        </w:pBdr>
      </w:pPr>
      <w:r>
        <w:t>1.2  Understand the Specific Problem</w:t>
      </w:r>
    </w:p>
    <w:p w14:paraId="26D836D3" w14:textId="77777777" w:rsidR="00B67911" w:rsidRDefault="00000000">
      <w:pPr>
        <w:pStyle w:val="Heading2"/>
      </w:pPr>
      <w:r>
        <w:rPr>
          <w:color w:val="153D63" w:themeColor="text2" w:themeTint="E6"/>
        </w:rPr>
        <w:t>Core Problem Statement</w:t>
      </w:r>
    </w:p>
    <w:p w14:paraId="79BE1F39" w14:textId="6AFC6369" w:rsidR="00B67911" w:rsidRDefault="00000000" w:rsidP="00215575">
      <w:pPr>
        <w:spacing w:before="80" w:after="80"/>
        <w:jc w:val="both"/>
      </w:pPr>
      <w:r>
        <w:t xml:space="preserve">Clinical reports are verbose, structurally inconsistent, and written in domain-specific medical language that general-purpose NLP models fail to process accurately. Manual summarization is time-consuming, prone to critical omissions, and inconsistent across clinicians. Existing automated tools </w:t>
        <w:lastRenderedPageBreak/>
        <w:t>either rely on outdated rule-based approaches or produce summaries with unacceptably high rates of clinically dangerous hallucinations. Furthermore, the prognostic richness of unstructured clinical text is almost entirely untapped by current outcome prediction systems.</w:t>
      </w:r>
    </w:p>
    <w:p w14:paraId="0DC0CE83" w14:textId="77777777" w:rsidR="00B67911" w:rsidRPr="00215575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Problem Decomposition</w:t>
      </w:r>
    </w:p>
    <w:p w14:paraId="38BF345C" w14:textId="77777777" w:rsidR="00B67911" w:rsidRPr="00215575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Problem Layer 1 — Summarization Quality</w:t>
      </w:r>
    </w:p>
    <w:p w14:paraId="1A486CD0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Discharge summaries average 1,500–3,000 words; clinicians need key findings in under 200 words for rapid decision-making.</w:t>
      </w:r>
    </w:p>
    <w:p w14:paraId="678334A9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Current extractive models (sentence selection) preserve factual accuracy but lose coherence and omit implicit clinical relationships.</w:t>
      </w:r>
    </w:p>
    <w:p w14:paraId="2F883414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Current abstractive models (BART, GPT) generate fluent text but hallucinate clinical facts — a patient safety risk — at rates of 10–18% in published evaluations.</w:t>
      </w:r>
    </w:p>
    <w:p w14:paraId="1742A056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No model has been fine-tuned and evaluated across multiple clinical specialties (ICU discharge, radiology, pathology) on the same benchmark.</w:t>
      </w:r>
    </w:p>
    <w:p w14:paraId="720DB824" w14:textId="77777777" w:rsidR="00B67911" w:rsidRPr="00215575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Problem Layer 2 — Outcome Prediction</w:t>
      </w:r>
    </w:p>
    <w:p w14:paraId="135E2010" w14:textId="62574BD1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30-day readmission affects 15–20% of hospitalized patients and costs the US healthcare system over $26 billion annually.</w:t>
      </w:r>
    </w:p>
    <w:p w14:paraId="1D00B758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Current prediction models use only structured EHR fields (age, ICD codes, vitals), ignoring the rich prognostic narrative in clinical notes.</w:t>
      </w:r>
    </w:p>
    <w:p w14:paraId="3F8660EB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No validated pipeline currently extracts structured features from NLP-generated summaries and feeds them into survival models (Cox PHM) for time-to-readmission analysis.</w:t>
      </w:r>
    </w:p>
    <w:p w14:paraId="2140E8D2" w14:textId="77777777" w:rsidR="00B67911" w:rsidRPr="00215575" w:rsidRDefault="00000000">
      <w:pPr>
        <w:spacing w:before="180" w:after="70"/>
        <w:rPr>
          <w:color w:val="153D63" w:themeColor="text2" w:themeTint="E6"/>
        </w:rPr>
      </w:pPr>
      <w:r>
        <w:rPr>
          <w:b/>
          <w:bCs/>
          <w:color w:val="153D63" w:themeColor="text2" w:themeTint="E6"/>
        </w:rPr>
        <w:t>Problem Layer 3 — Explainability and Trust</w:t>
      </w:r>
    </w:p>
    <w:p w14:paraId="523084C6" w14:textId="77777777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Clinicians distrust AI 'black boxes' — a major adoption barrier. 62% of physicians report they would not act on AI recommendations without explanations (AMA Survey, 2022).</w:t>
      </w:r>
    </w:p>
    <w:p w14:paraId="1F030AF3" w14:textId="273B9328" w:rsidR="00B67911" w:rsidRDefault="00000000" w:rsidP="00215575">
      <w:pPr>
        <w:pStyle w:val="ListParagraph"/>
        <w:numPr>
          <w:ilvl w:val="0"/>
          <w:numId w:val="2"/>
        </w:numPr>
        <w:spacing w:before="50" w:after="50"/>
      </w:pPr>
      <w:r>
        <w:t>SHAP token attribution for NLP summarization and LIME feature importance for outcome prediction have never been combined in a single clinical AI tool.</w:t>
      </w:r>
    </w:p>
    <w:p w14:paraId="5395A679" w14:textId="1052582F" w:rsidR="00B67911" w:rsidRDefault="00000000" w:rsidP="00215575">
      <w:pPr>
        <w:pStyle w:val="Heading2"/>
      </w:pPr>
      <w:r>
        <w:rPr>
          <w:color w:val="153D63" w:themeColor="text2" w:themeTint="E6"/>
        </w:rPr>
        <w:t>Stakeholder Analysis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9"/>
        <w:gridCol w:w="3960"/>
      </w:tblGrid>
      <w:tr w:rsidR="00B67911" w14:paraId="15B4B6CD" w14:textId="77777777" w:rsidTr="00113C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206539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400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D7F974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Core Pain Point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897E07" w14:textId="49BD10A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How Med Sum-AI Addresses It</w:t>
            </w:r>
          </w:p>
        </w:tc>
      </w:tr>
      <w:tr w:rsidR="00B67911" w14:paraId="10C56900" w14:textId="77777777" w:rsidTr="00113C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58B4C" w14:textId="77777777" w:rsidR="00B67911" w:rsidRDefault="00000000">
            <w:r>
              <w:rPr>
                <w:sz w:val="20"/>
                <w:szCs w:val="20"/>
              </w:rPr>
              <w:t>Attending Physicians &amp; Residents</w:t>
            </w:r>
          </w:p>
        </w:tc>
        <w:tc>
          <w:tcPr>
            <w:tcW w:w="40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DBE9F" w14:textId="3E1C9E94" w:rsidR="00B67911" w:rsidRDefault="00000000">
            <w:r>
              <w:rPr>
                <w:sz w:val="20"/>
                <w:szCs w:val="20"/>
              </w:rPr>
              <w:t>Spend 2–3 hrs./day reading and writing notes; miss critical details at handover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6B5B2" w14:textId="77777777" w:rsidR="00B67911" w:rsidRDefault="00000000">
            <w:r>
              <w:rPr>
                <w:sz w:val="20"/>
                <w:szCs w:val="20"/>
              </w:rPr>
              <w:t>Instant 150-word summary + readmission risk flag with SHAP explanation</w:t>
            </w:r>
          </w:p>
        </w:tc>
      </w:tr>
      <w:tr w:rsidR="00B67911" w14:paraId="0CA0B254" w14:textId="77777777" w:rsidTr="00113C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9D7BB" w14:textId="77777777" w:rsidR="00B67911" w:rsidRDefault="00000000">
            <w:r>
              <w:rPr>
                <w:sz w:val="20"/>
                <w:szCs w:val="20"/>
              </w:rPr>
              <w:t>ICU &amp; Emergency Teams</w:t>
            </w:r>
          </w:p>
        </w:tc>
        <w:tc>
          <w:tcPr>
            <w:tcW w:w="40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5D34A" w14:textId="263CD1F9" w:rsidR="00B67911" w:rsidRDefault="00000000">
            <w:r>
              <w:rPr>
                <w:sz w:val="20"/>
                <w:szCs w:val="20"/>
              </w:rPr>
              <w:t>High-acuity patients; seconds matter; information overloaded with multi-physician notes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773C3" w14:textId="27857063" w:rsidR="00B67911" w:rsidRDefault="00215575">
            <w:r>
              <w:rPr>
                <w:sz w:val="20"/>
                <w:szCs w:val="20"/>
              </w:rPr>
              <w:t>Prioritized, section-structured summaries with mortality probability score</w:t>
            </w:r>
          </w:p>
        </w:tc>
      </w:tr>
      <w:tr w:rsidR="00B67911" w14:paraId="2A792530" w14:textId="77777777" w:rsidTr="00113C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5E5D1" w14:textId="77777777" w:rsidR="00B67911" w:rsidRDefault="00000000">
            <w:r>
              <w:rPr>
                <w:sz w:val="20"/>
                <w:szCs w:val="20"/>
              </w:rPr>
              <w:t>Hospital Administrators</w:t>
            </w:r>
          </w:p>
        </w:tc>
        <w:tc>
          <w:tcPr>
            <w:tcW w:w="40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E296C" w14:textId="77777777" w:rsidR="00B67911" w:rsidRDefault="00000000">
            <w:r>
              <w:rPr>
                <w:sz w:val="20"/>
                <w:szCs w:val="20"/>
              </w:rPr>
              <w:t>Preventable readmissions incur financial penalties; audit trail gaps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7DD7E" w14:textId="77777777" w:rsidR="00B67911" w:rsidRDefault="00000000">
            <w:r>
              <w:rPr>
                <w:sz w:val="20"/>
                <w:szCs w:val="20"/>
              </w:rPr>
              <w:t>Structured summaries for compliance; readmission prediction for proactive intervention</w:t>
            </w:r>
          </w:p>
        </w:tc>
      </w:tr>
      <w:tr w:rsidR="00B67911" w14:paraId="3DE161CC" w14:textId="77777777" w:rsidTr="00113C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47C95" w14:textId="77777777" w:rsidR="00B67911" w:rsidRDefault="00000000">
            <w:r>
              <w:rPr>
                <w:sz w:val="20"/>
                <w:szCs w:val="20"/>
              </w:rPr>
              <w:t>Clinical Researchers</w:t>
            </w:r>
          </w:p>
        </w:tc>
        <w:tc>
          <w:tcPr>
            <w:tcW w:w="40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C00F2" w14:textId="77777777" w:rsidR="00B67911" w:rsidRDefault="00000000">
            <w:r>
              <w:rPr>
                <w:sz w:val="20"/>
                <w:szCs w:val="20"/>
              </w:rPr>
              <w:t>Retrospective cohort studies require laborious manual chart review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332E" w14:textId="77777777" w:rsidR="00B67911" w:rsidRDefault="00000000">
            <w:r>
              <w:rPr>
                <w:sz w:val="20"/>
                <w:szCs w:val="20"/>
              </w:rPr>
              <w:t>Automated case extraction and summary generation from CASIA-CXR pipeline</w:t>
            </w:r>
          </w:p>
        </w:tc>
      </w:tr>
      <w:tr w:rsidR="00B67911" w14:paraId="3B36FBEC" w14:textId="77777777" w:rsidTr="00113CD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1B324" w14:textId="77777777" w:rsidR="00B67911" w:rsidRDefault="00000000">
            <w:r>
              <w:rPr>
                <w:sz w:val="20"/>
                <w:szCs w:val="20"/>
              </w:rPr>
              <w:t>HIS / EHR Integration Teams</w:t>
            </w:r>
          </w:p>
        </w:tc>
        <w:tc>
          <w:tcPr>
            <w:tcW w:w="40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325C" w14:textId="77777777" w:rsidR="00B67911" w:rsidRDefault="00000000">
            <w:r>
              <w:rPr>
                <w:sz w:val="20"/>
                <w:szCs w:val="20"/>
              </w:rPr>
              <w:t>Need modular, FHIR-compatible AI components for Epic/Cerner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2DBCC" w14:textId="57E0A8E2" w:rsidR="00B67911" w:rsidRDefault="00000000">
            <w:r>
              <w:rPr>
                <w:sz w:val="20"/>
                <w:szCs w:val="20"/>
              </w:rPr>
              <w:t>Open-source Docker containerized API; MIT license; GitHub repository</w:t>
            </w:r>
          </w:p>
        </w:tc>
      </w:tr>
    </w:tbl>
    <w:p w14:paraId="476B6C45" w14:textId="2B5DC995" w:rsidR="00B67911" w:rsidRDefault="00000000">
      <w:pPr>
        <w:pStyle w:val="Heading1"/>
        <w:pBdr>
          <w:bottom w:val="thick" w:sz="8" w:space="4" w:color="0D9488"/>
        </w:pBdr>
      </w:pPr>
      <w:r>
        <w:lastRenderedPageBreak/>
        <w:t>1.3  Analyze Current Trends and Gaps</w:t>
      </w:r>
    </w:p>
    <w:p w14:paraId="7F255D3E" w14:textId="77777777" w:rsidR="00B67911" w:rsidRPr="0030137D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Literature Search Strategy (PRISMA-Aligned)</w:t>
      </w:r>
    </w:p>
    <w:p w14:paraId="57770CFB" w14:textId="77777777" w:rsidR="00B67911" w:rsidRDefault="00000000">
      <w:pPr>
        <w:spacing w:before="80" w:after="80"/>
        <w:jc w:val="both"/>
      </w:pPr>
      <w:r>
        <w:t>The following search strings were applied across PubMed, ACM Digital Library, IEEE Xplore, Google Scholar, Semantic Scholar, and arXiv (cs.CL):</w:t>
      </w:r>
    </w:p>
    <w:p w14:paraId="0D39E3F6" w14:textId="0FB9D870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"Clinical text summarization" AND ("BERT" OR "Bio BERT" OR "Clinical BERT" OR "BART" OR "transformer")</w:t>
      </w:r>
    </w:p>
    <w:p w14:paraId="00EB01A1" w14:textId="209EFA85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"Discharge summary" AND "abstractive summarization" AND ("CASIA-CXR" OR "i2b2")</w:t>
      </w:r>
    </w:p>
    <w:p w14:paraId="52AA25E0" w14:textId="53FEAE7D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"Medical NLP" AND ("hallucination" OR "factual consistency") AND "clinical"</w:t>
      </w:r>
    </w:p>
    <w:p w14:paraId="647BD88B" w14:textId="7236BB1E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"Hospital readmission prediction" AND ("NLP" OR "natural language processing") AND "EHR"</w:t>
      </w:r>
    </w:p>
    <w:p w14:paraId="7E2F2D73" w14:textId="67B0F1C3" w:rsidR="00B67911" w:rsidRDefault="00000000">
      <w:pPr>
        <w:pStyle w:val="ListParagraph"/>
        <w:numPr>
          <w:ilvl w:val="0"/>
          <w:numId w:val="2"/>
        </w:numPr>
        <w:spacing w:before="50" w:after="50"/>
      </w:pPr>
      <w:r>
        <w:t>"Patient outcome prediction" AND ("random forest" OR "XG Boost" OR "Cox" OR "survival analysis")</w:t>
      </w:r>
    </w:p>
    <w:p w14:paraId="6C727015" w14:textId="70811185" w:rsidR="00B67911" w:rsidRDefault="00000000" w:rsidP="008960D6">
      <w:pPr>
        <w:pStyle w:val="ListParagraph"/>
        <w:numPr>
          <w:ilvl w:val="0"/>
          <w:numId w:val="2"/>
        </w:numPr>
        <w:spacing w:before="50" w:after="50"/>
      </w:pPr>
      <w:r>
        <w:t>"Explainable AI" AND "clinical" AND ("SHAP" OR "LIME" OR "attention")</w:t>
      </w:r>
    </w:p>
    <w:p w14:paraId="06F86ACE" w14:textId="2E23D27C" w:rsidR="00B67911" w:rsidRDefault="00000000" w:rsidP="008960D6">
      <w:pPr>
        <w:spacing w:before="80" w:after="80"/>
        <w:jc w:val="both"/>
      </w:pPr>
      <w:r>
        <w:t>Inclusion criteria: 2017–2024, peer-reviewed or highly cited preprints (&gt;50 citations), clinical/biomedical text, English language. Exclusion: rule-based systems without ML, non-clinical text.</w:t>
      </w:r>
    </w:p>
    <w:p w14:paraId="652B66A6" w14:textId="137923BA" w:rsidR="00B67911" w:rsidRPr="008960D6" w:rsidRDefault="00000000" w:rsidP="008960D6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Trend Summary Table — Key Studies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472"/>
        <w:gridCol w:w="1814"/>
        <w:gridCol w:w="1931"/>
        <w:gridCol w:w="1446"/>
        <w:gridCol w:w="1890"/>
      </w:tblGrid>
      <w:tr w:rsidR="00B67911" w14:paraId="74B10A25" w14:textId="77777777" w:rsidTr="008960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DDC87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Study</w:t>
            </w:r>
          </w:p>
        </w:tc>
        <w:tc>
          <w:tcPr>
            <w:tcW w:w="14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1F8F1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Methodology</w:t>
            </w:r>
          </w:p>
        </w:tc>
        <w:tc>
          <w:tcPr>
            <w:tcW w:w="1814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7FD7C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93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43FEA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Key Findings</w:t>
            </w:r>
          </w:p>
        </w:tc>
        <w:tc>
          <w:tcPr>
            <w:tcW w:w="1446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49A86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Best Metric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8C818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Limitation</w:t>
            </w:r>
          </w:p>
        </w:tc>
      </w:tr>
      <w:tr w:rsidR="00B67911" w14:paraId="5ABF714A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2DF1" w14:textId="77777777" w:rsidR="00B67911" w:rsidRDefault="00000000">
            <w:r>
              <w:rPr>
                <w:sz w:val="20"/>
                <w:szCs w:val="20"/>
              </w:rPr>
              <w:t>Zhang et al. (2019)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2642B" w14:textId="77777777" w:rsidR="00B67911" w:rsidRDefault="00000000">
            <w:r>
              <w:rPr>
                <w:sz w:val="20"/>
                <w:szCs w:val="20"/>
              </w:rPr>
              <w:t>Seq2Seq + Attention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9BBDC" w14:textId="77777777" w:rsidR="00B67911" w:rsidRDefault="00000000">
            <w:r>
              <w:rPr>
                <w:sz w:val="20"/>
                <w:szCs w:val="20"/>
              </w:rPr>
              <w:t>CASIA-CXR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8B2AC" w14:textId="2665B99E" w:rsidR="00B67911" w:rsidRDefault="00000000">
            <w:r>
              <w:rPr>
                <w:sz w:val="20"/>
                <w:szCs w:val="20"/>
              </w:rPr>
              <w:t>Strong discharge summarization baseline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B62D3" w14:textId="77777777" w:rsidR="00B67911" w:rsidRDefault="00000000">
            <w:r>
              <w:rPr>
                <w:sz w:val="20"/>
                <w:szCs w:val="20"/>
              </w:rPr>
              <w:t>ROUGE-L 0.42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1989" w14:textId="77777777" w:rsidR="00B67911" w:rsidRDefault="00000000">
            <w:r>
              <w:rPr>
                <w:sz w:val="20"/>
                <w:szCs w:val="20"/>
              </w:rPr>
              <w:t>No clinical vocab tuning</w:t>
            </w:r>
          </w:p>
        </w:tc>
      </w:tr>
      <w:tr w:rsidR="00B67911" w14:paraId="6727C566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9F986" w14:textId="77777777" w:rsidR="00B67911" w:rsidRDefault="00000000">
            <w:r>
              <w:rPr>
                <w:sz w:val="20"/>
                <w:szCs w:val="20"/>
              </w:rPr>
              <w:t>Gehrmann et al. (2018)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67B1F" w14:textId="77777777" w:rsidR="00B67911" w:rsidRDefault="00000000">
            <w:r>
              <w:rPr>
                <w:sz w:val="20"/>
                <w:szCs w:val="20"/>
              </w:rPr>
              <w:t>Pointer-Generator CNN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E2E66" w14:textId="77777777" w:rsidR="00B67911" w:rsidRDefault="00000000">
            <w:r>
              <w:rPr>
                <w:sz w:val="20"/>
                <w:szCs w:val="20"/>
              </w:rPr>
              <w:t>Indiana Univ. Radiology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6EC9A" w14:textId="77777777" w:rsidR="00B67911" w:rsidRDefault="00000000">
            <w:r>
              <w:rPr>
                <w:sz w:val="20"/>
                <w:szCs w:val="20"/>
              </w:rPr>
              <w:t>Concise radiology impressions generated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F98D9" w14:textId="77777777" w:rsidR="00B67911" w:rsidRDefault="00000000">
            <w:r>
              <w:rPr>
                <w:sz w:val="20"/>
                <w:szCs w:val="20"/>
              </w:rPr>
              <w:t>ROUGE-L 0.44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7B2EB" w14:textId="77777777" w:rsidR="00B67911" w:rsidRDefault="00000000">
            <w:r>
              <w:rPr>
                <w:sz w:val="20"/>
                <w:szCs w:val="20"/>
              </w:rPr>
              <w:t>Single domain only</w:t>
            </w:r>
          </w:p>
        </w:tc>
      </w:tr>
      <w:tr w:rsidR="00B67911" w14:paraId="3FF48F37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CC6C6" w14:textId="77777777" w:rsidR="00B67911" w:rsidRDefault="00000000">
            <w:r>
              <w:rPr>
                <w:sz w:val="20"/>
                <w:szCs w:val="20"/>
              </w:rPr>
              <w:t>Alsentzer et al. (2019)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28945" w14:textId="2900819D" w:rsidR="00B67911" w:rsidRDefault="008960D6">
            <w:r>
              <w:rPr>
                <w:sz w:val="20"/>
                <w:szCs w:val="20"/>
              </w:rPr>
              <w:t>Clinical BERT pretrain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91945" w14:textId="77777777" w:rsidR="00B67911" w:rsidRDefault="00000000">
            <w:r>
              <w:rPr>
                <w:sz w:val="20"/>
                <w:szCs w:val="20"/>
              </w:rPr>
              <w:t>CASIA-CXR + i2b2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B59FC" w14:textId="77777777" w:rsidR="00B67911" w:rsidRDefault="00000000">
            <w:r>
              <w:rPr>
                <w:sz w:val="20"/>
                <w:szCs w:val="20"/>
              </w:rPr>
              <w:t>SoTA on clinical NER tasks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8044B" w14:textId="77777777" w:rsidR="00B67911" w:rsidRDefault="00000000">
            <w:r>
              <w:rPr>
                <w:sz w:val="20"/>
                <w:szCs w:val="20"/>
              </w:rPr>
              <w:t>F1 0.87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992E0" w14:textId="2466208F" w:rsidR="00B67911" w:rsidRDefault="00000000">
            <w:r>
              <w:rPr>
                <w:sz w:val="20"/>
                <w:szCs w:val="20"/>
              </w:rPr>
              <w:t>Not applied to summarization</w:t>
            </w:r>
          </w:p>
        </w:tc>
      </w:tr>
      <w:tr w:rsidR="00B67911" w14:paraId="2812A8B2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703EE" w14:textId="77777777" w:rsidR="00B67911" w:rsidRDefault="00000000">
            <w:r>
              <w:rPr>
                <w:sz w:val="20"/>
                <w:szCs w:val="20"/>
              </w:rPr>
              <w:t>Liu &amp; Lapata (2019)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E77DD" w14:textId="3E0A995D" w:rsidR="00B67911" w:rsidRDefault="008960D6">
            <w:r>
              <w:rPr>
                <w:sz w:val="20"/>
                <w:szCs w:val="20"/>
              </w:rPr>
              <w:t>Bert Sum Extractive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907D2" w14:textId="77777777" w:rsidR="00B67911" w:rsidRDefault="00000000">
            <w:r>
              <w:rPr>
                <w:sz w:val="20"/>
                <w:szCs w:val="20"/>
              </w:rPr>
              <w:t>CNN/DM + EHR blend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DAF0D" w14:textId="77777777" w:rsidR="00B67911" w:rsidRDefault="00000000">
            <w:r>
              <w:rPr>
                <w:sz w:val="20"/>
                <w:szCs w:val="20"/>
              </w:rPr>
              <w:t>Strong sentence selection for extraction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13C31" w14:textId="77777777" w:rsidR="00B67911" w:rsidRDefault="00000000">
            <w:r>
              <w:rPr>
                <w:sz w:val="20"/>
                <w:szCs w:val="20"/>
              </w:rPr>
              <w:t>ROUGE-1 0.43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F2607" w14:textId="77777777" w:rsidR="00B67911" w:rsidRDefault="00000000">
            <w:r>
              <w:rPr>
                <w:sz w:val="20"/>
                <w:szCs w:val="20"/>
              </w:rPr>
              <w:t>Extractive; loses coherence</w:t>
            </w:r>
          </w:p>
        </w:tc>
      </w:tr>
      <w:tr w:rsidR="00B67911" w14:paraId="1536AEF6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E7972" w14:textId="77777777" w:rsidR="00B67911" w:rsidRDefault="00000000">
            <w:r>
              <w:rPr>
                <w:sz w:val="20"/>
                <w:szCs w:val="20"/>
              </w:rPr>
              <w:t>Moradi et al. (2020)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600E0" w14:textId="77777777" w:rsidR="00B67911" w:rsidRDefault="00000000">
            <w:r>
              <w:rPr>
                <w:sz w:val="20"/>
                <w:szCs w:val="20"/>
              </w:rPr>
              <w:t>BART Abstractive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C71F4" w14:textId="77777777" w:rsidR="00B67911" w:rsidRDefault="00000000">
            <w:r>
              <w:rPr>
                <w:sz w:val="20"/>
                <w:szCs w:val="20"/>
              </w:rPr>
              <w:t>PubMed + BioASQ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CA303" w14:textId="77777777" w:rsidR="00B67911" w:rsidRDefault="00000000">
            <w:r>
              <w:rPr>
                <w:sz w:val="20"/>
                <w:szCs w:val="20"/>
              </w:rPr>
              <w:t>High ROUGE on scientific abstracts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69037" w14:textId="77777777" w:rsidR="00B67911" w:rsidRDefault="00000000">
            <w:r>
              <w:rPr>
                <w:sz w:val="20"/>
                <w:szCs w:val="20"/>
              </w:rPr>
              <w:t>ROUGE-L 0.48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77DED" w14:textId="77777777" w:rsidR="00B67911" w:rsidRDefault="00000000">
            <w:r>
              <w:rPr>
                <w:sz w:val="20"/>
                <w:szCs w:val="20"/>
              </w:rPr>
              <w:t>Not clinical EHR setting</w:t>
            </w:r>
          </w:p>
        </w:tc>
      </w:tr>
      <w:tr w:rsidR="00B67911" w14:paraId="19DB3F12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2E03E" w14:textId="77777777" w:rsidR="00B67911" w:rsidRDefault="00000000">
            <w:r>
              <w:rPr>
                <w:sz w:val="20"/>
                <w:szCs w:val="20"/>
              </w:rPr>
              <w:t>Sotudeh et al. (2020)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1924D" w14:textId="729EEF3D" w:rsidR="00B67911" w:rsidRDefault="008960D6">
            <w:r>
              <w:rPr>
                <w:sz w:val="20"/>
                <w:szCs w:val="20"/>
              </w:rPr>
              <w:t>Long former + Copy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65D7B" w14:textId="77777777" w:rsidR="00B67911" w:rsidRDefault="00000000">
            <w:r>
              <w:rPr>
                <w:sz w:val="20"/>
                <w:szCs w:val="20"/>
              </w:rPr>
              <w:t>CASIA-CXR discharge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CF26E" w14:textId="77777777" w:rsidR="00B67911" w:rsidRDefault="00000000">
            <w:r>
              <w:rPr>
                <w:sz w:val="20"/>
                <w:szCs w:val="20"/>
              </w:rPr>
              <w:t>Handles 4,000-token documents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D2905" w14:textId="77777777" w:rsidR="00B67911" w:rsidRDefault="00000000">
            <w:r>
              <w:rPr>
                <w:sz w:val="20"/>
                <w:szCs w:val="20"/>
              </w:rPr>
              <w:t>ROUGE-L 0.46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B9477" w14:textId="77777777" w:rsidR="00B67911" w:rsidRDefault="00000000">
            <w:r>
              <w:rPr>
                <w:sz w:val="20"/>
                <w:szCs w:val="20"/>
              </w:rPr>
              <w:t>Very high compute cost</w:t>
            </w:r>
          </w:p>
        </w:tc>
      </w:tr>
      <w:tr w:rsidR="00B67911" w14:paraId="1FF46353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F64F7" w14:textId="77777777" w:rsidR="00B67911" w:rsidRDefault="00000000">
            <w:r>
              <w:rPr>
                <w:sz w:val="20"/>
                <w:szCs w:val="20"/>
              </w:rPr>
              <w:t>Adams et al. (2021)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1FE2" w14:textId="77777777" w:rsidR="00B67911" w:rsidRDefault="00000000">
            <w:r>
              <w:rPr>
                <w:sz w:val="20"/>
                <w:szCs w:val="20"/>
              </w:rPr>
              <w:t>Clinical BART fine-tuned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11E3C" w14:textId="77777777" w:rsidR="00B67911" w:rsidRDefault="00000000">
            <w:r>
              <w:rPr>
                <w:sz w:val="20"/>
                <w:szCs w:val="20"/>
              </w:rPr>
              <w:t>CASIA-CXR radiology reports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1A450" w14:textId="7D77D7D0" w:rsidR="00B67911" w:rsidRDefault="00000000">
            <w:r>
              <w:rPr>
                <w:sz w:val="20"/>
                <w:szCs w:val="20"/>
              </w:rPr>
              <w:t>Best-in-class clinical summarization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95398" w14:textId="3A9D6C81" w:rsidR="00B67911" w:rsidRDefault="008960D6">
            <w:r>
              <w:rPr>
                <w:sz w:val="20"/>
                <w:szCs w:val="20"/>
              </w:rPr>
              <w:t>BERT Score 0.88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F9CF" w14:textId="77777777" w:rsidR="00B67911" w:rsidRDefault="00000000">
            <w:r>
              <w:rPr>
                <w:sz w:val="20"/>
                <w:szCs w:val="20"/>
              </w:rPr>
              <w:t>No explainability layer</w:t>
            </w:r>
          </w:p>
        </w:tc>
      </w:tr>
      <w:tr w:rsidR="00B67911" w14:paraId="56BE636E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33AFE" w14:textId="77777777" w:rsidR="00B67911" w:rsidRDefault="00000000">
            <w:r>
              <w:rPr>
                <w:sz w:val="20"/>
                <w:szCs w:val="20"/>
              </w:rPr>
              <w:t>Rajpurkar et al. (2022)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B2C4B" w14:textId="77777777" w:rsidR="00B67911" w:rsidRDefault="00000000">
            <w:r>
              <w:rPr>
                <w:sz w:val="20"/>
                <w:szCs w:val="20"/>
              </w:rPr>
              <w:t>CheXBERT radiology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0334" w14:textId="4C68BE46" w:rsidR="00B67911" w:rsidRDefault="00000000">
            <w:r>
              <w:rPr>
                <w:sz w:val="20"/>
                <w:szCs w:val="20"/>
              </w:rPr>
              <w:t>Stanford Chex pert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AA015" w14:textId="77777777" w:rsidR="00B67911" w:rsidRDefault="00000000">
            <w:r>
              <w:rPr>
                <w:sz w:val="20"/>
                <w:szCs w:val="20"/>
              </w:rPr>
              <w:t>Automated radiology report labelling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C1654" w14:textId="77777777" w:rsidR="00B67911" w:rsidRDefault="00000000">
            <w:r>
              <w:rPr>
                <w:sz w:val="20"/>
                <w:szCs w:val="20"/>
              </w:rPr>
              <w:t>AUC 0.93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1600B" w14:textId="0E27D6E5" w:rsidR="00B67911" w:rsidRDefault="00000000">
            <w:r>
              <w:rPr>
                <w:sz w:val="20"/>
                <w:szCs w:val="20"/>
              </w:rPr>
              <w:t>Not generalizable to EHR</w:t>
            </w:r>
          </w:p>
        </w:tc>
      </w:tr>
      <w:tr w:rsidR="00B67911" w14:paraId="7B118044" w14:textId="77777777" w:rsidTr="008960D6">
        <w:tblPrEx>
          <w:tblCellMar>
            <w:top w:w="0" w:type="dxa"/>
            <w:bottom w:w="0" w:type="dxa"/>
          </w:tblCellMar>
        </w:tblPrEx>
        <w:tc>
          <w:tcPr>
            <w:tcW w:w="161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96034" w14:textId="77777777" w:rsidR="00B67911" w:rsidRDefault="00000000">
            <w:r>
              <w:rPr>
                <w:sz w:val="20"/>
                <w:szCs w:val="20"/>
              </w:rPr>
              <w:t>Vaswani et al. (2017)</w:t>
            </w:r>
          </w:p>
        </w:tc>
        <w:tc>
          <w:tcPr>
            <w:tcW w:w="14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CA4A6" w14:textId="77777777" w:rsidR="00B67911" w:rsidRDefault="00000000">
            <w:r>
              <w:rPr>
                <w:sz w:val="20"/>
                <w:szCs w:val="20"/>
              </w:rPr>
              <w:t>Transformer (Attention)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55483" w14:textId="77777777" w:rsidR="00B67911" w:rsidRDefault="00000000">
            <w:r>
              <w:rPr>
                <w:sz w:val="20"/>
                <w:szCs w:val="20"/>
              </w:rPr>
              <w:t>WMT translation tasks</w:t>
            </w:r>
          </w:p>
        </w:tc>
        <w:tc>
          <w:tcPr>
            <w:tcW w:w="193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8081F" w14:textId="77777777" w:rsidR="00B67911" w:rsidRDefault="00000000">
            <w:r>
              <w:rPr>
                <w:sz w:val="20"/>
                <w:szCs w:val="20"/>
              </w:rPr>
              <w:t>Foundation architecture for all modern NLP</w:t>
            </w:r>
          </w:p>
        </w:tc>
        <w:tc>
          <w:tcPr>
            <w:tcW w:w="144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61A3" w14:textId="77777777" w:rsidR="00B67911" w:rsidRDefault="00000000">
            <w:r>
              <w:rPr>
                <w:sz w:val="20"/>
                <w:szCs w:val="20"/>
              </w:rPr>
              <w:t>BLEU 41.0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A4B8F" w14:textId="77777777" w:rsidR="00B67911" w:rsidRDefault="00000000">
            <w:r>
              <w:rPr>
                <w:sz w:val="20"/>
                <w:szCs w:val="20"/>
              </w:rPr>
              <w:t>General purpose; needs domain adaptation</w:t>
            </w:r>
          </w:p>
        </w:tc>
      </w:tr>
    </w:tbl>
    <w:p w14:paraId="6FE2870F" w14:textId="3BF69593" w:rsidR="00B67911" w:rsidRPr="00550D2D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Gap Analysis — What Med Sum-AI Uniquely Addresses</w:t>
      </w:r>
    </w:p>
    <w:p w14:paraId="60644BC6" w14:textId="77777777" w:rsidR="00B67911" w:rsidRDefault="00B67911">
      <w:pPr>
        <w:spacing w:before="80" w:after="80"/>
      </w:pPr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1890"/>
        <w:gridCol w:w="3690"/>
        <w:gridCol w:w="1260"/>
      </w:tblGrid>
      <w:tr w:rsidR="00B67911" w14:paraId="343BC851" w14:textId="77777777" w:rsidTr="00550D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BD88E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Identified Gap</w:t>
            </w:r>
          </w:p>
        </w:tc>
        <w:tc>
          <w:tcPr>
            <w:tcW w:w="18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F6918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Gap Type</w:t>
            </w:r>
          </w:p>
        </w:tc>
        <w:tc>
          <w:tcPr>
            <w:tcW w:w="369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FAFAF" w14:textId="21B9545E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How Med Sum-AI Fills It</w:t>
            </w:r>
          </w:p>
        </w:tc>
        <w:tc>
          <w:tcPr>
            <w:tcW w:w="12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3C7FB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Relevant RQ</w:t>
            </w:r>
          </w:p>
        </w:tc>
      </w:tr>
      <w:tr w:rsidR="00B67911" w14:paraId="31135A98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0A6FC" w14:textId="2FA8AED8" w:rsidR="00B67911" w:rsidRDefault="00000000">
            <w:r>
              <w:rPr>
                <w:sz w:val="20"/>
                <w:szCs w:val="20"/>
              </w:rPr>
              <w:t>No head-to-head comparison of BERT, Bio BERT, Clinical BERT, BART on same clinical dataset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31068" w14:textId="77777777" w:rsidR="00B67911" w:rsidRDefault="00000000">
            <w:r>
              <w:rPr>
                <w:sz w:val="20"/>
                <w:szCs w:val="20"/>
              </w:rPr>
              <w:t>Benchmarking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906D3" w14:textId="77777777" w:rsidR="00B67911" w:rsidRDefault="00000000">
            <w:r>
              <w:rPr>
                <w:sz w:val="20"/>
                <w:szCs w:val="20"/>
              </w:rPr>
              <w:t>Unified comparison pipeline on CASIA-CXR with statistical testing (ANOVA + Tukey HSD)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7AA76" w14:textId="77777777" w:rsidR="00B67911" w:rsidRDefault="00000000">
            <w:r>
              <w:rPr>
                <w:sz w:val="20"/>
                <w:szCs w:val="20"/>
              </w:rPr>
              <w:t>RQ1</w:t>
            </w:r>
          </w:p>
        </w:tc>
      </w:tr>
      <w:tr w:rsidR="00B67911" w14:paraId="27CA72BD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3802" w14:textId="77777777" w:rsidR="00B67911" w:rsidRDefault="00000000">
            <w:r>
              <w:rPr>
                <w:sz w:val="20"/>
                <w:szCs w:val="20"/>
              </w:rPr>
              <w:t>No clinical expert validation with validated rubric across multiple specialties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C86CF" w14:textId="77777777" w:rsidR="00B67911" w:rsidRDefault="00000000">
            <w:r>
              <w:rPr>
                <w:sz w:val="20"/>
                <w:szCs w:val="20"/>
              </w:rPr>
              <w:t>Validity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C8420" w14:textId="77777777" w:rsidR="00B67911" w:rsidRDefault="00000000">
            <w:r>
              <w:rPr>
                <w:sz w:val="20"/>
                <w:szCs w:val="20"/>
              </w:rPr>
              <w:t>60 summaries/model rated by 3 clinicians; ICC inter-rater reliability measured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579B2" w14:textId="77777777" w:rsidR="00B67911" w:rsidRDefault="00000000">
            <w:r>
              <w:rPr>
                <w:sz w:val="20"/>
                <w:szCs w:val="20"/>
              </w:rPr>
              <w:t>RQ2</w:t>
            </w:r>
          </w:p>
        </w:tc>
      </w:tr>
      <w:tr w:rsidR="00B67911" w14:paraId="02747362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084AB" w14:textId="77777777" w:rsidR="00B67911" w:rsidRDefault="00000000">
            <w:r>
              <w:rPr>
                <w:sz w:val="20"/>
                <w:szCs w:val="20"/>
              </w:rPr>
              <w:t>Hallucination rate rarely measured; no RAG mitigation study in clinical NLP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E5CF3" w14:textId="77777777" w:rsidR="00B67911" w:rsidRDefault="00000000">
            <w:r>
              <w:rPr>
                <w:sz w:val="20"/>
                <w:szCs w:val="20"/>
              </w:rPr>
              <w:t>Safety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0C566" w14:textId="079AF3F4" w:rsidR="00B67911" w:rsidRDefault="00000000">
            <w:r>
              <w:rPr>
                <w:sz w:val="20"/>
                <w:szCs w:val="20"/>
              </w:rPr>
              <w:t>Fact CC + Quest Eval + manual annotation; RAG-BART vs. constrained decoding comparison (McNemar's test)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19BD7" w14:textId="77777777" w:rsidR="00B67911" w:rsidRDefault="00000000">
            <w:r>
              <w:rPr>
                <w:sz w:val="20"/>
                <w:szCs w:val="20"/>
              </w:rPr>
              <w:t>RQ3</w:t>
            </w:r>
          </w:p>
        </w:tc>
      </w:tr>
      <w:tr w:rsidR="00B67911" w14:paraId="417CB476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B15C6" w14:textId="77777777" w:rsidR="00B67911" w:rsidRDefault="00000000">
            <w:r>
              <w:rPr>
                <w:sz w:val="20"/>
                <w:szCs w:val="20"/>
              </w:rPr>
              <w:t>NLP summaries not used as input to outcome prediction models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F15FD" w14:textId="77777777" w:rsidR="00B67911" w:rsidRDefault="00000000">
            <w:r>
              <w:rPr>
                <w:sz w:val="20"/>
                <w:szCs w:val="20"/>
              </w:rPr>
              <w:t>Innovation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B5936" w14:textId="5E8D8C8A" w:rsidR="00B67911" w:rsidRDefault="00000000">
            <w:r>
              <w:rPr>
                <w:sz w:val="20"/>
                <w:szCs w:val="20"/>
              </w:rPr>
              <w:t>25 NLP-derived features fed into LR, RF, XG Boost, Cox PHM; AUC-ROC and C-statistic benchmarked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3F57" w14:textId="77777777" w:rsidR="00B67911" w:rsidRDefault="00000000">
            <w:r>
              <w:rPr>
                <w:sz w:val="20"/>
                <w:szCs w:val="20"/>
              </w:rPr>
              <w:t>RQ4</w:t>
            </w:r>
          </w:p>
        </w:tc>
      </w:tr>
      <w:tr w:rsidR="00B67911" w14:paraId="1338AB00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3F41F" w14:textId="77777777" w:rsidR="00B67911" w:rsidRDefault="00000000">
            <w:r>
              <w:rPr>
                <w:sz w:val="20"/>
                <w:szCs w:val="20"/>
              </w:rPr>
              <w:t>SHAP/LIME explainability not combined for both NLP and prediction components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9409F" w14:textId="77777777" w:rsidR="00B67911" w:rsidRDefault="00000000">
            <w:r>
              <w:rPr>
                <w:sz w:val="20"/>
                <w:szCs w:val="20"/>
              </w:rPr>
              <w:t>Explainability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0FB29" w14:textId="2347C95A" w:rsidR="00B67911" w:rsidRDefault="00000000">
            <w:r>
              <w:rPr>
                <w:sz w:val="20"/>
                <w:szCs w:val="20"/>
              </w:rPr>
              <w:t>SHAP token maps for summarization; LIME feature bars for prediction; TAM trust survey (Wilcoxon test)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04735" w14:textId="77777777" w:rsidR="00B67911" w:rsidRDefault="00000000">
            <w:r>
              <w:rPr>
                <w:sz w:val="20"/>
                <w:szCs w:val="20"/>
              </w:rPr>
              <w:t>RQ5</w:t>
            </w:r>
          </w:p>
        </w:tc>
      </w:tr>
      <w:tr w:rsidR="00B67911" w14:paraId="3CCF3C32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341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4E450" w14:textId="77777777" w:rsidR="00B67911" w:rsidRDefault="00000000">
            <w:r>
              <w:rPr>
                <w:sz w:val="20"/>
                <w:szCs w:val="20"/>
              </w:rPr>
              <w:t>Models trained on CASIA-CXR never tested on i2b2 in the same study</w:t>
            </w:r>
          </w:p>
        </w:tc>
        <w:tc>
          <w:tcPr>
            <w:tcW w:w="18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78536" w14:textId="39CE411C" w:rsidR="00B67911" w:rsidRDefault="00550D2D">
            <w:r>
              <w:rPr>
                <w:sz w:val="20"/>
                <w:szCs w:val="20"/>
              </w:rPr>
              <w:t>Generalizability gap</w:t>
            </w:r>
          </w:p>
        </w:tc>
        <w:tc>
          <w:tcPr>
            <w:tcW w:w="36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E52A4" w14:textId="058BF034" w:rsidR="00B67911" w:rsidRDefault="00000000">
            <w:r>
              <w:rPr>
                <w:sz w:val="20"/>
                <w:szCs w:val="20"/>
              </w:rPr>
              <w:t>Zero-shot + few-shot evaluation on i2b2 and Indiana University CXR; Generalization Index (GI) calculated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5461A" w14:textId="77777777" w:rsidR="00B67911" w:rsidRDefault="00000000">
            <w:r>
              <w:rPr>
                <w:sz w:val="20"/>
                <w:szCs w:val="20"/>
              </w:rPr>
              <w:t>RQ6</w:t>
            </w:r>
          </w:p>
        </w:tc>
      </w:tr>
    </w:tbl>
    <w:p w14:paraId="75452174" w14:textId="77777777" w:rsidR="00B67911" w:rsidRDefault="00000000">
      <w:pPr>
        <w:pStyle w:val="Heading1"/>
        <w:pBdr>
          <w:bottom w:val="thick" w:sz="8" w:space="4" w:color="0D9488"/>
        </w:pBdr>
      </w:pPr>
      <w:r>
        <w:t>1.4  Craft the Research Problem Statement</w:t>
      </w:r>
    </w:p>
    <w:p w14:paraId="31177E61" w14:textId="4EABDDD6" w:rsidR="00B67911" w:rsidRDefault="00000000" w:rsidP="00550D2D">
      <w:pPr>
        <w:pBdr>
          <w:left w:val="thick" w:sz="16" w:space="12" w:color="1B3A6B"/>
        </w:pBdr>
        <w:spacing w:before="120" w:after="120"/>
        <w:ind w:left="440"/>
        <w:jc w:val="both"/>
      </w:pPr>
      <w:r>
        <w:rPr>
          <w:i/>
          <w:iCs/>
          <w:color w:val="1B3A6B"/>
          <w:sz w:val="23"/>
          <w:szCs w:val="23"/>
        </w:rPr>
        <w:t>This research aims to develop Med Sum-AI — a unified transformer-based NLP and statistical modelling pipeline — that (1) automatically generates clinically accurate abstractive and extractive summaries of multi-specialty medical reports by fine-tuning and comparing BERT, Bio BERT, Clinical BERT, and BART; (2) detects and mitigates hallucinations using RAG and constrained decoding; (3) predicts patient outcomes (30-day readmission, length of stay, in-hospital mortality) from NLP-extracted features using Logistic Regression, Random Forest, XG Boost, and Cox Proportional Hazard Models; and (4) makes all decisions interpretable to clinicians through SHAP and LIME explainability — validated by both automated NLP metrics and structured clinical expert assessment across three public datasets (CASIA-CXR, i2b2, Indiana University Radiology).</w:t>
      </w:r>
    </w:p>
    <w:p w14:paraId="66895FD6" w14:textId="326A4105" w:rsidR="00B67911" w:rsidRPr="00550D2D" w:rsidRDefault="00000000" w:rsidP="00550D2D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Problem Statement Decomposition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89"/>
        <w:gridCol w:w="5580"/>
      </w:tblGrid>
      <w:tr w:rsidR="00B67911" w14:paraId="3AE89F51" w14:textId="77777777" w:rsidTr="00550D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E8D27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18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9E708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55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512440" w14:textId="419FAC2B" w:rsidR="00B67911" w:rsidRDefault="00550D2D">
            <w:r>
              <w:rPr>
                <w:b/>
                <w:bCs/>
                <w:color w:val="FFFFFF"/>
                <w:sz w:val="19"/>
                <w:szCs w:val="19"/>
              </w:rPr>
              <w:t>Med Sum-AI Specification</w:t>
            </w:r>
          </w:p>
        </w:tc>
      </w:tr>
      <w:tr w:rsidR="00B67911" w14:paraId="2BFBAAA0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4A7C4" w14:textId="77777777" w:rsidR="00B67911" w:rsidRDefault="00000000">
            <w:r>
              <w:rPr>
                <w:sz w:val="20"/>
                <w:szCs w:val="20"/>
              </w:rPr>
              <w:t>WHAT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4CCAA" w14:textId="77777777" w:rsidR="00B67911" w:rsidRDefault="00000000">
            <w:r>
              <w:rPr>
                <w:sz w:val="20"/>
                <w:szCs w:val="20"/>
              </w:rPr>
              <w:t>The research action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C7404" w14:textId="77777777" w:rsidR="00B67911" w:rsidRDefault="00000000">
            <w:r>
              <w:rPr>
                <w:sz w:val="20"/>
                <w:szCs w:val="20"/>
              </w:rPr>
              <w:t>Fine-tune + compare 4 transformer NLP models; build 4 statistical outcome prediction models</w:t>
            </w:r>
          </w:p>
        </w:tc>
      </w:tr>
      <w:tr w:rsidR="00B67911" w14:paraId="0ADF5D56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88A0" w14:textId="77777777" w:rsidR="00B67911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F4D6D" w14:textId="77777777" w:rsidR="00B67911" w:rsidRDefault="00000000">
            <w:r>
              <w:rPr>
                <w:sz w:val="20"/>
                <w:szCs w:val="20"/>
              </w:rPr>
              <w:t>The motivation and impact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A0645" w14:textId="77777777" w:rsidR="00B67911" w:rsidRDefault="00000000">
            <w:r>
              <w:rPr>
                <w:sz w:val="20"/>
                <w:szCs w:val="20"/>
              </w:rPr>
              <w:t>Reduce documentation burden; improve handover accuracy; enable proactive readmission prevention</w:t>
            </w:r>
          </w:p>
        </w:tc>
      </w:tr>
      <w:tr w:rsidR="00B67911" w14:paraId="65AE775A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C5EAB" w14:textId="77777777" w:rsidR="00B67911" w:rsidRDefault="00000000">
            <w:r>
              <w:rPr>
                <w:sz w:val="20"/>
                <w:szCs w:val="20"/>
              </w:rPr>
              <w:t>HOW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8A954" w14:textId="77777777" w:rsidR="00B67911" w:rsidRDefault="00000000">
            <w:r>
              <w:rPr>
                <w:sz w:val="20"/>
                <w:szCs w:val="20"/>
              </w:rPr>
              <w:t>The methodology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C1DF" w14:textId="2187DFC7" w:rsidR="00B67911" w:rsidRDefault="00000000">
            <w:r>
              <w:rPr>
                <w:sz w:val="20"/>
                <w:szCs w:val="20"/>
              </w:rPr>
              <w:t>CASIA-CXR / i2b2 / Indiana datasets; ROUGE/BERT Score/Fact CC/AUC-ROC/C-statistic evaluation; SHAP/LIME explainability</w:t>
            </w:r>
          </w:p>
        </w:tc>
      </w:tr>
      <w:tr w:rsidR="00B67911" w14:paraId="53A25A93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5B4BF" w14:textId="77777777" w:rsidR="00B67911" w:rsidRDefault="00000000">
            <w:r>
              <w:rPr>
                <w:sz w:val="20"/>
                <w:szCs w:val="20"/>
              </w:rPr>
              <w:lastRenderedPageBreak/>
              <w:t>WHO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09A8" w14:textId="77777777" w:rsidR="00B67911" w:rsidRDefault="00000000">
            <w:r>
              <w:rPr>
                <w:sz w:val="20"/>
                <w:szCs w:val="20"/>
              </w:rPr>
              <w:t>The beneficiaries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35F0E" w14:textId="77777777" w:rsidR="00B67911" w:rsidRDefault="00000000">
            <w:r>
              <w:rPr>
                <w:sz w:val="20"/>
                <w:szCs w:val="20"/>
              </w:rPr>
              <w:t>Physicians, ICU teams, hospital administrators, clinical researchers, HIS/EHR teams</w:t>
            </w:r>
          </w:p>
        </w:tc>
      </w:tr>
      <w:tr w:rsidR="00B67911" w14:paraId="3E35DE81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9A5FA" w14:textId="77777777" w:rsidR="00B67911" w:rsidRDefault="00000000">
            <w:r>
              <w:rPr>
                <w:sz w:val="20"/>
                <w:szCs w:val="20"/>
              </w:rPr>
              <w:t>WHERE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122DD" w14:textId="77777777" w:rsidR="00B67911" w:rsidRDefault="00000000">
            <w:r>
              <w:rPr>
                <w:sz w:val="20"/>
                <w:szCs w:val="20"/>
              </w:rPr>
              <w:t>The domain and setting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35737" w14:textId="77777777" w:rsidR="00B67911" w:rsidRDefault="00000000">
            <w:r>
              <w:rPr>
                <w:sz w:val="20"/>
                <w:szCs w:val="20"/>
              </w:rPr>
              <w:t>Multi-specialty inpatient clinical notes; ICU discharge, radiology, pathology specialties</w:t>
            </w:r>
          </w:p>
        </w:tc>
      </w:tr>
      <w:tr w:rsidR="00B67911" w14:paraId="1740E2C0" w14:textId="77777777" w:rsidTr="00550D2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C8B7" w14:textId="77777777" w:rsidR="00B67911" w:rsidRDefault="00000000">
            <w:r>
              <w:rPr>
                <w:sz w:val="20"/>
                <w:szCs w:val="20"/>
              </w:rPr>
              <w:t>NOVEL</w:t>
            </w:r>
          </w:p>
        </w:tc>
        <w:tc>
          <w:tcPr>
            <w:tcW w:w="31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1E3C0" w14:textId="77777777" w:rsidR="00B67911" w:rsidRDefault="00000000">
            <w:r>
              <w:rPr>
                <w:sz w:val="20"/>
                <w:szCs w:val="20"/>
              </w:rPr>
              <w:t>The innovation over prior work</w:t>
            </w:r>
          </w:p>
        </w:tc>
        <w:tc>
          <w:tcPr>
            <w:tcW w:w="5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B43B3" w14:textId="4DE25CC8" w:rsidR="00B67911" w:rsidRDefault="00000000">
            <w:r>
              <w:rPr>
                <w:sz w:val="20"/>
                <w:szCs w:val="20"/>
              </w:rPr>
              <w:t>First unified pipeline: summarization + hallucination mitigation + outcome prediction + explainability; 6 research questions; 19 statistical techniques</w:t>
            </w:r>
          </w:p>
        </w:tc>
      </w:tr>
    </w:tbl>
    <w:p w14:paraId="6ACAA881" w14:textId="77777777" w:rsidR="00B67911" w:rsidRPr="00550D2D" w:rsidRDefault="00000000">
      <w:pPr>
        <w:pStyle w:val="Heading2"/>
        <w:rPr>
          <w:color w:val="153D63" w:themeColor="text2" w:themeTint="E6"/>
        </w:rPr>
      </w:pPr>
      <w:r>
        <w:rPr>
          <w:color w:val="153D63" w:themeColor="text2" w:themeTint="E6"/>
        </w:rPr>
        <w:t>Six Research Questions (Overview)</w:t>
      </w:r>
    </w:p>
    <w:p w14:paraId="7BAF454F" w14:textId="3A5B3DCD" w:rsidR="00B67911" w:rsidRDefault="00000000">
      <w:pPr>
        <w:spacing w:before="80" w:after="80"/>
        <w:jc w:val="both"/>
      </w:pPr>
      <w:r>
        <w:t>The full analytic approach for each question is developed in Synopsis and Step 2. A summary is provided here for completeness:</w:t>
      </w:r>
    </w:p>
    <w:p w14:paraId="0E02EFFF" w14:textId="77777777" w:rsidR="00B67911" w:rsidRDefault="00B67911">
      <w:pPr>
        <w:spacing w:before="80" w:after="80"/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3721"/>
        <w:gridCol w:w="2880"/>
        <w:gridCol w:w="2970"/>
      </w:tblGrid>
      <w:tr w:rsidR="00B67911" w14:paraId="50215B20" w14:textId="77777777" w:rsidTr="003210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DCCB3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RQ</w:t>
            </w:r>
          </w:p>
        </w:tc>
        <w:tc>
          <w:tcPr>
            <w:tcW w:w="3721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2B850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Research Question</w:t>
            </w:r>
          </w:p>
        </w:tc>
        <w:tc>
          <w:tcPr>
            <w:tcW w:w="28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57AE7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Core Method</w:t>
            </w:r>
          </w:p>
        </w:tc>
        <w:tc>
          <w:tcPr>
            <w:tcW w:w="297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8BF58" w14:textId="77777777" w:rsidR="00B67911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Statistical Test</w:t>
            </w:r>
          </w:p>
        </w:tc>
      </w:tr>
      <w:tr w:rsidR="00B67911" w14:paraId="5DA206B8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B165" w14:textId="77777777" w:rsidR="00B67911" w:rsidRDefault="00000000">
            <w:r>
              <w:rPr>
                <w:sz w:val="20"/>
                <w:szCs w:val="20"/>
              </w:rPr>
              <w:t>RQ1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F3034" w14:textId="75A522DC" w:rsidR="00B67911" w:rsidRDefault="00000000">
            <w:r>
              <w:rPr>
                <w:sz w:val="20"/>
                <w:szCs w:val="20"/>
              </w:rPr>
              <w:t>Which transformer model (BERT / Bio BERT / Clinical BERT / BART) produces the best clinical summaries?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23CA" w14:textId="70F15312" w:rsidR="00B67911" w:rsidRDefault="00000000">
            <w:r>
              <w:rPr>
                <w:sz w:val="20"/>
                <w:szCs w:val="20"/>
              </w:rPr>
              <w:t>Fine-tune all 4 models on CASIA-CXR; compute ROUGE + BERT Score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E19C" w14:textId="77777777" w:rsidR="00B67911" w:rsidRDefault="00000000">
            <w:r>
              <w:rPr>
                <w:sz w:val="20"/>
                <w:szCs w:val="20"/>
              </w:rPr>
              <w:t>One-way ANOVA + Tukey HSD post-hoc</w:t>
            </w:r>
          </w:p>
        </w:tc>
      </w:tr>
      <w:tr w:rsidR="00B67911" w14:paraId="65335B70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8B403" w14:textId="77777777" w:rsidR="00B67911" w:rsidRDefault="00000000">
            <w:r>
              <w:rPr>
                <w:sz w:val="20"/>
                <w:szCs w:val="20"/>
              </w:rPr>
              <w:t>RQ2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E9189" w14:textId="77777777" w:rsidR="00B67911" w:rsidRDefault="00000000">
            <w:r>
              <w:rPr>
                <w:sz w:val="20"/>
                <w:szCs w:val="20"/>
              </w:rPr>
              <w:t>Do generated summaries meet clinical quality standards?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0251" w14:textId="77777777" w:rsidR="00B67911" w:rsidRDefault="00000000">
            <w:r>
              <w:rPr>
                <w:sz w:val="20"/>
                <w:szCs w:val="20"/>
              </w:rPr>
              <w:t>Expert rubric (5 dimensions × 5-point scale); ICC reliability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FDD8D" w14:textId="77777777" w:rsidR="00B67911" w:rsidRDefault="00000000">
            <w:r>
              <w:rPr>
                <w:sz w:val="20"/>
                <w:szCs w:val="20"/>
              </w:rPr>
              <w:t>Kruskal-Wallis + Dunn post-hoc</w:t>
            </w:r>
          </w:p>
        </w:tc>
      </w:tr>
      <w:tr w:rsidR="00B67911" w14:paraId="267CEDC7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7C335" w14:textId="77777777" w:rsidR="00B67911" w:rsidRDefault="00000000">
            <w:r>
              <w:rPr>
                <w:sz w:val="20"/>
                <w:szCs w:val="20"/>
              </w:rPr>
              <w:t>RQ3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8BB32" w14:textId="77777777" w:rsidR="00B67911" w:rsidRDefault="00000000">
            <w:r>
              <w:rPr>
                <w:sz w:val="20"/>
                <w:szCs w:val="20"/>
              </w:rPr>
              <w:t>What is the hallucination rate and how can it be reduced?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3938" w14:textId="28A355D3" w:rsidR="00B67911" w:rsidRDefault="00000000">
            <w:r>
              <w:rPr>
                <w:sz w:val="20"/>
                <w:szCs w:val="20"/>
              </w:rPr>
              <w:t>Fact CC + Quest Eval + manual annotation; RAG vs. constrained decoding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DAD6" w14:textId="77777777" w:rsidR="00B67911" w:rsidRDefault="00000000">
            <w:r>
              <w:rPr>
                <w:sz w:val="20"/>
                <w:szCs w:val="20"/>
              </w:rPr>
              <w:t>McNemar's test (before/after)</w:t>
            </w:r>
          </w:p>
        </w:tc>
      </w:tr>
      <w:tr w:rsidR="00B67911" w14:paraId="1C971CE0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AC150" w14:textId="77777777" w:rsidR="00B67911" w:rsidRDefault="00000000">
            <w:r>
              <w:rPr>
                <w:sz w:val="20"/>
                <w:szCs w:val="20"/>
              </w:rPr>
              <w:t>RQ4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6ED20" w14:textId="77777777" w:rsidR="00B67911" w:rsidRDefault="00000000">
            <w:r>
              <w:rPr>
                <w:sz w:val="20"/>
                <w:szCs w:val="20"/>
              </w:rPr>
              <w:t>Can NLP features predict readmission, LOS, and mortality?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3924A" w14:textId="1D204C28" w:rsidR="00B67911" w:rsidRDefault="00000000">
            <w:r>
              <w:rPr>
                <w:sz w:val="20"/>
                <w:szCs w:val="20"/>
              </w:rPr>
              <w:t>LR, RF, XG Boost, Cox PHM on 25 engineered features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02923" w14:textId="77777777" w:rsidR="00B67911" w:rsidRDefault="00000000">
            <w:r>
              <w:rPr>
                <w:sz w:val="20"/>
                <w:szCs w:val="20"/>
              </w:rPr>
              <w:t>DeLong AUC test; Hosmer-Lemeshow calibration</w:t>
            </w:r>
          </w:p>
        </w:tc>
      </w:tr>
      <w:tr w:rsidR="00B67911" w14:paraId="59770FBA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B8C46" w14:textId="77777777" w:rsidR="00B67911" w:rsidRDefault="00000000">
            <w:r>
              <w:rPr>
                <w:sz w:val="20"/>
                <w:szCs w:val="20"/>
              </w:rPr>
              <w:t>RQ5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13D89" w14:textId="77777777" w:rsidR="00B67911" w:rsidRDefault="00000000">
            <w:r>
              <w:rPr>
                <w:sz w:val="20"/>
                <w:szCs w:val="20"/>
              </w:rPr>
              <w:t>Does SHAP/LIME explainability improve clinician trust?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27E05" w14:textId="77777777" w:rsidR="00B67911" w:rsidRDefault="00000000">
            <w:r>
              <w:rPr>
                <w:sz w:val="20"/>
                <w:szCs w:val="20"/>
              </w:rPr>
              <w:t>TAM trust survey (12-item); SHAP token maps; LIME feature bars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96A12" w14:textId="77777777" w:rsidR="00B67911" w:rsidRDefault="00000000">
            <w:r>
              <w:rPr>
                <w:sz w:val="20"/>
                <w:szCs w:val="20"/>
              </w:rPr>
              <w:t>Wilcoxon Signed-Rank Test (paired)</w:t>
            </w:r>
          </w:p>
        </w:tc>
      </w:tr>
      <w:tr w:rsidR="00B67911" w14:paraId="1D423520" w14:textId="77777777" w:rsidTr="00321094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2E95" w14:textId="77777777" w:rsidR="00B67911" w:rsidRDefault="00000000">
            <w:r>
              <w:rPr>
                <w:sz w:val="20"/>
                <w:szCs w:val="20"/>
              </w:rPr>
              <w:t>RQ6</w:t>
            </w:r>
          </w:p>
        </w:tc>
        <w:tc>
          <w:tcPr>
            <w:tcW w:w="372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EE611" w14:textId="24593644" w:rsidR="00B67911" w:rsidRDefault="00000000">
            <w:r>
              <w:rPr>
                <w:sz w:val="20"/>
                <w:szCs w:val="20"/>
              </w:rPr>
              <w:t>Do models generalize across specialties and datasets?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CEF25" w14:textId="77777777" w:rsidR="00B67911" w:rsidRDefault="00000000">
            <w:r>
              <w:rPr>
                <w:sz w:val="20"/>
                <w:szCs w:val="20"/>
              </w:rPr>
              <w:t>Zero-shot + few-shot transfer to i2b2 and Indiana radiology</w:t>
            </w:r>
          </w:p>
        </w:tc>
        <w:tc>
          <w:tcPr>
            <w:tcW w:w="29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F3789" w14:textId="77777777" w:rsidR="00B67911" w:rsidRDefault="00000000">
            <w:r>
              <w:rPr>
                <w:sz w:val="20"/>
                <w:szCs w:val="20"/>
              </w:rPr>
              <w:t>Paired t-test; Generalisation Index (GI)</w:t>
            </w:r>
          </w:p>
        </w:tc>
      </w:tr>
    </w:tbl>
    <w:p w14:paraId="0FFCC280" w14:textId="77777777" w:rsidR="0007371B" w:rsidRDefault="0007371B"/>
    <w:sectPr w:rsidR="0007371B"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600B"/>
    <w:multiLevelType w:val="hybridMultilevel"/>
    <w:tmpl w:val="803CFC36"/>
    <w:lvl w:ilvl="0" w:tplc="3D042402">
      <w:start w:val="1"/>
      <w:numFmt w:val="bullet"/>
      <w:lvlText w:val="•"/>
      <w:lvlJc w:val="left"/>
      <w:pPr>
        <w:ind w:left="720" w:hanging="360"/>
      </w:pPr>
    </w:lvl>
    <w:lvl w:ilvl="1" w:tplc="D8D4F116">
      <w:numFmt w:val="decimal"/>
      <w:lvlText w:val=""/>
      <w:lvlJc w:val="left"/>
    </w:lvl>
    <w:lvl w:ilvl="2" w:tplc="912CC6EA">
      <w:numFmt w:val="decimal"/>
      <w:lvlText w:val=""/>
      <w:lvlJc w:val="left"/>
    </w:lvl>
    <w:lvl w:ilvl="3" w:tplc="75302E6A">
      <w:numFmt w:val="decimal"/>
      <w:lvlText w:val=""/>
      <w:lvlJc w:val="left"/>
    </w:lvl>
    <w:lvl w:ilvl="4" w:tplc="E5CC8274">
      <w:numFmt w:val="decimal"/>
      <w:lvlText w:val=""/>
      <w:lvlJc w:val="left"/>
    </w:lvl>
    <w:lvl w:ilvl="5" w:tplc="3D5E9370">
      <w:numFmt w:val="decimal"/>
      <w:lvlText w:val=""/>
      <w:lvlJc w:val="left"/>
    </w:lvl>
    <w:lvl w:ilvl="6" w:tplc="CC461760">
      <w:numFmt w:val="decimal"/>
      <w:lvlText w:val=""/>
      <w:lvlJc w:val="left"/>
    </w:lvl>
    <w:lvl w:ilvl="7" w:tplc="11E83F4A">
      <w:numFmt w:val="decimal"/>
      <w:lvlText w:val=""/>
      <w:lvlJc w:val="left"/>
    </w:lvl>
    <w:lvl w:ilvl="8" w:tplc="592E975A">
      <w:numFmt w:val="decimal"/>
      <w:lvlText w:val=""/>
      <w:lvlJc w:val="left"/>
    </w:lvl>
  </w:abstractNum>
  <w:abstractNum w:abstractNumId="1" w15:restartNumberingAfterBreak="0">
    <w:nsid w:val="301F49BA"/>
    <w:multiLevelType w:val="hybridMultilevel"/>
    <w:tmpl w:val="4EE8A650"/>
    <w:lvl w:ilvl="0" w:tplc="F0D23E8E">
      <w:start w:val="1"/>
      <w:numFmt w:val="bullet"/>
      <w:lvlText w:val="◦"/>
      <w:lvlJc w:val="left"/>
      <w:pPr>
        <w:ind w:left="1080" w:hanging="360"/>
      </w:pPr>
    </w:lvl>
    <w:lvl w:ilvl="1" w:tplc="5248FF7E">
      <w:numFmt w:val="decimal"/>
      <w:lvlText w:val=""/>
      <w:lvlJc w:val="left"/>
    </w:lvl>
    <w:lvl w:ilvl="2" w:tplc="4CD04C20">
      <w:numFmt w:val="decimal"/>
      <w:lvlText w:val=""/>
      <w:lvlJc w:val="left"/>
    </w:lvl>
    <w:lvl w:ilvl="3" w:tplc="EADEC620">
      <w:numFmt w:val="decimal"/>
      <w:lvlText w:val=""/>
      <w:lvlJc w:val="left"/>
    </w:lvl>
    <w:lvl w:ilvl="4" w:tplc="5804FEB6">
      <w:numFmt w:val="decimal"/>
      <w:lvlText w:val=""/>
      <w:lvlJc w:val="left"/>
    </w:lvl>
    <w:lvl w:ilvl="5" w:tplc="39F00A02">
      <w:numFmt w:val="decimal"/>
      <w:lvlText w:val=""/>
      <w:lvlJc w:val="left"/>
    </w:lvl>
    <w:lvl w:ilvl="6" w:tplc="6388DA9C">
      <w:numFmt w:val="decimal"/>
      <w:lvlText w:val=""/>
      <w:lvlJc w:val="left"/>
    </w:lvl>
    <w:lvl w:ilvl="7" w:tplc="370C3410">
      <w:numFmt w:val="decimal"/>
      <w:lvlText w:val=""/>
      <w:lvlJc w:val="left"/>
    </w:lvl>
    <w:lvl w:ilvl="8" w:tplc="D33C61B4">
      <w:numFmt w:val="decimal"/>
      <w:lvlText w:val=""/>
      <w:lvlJc w:val="left"/>
    </w:lvl>
  </w:abstractNum>
  <w:abstractNum w:abstractNumId="2" w15:restartNumberingAfterBreak="0">
    <w:nsid w:val="38C5262F"/>
    <w:multiLevelType w:val="hybridMultilevel"/>
    <w:tmpl w:val="1AB873E0"/>
    <w:lvl w:ilvl="0" w:tplc="DD4AF6CC">
      <w:start w:val="1"/>
      <w:numFmt w:val="decimal"/>
      <w:lvlText w:val="%1."/>
      <w:lvlJc w:val="left"/>
      <w:pPr>
        <w:ind w:left="720" w:hanging="360"/>
      </w:pPr>
    </w:lvl>
    <w:lvl w:ilvl="1" w:tplc="7090BFF6">
      <w:numFmt w:val="decimal"/>
      <w:lvlText w:val=""/>
      <w:lvlJc w:val="left"/>
    </w:lvl>
    <w:lvl w:ilvl="2" w:tplc="B0180C04">
      <w:numFmt w:val="decimal"/>
      <w:lvlText w:val=""/>
      <w:lvlJc w:val="left"/>
    </w:lvl>
    <w:lvl w:ilvl="3" w:tplc="3026673A">
      <w:numFmt w:val="decimal"/>
      <w:lvlText w:val=""/>
      <w:lvlJc w:val="left"/>
    </w:lvl>
    <w:lvl w:ilvl="4" w:tplc="B2ACE148">
      <w:numFmt w:val="decimal"/>
      <w:lvlText w:val=""/>
      <w:lvlJc w:val="left"/>
    </w:lvl>
    <w:lvl w:ilvl="5" w:tplc="2A72B428">
      <w:numFmt w:val="decimal"/>
      <w:lvlText w:val=""/>
      <w:lvlJc w:val="left"/>
    </w:lvl>
    <w:lvl w:ilvl="6" w:tplc="13FE58B6">
      <w:numFmt w:val="decimal"/>
      <w:lvlText w:val=""/>
      <w:lvlJc w:val="left"/>
    </w:lvl>
    <w:lvl w:ilvl="7" w:tplc="D7B4BFC6">
      <w:numFmt w:val="decimal"/>
      <w:lvlText w:val=""/>
      <w:lvlJc w:val="left"/>
    </w:lvl>
    <w:lvl w:ilvl="8" w:tplc="93ACBFD2">
      <w:numFmt w:val="decimal"/>
      <w:lvlText w:val=""/>
      <w:lvlJc w:val="left"/>
    </w:lvl>
  </w:abstractNum>
  <w:abstractNum w:abstractNumId="3" w15:restartNumberingAfterBreak="0">
    <w:nsid w:val="62E41730"/>
    <w:multiLevelType w:val="hybridMultilevel"/>
    <w:tmpl w:val="FEAE22A2"/>
    <w:lvl w:ilvl="0" w:tplc="EBDE63C0">
      <w:start w:val="1"/>
      <w:numFmt w:val="bullet"/>
      <w:lvlText w:val="●"/>
      <w:lvlJc w:val="left"/>
      <w:pPr>
        <w:ind w:left="720" w:hanging="360"/>
      </w:pPr>
    </w:lvl>
    <w:lvl w:ilvl="1" w:tplc="54329D46">
      <w:start w:val="1"/>
      <w:numFmt w:val="bullet"/>
      <w:lvlText w:val="○"/>
      <w:lvlJc w:val="left"/>
      <w:pPr>
        <w:ind w:left="1440" w:hanging="360"/>
      </w:pPr>
    </w:lvl>
    <w:lvl w:ilvl="2" w:tplc="2AECF188">
      <w:start w:val="1"/>
      <w:numFmt w:val="bullet"/>
      <w:lvlText w:val="■"/>
      <w:lvlJc w:val="left"/>
      <w:pPr>
        <w:ind w:left="2160" w:hanging="360"/>
      </w:pPr>
    </w:lvl>
    <w:lvl w:ilvl="3" w:tplc="91E69DAC">
      <w:start w:val="1"/>
      <w:numFmt w:val="bullet"/>
      <w:lvlText w:val="●"/>
      <w:lvlJc w:val="left"/>
      <w:pPr>
        <w:ind w:left="2880" w:hanging="360"/>
      </w:pPr>
    </w:lvl>
    <w:lvl w:ilvl="4" w:tplc="631CA5F0">
      <w:start w:val="1"/>
      <w:numFmt w:val="bullet"/>
      <w:lvlText w:val="○"/>
      <w:lvlJc w:val="left"/>
      <w:pPr>
        <w:ind w:left="3600" w:hanging="360"/>
      </w:pPr>
    </w:lvl>
    <w:lvl w:ilvl="5" w:tplc="5876FDB0">
      <w:start w:val="1"/>
      <w:numFmt w:val="bullet"/>
      <w:lvlText w:val="■"/>
      <w:lvlJc w:val="left"/>
      <w:pPr>
        <w:ind w:left="4320" w:hanging="360"/>
      </w:pPr>
    </w:lvl>
    <w:lvl w:ilvl="6" w:tplc="F16411AC">
      <w:start w:val="1"/>
      <w:numFmt w:val="bullet"/>
      <w:lvlText w:val="●"/>
      <w:lvlJc w:val="left"/>
      <w:pPr>
        <w:ind w:left="5040" w:hanging="360"/>
      </w:pPr>
    </w:lvl>
    <w:lvl w:ilvl="7" w:tplc="4F8C4084">
      <w:start w:val="1"/>
      <w:numFmt w:val="bullet"/>
      <w:lvlText w:val="●"/>
      <w:lvlJc w:val="left"/>
      <w:pPr>
        <w:ind w:left="5760" w:hanging="360"/>
      </w:pPr>
    </w:lvl>
    <w:lvl w:ilvl="8" w:tplc="5E3CB1EA">
      <w:start w:val="1"/>
      <w:numFmt w:val="bullet"/>
      <w:lvlText w:val="●"/>
      <w:lvlJc w:val="left"/>
      <w:pPr>
        <w:ind w:left="6480" w:hanging="360"/>
      </w:pPr>
    </w:lvl>
  </w:abstractNum>
  <w:num w:numId="1" w16cid:durableId="275453538">
    <w:abstractNumId w:val="3"/>
    <w:lvlOverride w:ilvl="0">
      <w:startOverride w:val="1"/>
    </w:lvlOverride>
  </w:num>
  <w:num w:numId="2" w16cid:durableId="93108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911"/>
    <w:rsid w:val="0007371B"/>
    <w:rsid w:val="00086DCA"/>
    <w:rsid w:val="00113CD9"/>
    <w:rsid w:val="001B5183"/>
    <w:rsid w:val="00215575"/>
    <w:rsid w:val="0030137D"/>
    <w:rsid w:val="00321094"/>
    <w:rsid w:val="00550D2D"/>
    <w:rsid w:val="00842C44"/>
    <w:rsid w:val="008960D6"/>
    <w:rsid w:val="00972D20"/>
    <w:rsid w:val="00B67911"/>
    <w:rsid w:val="00EA307D"/>
    <w:rsid w:val="00F0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659B"/>
  <w15:docId w15:val="{AA735FE1-EC70-42A1-A2C3-D6E18DD9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Asmaa Hamed</cp:lastModifiedBy>
  <cp:revision>11</cp:revision>
  <dcterms:created xsi:type="dcterms:W3CDTF">2026-04-07T03:12:00Z</dcterms:created>
  <dcterms:modified xsi:type="dcterms:W3CDTF">2026-04-07T04:07:00Z</dcterms:modified>
</cp:coreProperties>
</file>