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Times New Roman" w:cs="Times New Roman" w:eastAsia="Times New Roman" w:hAnsi="Times New Roman"/>
          <w:b/>
          <w:bCs/>
          <w:color w:val="2E75B6"/>
          <w:sz w:val="26"/>
          <w:szCs w:val="26"/>
        </w:rPr>
        <w:t xml:space="preserve">QM 640 – Data Analytics Capstone</w:t>
      </w:r>
    </w:p>
    <w:p>
      <w:pPr>
        <w:pBdr>
          <w:bottom w:val="single" w:color="2E75B6" w:sz="4" w:space="4"/>
        </w:pBdr>
        <w:spacing w:after="60" w:before="0"/>
        <w:jc w:val="center"/>
      </w:pPr>
      <w:r>
        <w:rPr>
          <w:rFonts w:ascii="Times New Roman" w:cs="Times New Roman" w:eastAsia="Times New Roman" w:hAnsi="Times New Roman"/>
          <w:b/>
          <w:bCs/>
          <w:sz w:val="26"/>
          <w:szCs w:val="26"/>
        </w:rPr>
        <w:t xml:space="preserve">Research Project Planning – Step 4</w:t>
      </w:r>
    </w:p>
    <w:p>
      <w:pPr>
        <w:spacing w:after="0" w:before="120"/>
      </w:pPr>
    </w:p>
    <w:p>
      <w:pPr>
        <w:spacing w:after="60" w:before="0"/>
        <w:jc w:val="center"/>
      </w:pPr>
      <w:r>
        <w:rPr>
          <w:rFonts w:ascii="Times New Roman" w:cs="Times New Roman" w:eastAsia="Times New Roman" w:hAnsi="Times New Roman"/>
          <w:b/>
          <w:bCs/>
          <w:color w:val="1F3864"/>
          <w:sz w:val="28"/>
          <w:szCs w:val="28"/>
        </w:rPr>
        <w:t xml:space="preserve">Choose a Research Design and Methodology</w:t>
      </w:r>
    </w:p>
    <w:p>
      <w:pPr>
        <w:spacing w:after="0" w:before="60"/>
      </w:pPr>
    </w:p>
    <w:p>
      <w:pPr>
        <w:spacing w:after="60" w:before="0"/>
        <w:jc w:val="center"/>
      </w:pPr>
      <w:r>
        <w:rPr>
          <w:rFonts w:ascii="Times New Roman" w:cs="Times New Roman" w:eastAsia="Times New Roman" w:hAnsi="Times New Roman"/>
          <w:b/>
          <w:bCs/>
          <w:i/>
          <w:iCs/>
          <w:sz w:val="24"/>
          <w:szCs w:val="24"/>
        </w:rPr>
        <w:t xml:space="preserve">MedSum-AI: Intelligent Clinical Report Summarization</w:t>
      </w:r>
    </w:p>
    <w:p>
      <w:pPr>
        <w:spacing w:after="60" w:before="0"/>
        <w:jc w:val="center"/>
      </w:pPr>
      <w:r>
        <w:rPr>
          <w:rFonts w:ascii="Times New Roman" w:cs="Times New Roman" w:eastAsia="Times New Roman" w:hAnsi="Times New Roman"/>
          <w:i/>
          <w:iCs/>
          <w:sz w:val="24"/>
          <w:szCs w:val="24"/>
        </w:rPr>
        <w:t xml:space="preserve">and Predictive Outcome Analytics Using Transformer-Based NLP &amp; Advanced Statistical Models</w:t>
      </w:r>
    </w:p>
    <w:p>
      <w:pPr>
        <w:spacing w:after="0" w:before="120"/>
      </w:pPr>
    </w:p>
    <w:p>
      <w:pPr>
        <w:spacing w:after="60" w:before="0"/>
        <w:jc w:val="center"/>
      </w:pPr>
      <w:r>
        <w:rPr>
          <w:rFonts w:ascii="Times New Roman" w:cs="Times New Roman" w:eastAsia="Times New Roman" w:hAnsi="Times New Roman"/>
          <w:b/>
          <w:bCs/>
          <w:sz w:val="26"/>
          <w:szCs w:val="26"/>
        </w:rPr>
        <w:t xml:space="preserve">Asmaa Hamed Ewes Mohamed</w:t>
      </w:r>
    </w:p>
    <w:p>
      <w:pPr>
        <w:spacing w:after="60" w:before="0"/>
        <w:jc w:val="center"/>
      </w:pPr>
      <w:r>
        <w:rPr>
          <w:rFonts w:ascii="Times New Roman" w:cs="Times New Roman" w:eastAsia="Times New Roman" w:hAnsi="Times New Roman"/>
          <w:color w:val="555555"/>
          <w:sz w:val="22"/>
          <w:szCs w:val="22"/>
        </w:rPr>
        <w:t xml:space="preserve">Walsh College  |  QM640 V1: Data Analytics Capstone  |  Spring 2026 Term</w:t>
      </w:r>
    </w:p>
    <w:p>
      <w:pPr>
        <w:spacing w:after="80" w:before="0"/>
        <w:jc w:val="center"/>
      </w:pPr>
      <w:r>
        <w:rPr>
          <w:rFonts w:ascii="Times New Roman" w:cs="Times New Roman" w:eastAsia="Times New Roman" w:hAnsi="Times New Roman"/>
          <w:color w:val="555555"/>
          <w:sz w:val="22"/>
          <w:szCs w:val="22"/>
        </w:rPr>
        <w:t xml:space="preserve">Dr. Javad</w:t>
      </w:r>
    </w:p>
    <w:p>
      <w:pPr>
        <w:pBdr>
          <w:bottom w:val="single" w:color="2E75B6" w:sz="4" w:space="1"/>
        </w:pBdr>
        <w:spacing w:after="160" w:before="160"/>
      </w:pPr>
    </w:p>
    <w:p>
      <w:pPr>
        <w:spacing w:after="80" w:before="80"/>
        <w:jc w:val="both"/>
      </w:pPr>
      <w:r>
        <w:rPr>
          <w:rFonts w:ascii="Times New Roman" w:cs="Times New Roman" w:eastAsia="Times New Roman" w:hAnsi="Times New Roman"/>
          <w:sz w:val="24"/>
          <w:szCs w:val="24"/>
        </w:rPr>
        <w:t xml:space="preserve">Step 4 formalises the research design and methodology for MedSum-AI. It translates the problem statement and six research questions established in Steps 1–3 into concrete technical and statistical choices: which machine learning and statistical techniques will be applied, how those techniques are evaluated, what the end-to-end pipeline architecture looks like, and how the data are collected and prepared. Each decision is justified against the specific requirements of the research questions and the characteristics of the CASIA-CXR dataset.</w:t>
      </w:r>
    </w:p>
    <w:p>
      <w:pPr>
        <w:pBdr>
          <w:bottom w:val="single" w:color="2E75B6" w:sz="4" w:space="1"/>
        </w:pBdr>
        <w:spacing w:after="160" w:before="160"/>
      </w:pPr>
    </w:p>
    <w:p>
      <w:pPr>
        <w:pStyle w:val="Heading1"/>
        <w:spacing w:after="160" w:before="320"/>
      </w:pPr>
      <w:r>
        <w:rPr>
          <w:rFonts w:ascii="Times New Roman" w:cs="Times New Roman" w:eastAsia="Times New Roman" w:hAnsi="Times New Roman"/>
          <w:b/>
          <w:bCs/>
        </w:rPr>
        <w:t xml:space="preserve">4.1  Select the Techniques</w:t>
      </w:r>
    </w:p>
    <w:p>
      <w:pPr>
        <w:spacing w:after="80" w:before="80"/>
        <w:jc w:val="both"/>
      </w:pPr>
      <w:r>
        <w:rPr>
          <w:rFonts w:ascii="Times New Roman" w:cs="Times New Roman" w:eastAsia="Times New Roman" w:hAnsi="Times New Roman"/>
          <w:sz w:val="24"/>
          <w:szCs w:val="24"/>
        </w:rPr>
        <w:t xml:space="preserve">MedSum-AI spans three distinct problem categories — classification, regression, and survival analysis — in addition to a specialised NLP summarisation component. Each research question is matched to the most appropriate technique category below. Table 1 provides a consolidated mapping.</w:t>
      </w:r>
    </w:p>
    <w:p>
      <w:pPr>
        <w:spacing w:after="0" w:before="80"/>
      </w:pPr>
    </w:p>
    <w:p>
      <w:pPr>
        <w:spacing w:after="100" w:before="80"/>
        <w:jc w:val="center"/>
      </w:pPr>
      <w:r>
        <w:rPr>
          <w:rFonts w:ascii="Times New Roman" w:cs="Times New Roman" w:eastAsia="Times New Roman" w:hAnsi="Times New Roman"/>
          <w:b/>
          <w:bCs/>
          <w:i/>
          <w:iCs/>
          <w:sz w:val="20"/>
          <w:szCs w:val="20"/>
        </w:rPr>
        <w:t xml:space="preserve">Table 1.  Technique Selection by Research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2800"/>
        <w:gridCol w:w="4460"/>
      </w:tblGrid>
      <w:tr>
        <w:tc>
          <w:tcPr>
            <w:tcW w:type="dxa" w:w="7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RQ</w:t>
            </w:r>
          </w:p>
        </w:tc>
        <w:tc>
          <w:tcPr>
            <w:tcW w:type="dxa" w:w="1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Outcome Type</w:t>
            </w:r>
          </w:p>
        </w:tc>
        <w:tc>
          <w:tcPr>
            <w:tcW w:type="dxa" w:w="2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Selected Technique(s)</w:t>
            </w:r>
          </w:p>
        </w:tc>
        <w:tc>
          <w:tcPr>
            <w:tcW w:type="dxa" w:w="44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Rationale</w:t>
            </w:r>
          </w:p>
        </w:tc>
      </w:tr>
      <w:tr>
        <w:tc>
          <w:tcPr>
            <w:tcW w:type="dxa" w:w="7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bCs/>
                <w:sz w:val="20"/>
                <w:szCs w:val="20"/>
              </w:rPr>
              <w:t xml:space="preserve">RQ1</w:t>
            </w:r>
          </w:p>
        </w:tc>
        <w:tc>
          <w:tcPr>
            <w:tcW w:type="dxa" w:w="14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Classification /
Comparison</w:t>
            </w:r>
          </w:p>
        </w:tc>
        <w:tc>
          <w:tcPr>
            <w:tcW w:type="dxa" w:w="28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Fine-tuned BERT, BioBERT, ClinicalBERT (extractive); BART (abstractive); Weighted Ensemble</w:t>
            </w:r>
          </w:p>
        </w:tc>
        <w:tc>
          <w:tcPr>
            <w:tcW w:type="dxa" w:w="446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Transformer models with domain pre-training are the state-of-the-art for clinical NLP. Ensemble maximises ROUGE-L on validation set.</w:t>
            </w:r>
          </w:p>
        </w:tc>
      </w:tr>
      <w:tr>
        <w:tc>
          <w:tcPr>
            <w:tcW w:type="dxa" w:w="7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bCs/>
                <w:sz w:val="20"/>
                <w:szCs w:val="20"/>
              </w:rPr>
              <w:t xml:space="preserve">RQ2</w:t>
            </w:r>
          </w:p>
        </w:tc>
        <w:tc>
          <w:tcPr>
            <w:tcW w:type="dxa" w:w="14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Ordinal Scoring</w:t>
            </w:r>
          </w:p>
        </w:tc>
        <w:tc>
          <w:tcPr>
            <w:tcW w:type="dxa" w:w="2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5-Dimension Likert Rubric; ICC Reliability; Kruskal-Wallis + Dunn post-hoc</w:t>
            </w:r>
          </w:p>
        </w:tc>
        <w:tc>
          <w:tcPr>
            <w:tcW w:type="dxa" w:w="44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Ordinal rubric data requires non-parametric comparison; ICC quantifies inter-rater reliability across three clinicians.</w:t>
            </w:r>
          </w:p>
        </w:tc>
      </w:tr>
      <w:tr>
        <w:tc>
          <w:tcPr>
            <w:tcW w:type="dxa" w:w="7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bCs/>
                <w:sz w:val="20"/>
                <w:szCs w:val="20"/>
              </w:rPr>
              <w:t xml:space="preserve">RQ3</w:t>
            </w:r>
          </w:p>
        </w:tc>
        <w:tc>
          <w:tcPr>
            <w:tcW w:type="dxa" w:w="14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Binary Classification
(hallucination flag)</w:t>
            </w:r>
          </w:p>
        </w:tc>
        <w:tc>
          <w:tcPr>
            <w:tcW w:type="dxa" w:w="28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Fact CC (BERT classifier); QuestEval (QA-based); RAG-BART; Constrained Decoding; Copy Mechanism</w:t>
            </w:r>
          </w:p>
        </w:tc>
        <w:tc>
          <w:tcPr>
            <w:tcW w:type="dxa" w:w="446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Fact CC and QuestEval provide automated faithfulness scores; three mitigation experiments compared via McNemar's test.</w:t>
            </w:r>
          </w:p>
        </w:tc>
      </w:tr>
      <w:tr>
        <w:tc>
          <w:tcPr>
            <w:tcW w:type="dxa" w:w="7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bCs/>
                <w:sz w:val="20"/>
                <w:szCs w:val="20"/>
              </w:rPr>
              <w:t xml:space="preserve">RQ4a
(Readmission /
Mortality)</w:t>
            </w:r>
          </w:p>
        </w:tc>
        <w:tc>
          <w:tcPr>
            <w:tcW w:type="dxa" w:w="14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Binary Classification</w:t>
            </w:r>
          </w:p>
        </w:tc>
        <w:tc>
          <w:tcPr>
            <w:tcW w:type="dxa" w:w="2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Logistic Regression (L2), Random Forest (n=500 trees), XGBoost (Bayesian-tuned)</w:t>
            </w:r>
          </w:p>
        </w:tc>
        <w:tc>
          <w:tcPr>
            <w:tcW w:type="dxa" w:w="44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Ensemble of linear and non-linear classifiers captures both interpretable odds ratios and complex feature interactions.</w:t>
            </w:r>
          </w:p>
        </w:tc>
      </w:tr>
      <w:tr>
        <w:tc>
          <w:tcPr>
            <w:tcW w:type="dxa" w:w="7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bCs/>
                <w:sz w:val="20"/>
                <w:szCs w:val="20"/>
              </w:rPr>
              <w:t xml:space="preserve">RQ4b
(LOS —
Continuous)</w:t>
            </w:r>
          </w:p>
        </w:tc>
        <w:tc>
          <w:tcPr>
            <w:tcW w:type="dxa" w:w="14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Regression</w:t>
            </w:r>
          </w:p>
        </w:tc>
        <w:tc>
          <w:tcPr>
            <w:tcW w:type="dxa" w:w="28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Linear Regression (OLS); XGBoost Regressor</w:t>
            </w:r>
          </w:p>
        </w:tc>
        <w:tc>
          <w:tcPr>
            <w:tcW w:type="dxa" w:w="446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OLS establishes interpretable baseline; XGBoost Regressor captures non-linear covariate effects on continuous LOS.</w:t>
            </w:r>
          </w:p>
        </w:tc>
      </w:tr>
      <w:tr>
        <w:tc>
          <w:tcPr>
            <w:tcW w:type="dxa" w:w="7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bCs/>
                <w:sz w:val="20"/>
                <w:szCs w:val="20"/>
              </w:rPr>
              <w:t xml:space="preserve">RQ4c
(Time-to-event)</w:t>
            </w:r>
          </w:p>
        </w:tc>
        <w:tc>
          <w:tcPr>
            <w:tcW w:type="dxa" w:w="14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Survival Analysis</w:t>
            </w:r>
          </w:p>
        </w:tc>
        <w:tc>
          <w:tcPr>
            <w:tcW w:type="dxa" w:w="2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Cox Proportional Hazard Model; Kaplan-Meier Curves</w:t>
            </w:r>
          </w:p>
        </w:tc>
        <w:tc>
          <w:tcPr>
            <w:tcW w:type="dxa" w:w="44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Cox PHM models time-to-readmission with censoring; KM curves visualise risk stratification by quartile.</w:t>
            </w:r>
          </w:p>
        </w:tc>
      </w:tr>
    </w:tbl>
    <w:p>
      <w:pPr>
        <w:spacing w:after="0" w:before="160"/>
      </w:pPr>
    </w:p>
    <w:p>
      <w:pPr>
        <w:pStyle w:val="Heading2"/>
        <w:spacing w:after="120" w:before="240"/>
      </w:pPr>
      <w:r>
        <w:rPr>
          <w:rFonts w:ascii="Times New Roman" w:cs="Times New Roman" w:eastAsia="Times New Roman" w:hAnsi="Times New Roman"/>
          <w:b/>
          <w:bCs/>
        </w:rPr>
        <w:t xml:space="preserve">4.1.1  Classification Techniques</w:t>
      </w:r>
    </w:p>
    <w:p>
      <w:pPr>
        <w:spacing w:after="80" w:before="80"/>
        <w:jc w:val="both"/>
      </w:pPr>
      <w:r>
        <w:rPr>
          <w:rFonts w:ascii="Times New Roman" w:cs="Times New Roman" w:eastAsia="Times New Roman" w:hAnsi="Times New Roman"/>
          <w:sz w:val="24"/>
          <w:szCs w:val="24"/>
        </w:rPr>
        <w:t xml:space="preserve">Three research questions in MedSum-AI involve classification tasks: RQ1 (discriminating high-quality sentences for extractive summarisation), RQ3 (classifying generated statements as hallucinated vs. faithful), and RQ4 (predicting binary outcomes — 30-day readmission and in-hospital mortality). The following algorithms are selected.</w:t>
      </w:r>
    </w:p>
    <w:p>
      <w:pPr>
        <w:pStyle w:val="Heading3"/>
        <w:spacing w:after="80" w:before="180"/>
      </w:pPr>
      <w:r>
        <w:rPr>
          <w:rFonts w:ascii="Times New Roman" w:cs="Times New Roman" w:eastAsia="Times New Roman" w:hAnsi="Times New Roman"/>
          <w:b/>
          <w:bCs/>
        </w:rPr>
        <w:t xml:space="preserve">Random Forest</w:t>
      </w:r>
    </w:p>
    <w:p>
      <w:pPr>
        <w:spacing w:after="80" w:before="80"/>
        <w:jc w:val="both"/>
      </w:pPr>
      <w:r>
        <w:rPr>
          <w:rFonts w:ascii="Times New Roman" w:cs="Times New Roman" w:eastAsia="Times New Roman" w:hAnsi="Times New Roman"/>
          <w:sz w:val="24"/>
          <w:szCs w:val="24"/>
        </w:rPr>
        <w:t xml:space="preserve">Random Forest is an ensemble of decision trees trained on bootstrapped subsets of the data, with each split limited to a random feature subset. It is selected for RQ4 (readmission and mortality prediction) for three reasons: (1) it handles the 25 mixed-type features in the MedSum-AI feature set — continuous clinical scores alongside binary flags — without requiring distributional assumptions; (2) it implicitly performs feature selection by ranking variables on Mean Decrease in Impurity (MDI) and permutation importance; and (3) it is robust to the moderate class imbalance present in 30-day readmission data (~20% positive rate) via the class_weight='balanced' parameter. Configuration: n_estimators = 500, max_depth = None, min_samples_leaf = 5. Out-of-bag (OOB) error is used as a secondary internal validation measure.</w:t>
      </w:r>
    </w:p>
    <w:p>
      <w:pPr>
        <w:pStyle w:val="Heading3"/>
        <w:spacing w:after="80" w:before="180"/>
      </w:pPr>
      <w:r>
        <w:rPr>
          <w:rFonts w:ascii="Times New Roman" w:cs="Times New Roman" w:eastAsia="Times New Roman" w:hAnsi="Times New Roman"/>
          <w:b/>
          <w:bCs/>
        </w:rPr>
        <w:t xml:space="preserve">Support Vector Machine (SVM) — Considered and Excluded</w:t>
      </w:r>
    </w:p>
    <w:p>
      <w:pPr>
        <w:spacing w:after="80" w:before="80"/>
        <w:jc w:val="both"/>
      </w:pPr>
      <w:r>
        <w:rPr>
          <w:rFonts w:ascii="Times New Roman" w:cs="Times New Roman" w:eastAsia="Times New Roman" w:hAnsi="Times New Roman"/>
          <w:sz w:val="24"/>
          <w:szCs w:val="24"/>
        </w:rPr>
        <w:t xml:space="preserve">SVM with a Radial Basis Function (RBF) kernel was evaluated as a candidate for the binary classification tasks. Although SVM performs well in high-dimensional feature spaces and is effective for complex decision boundaries, it was excluded from the primary model suite for two reasons: (1) the feature space (25 structured features) is not high-dimensional enough to exploit SVM's primary advantage over ensemble methods; and (2) SVM does not natively produce calibrated probability estimates, which are required for the Brier Score and Hosmer-Lemeshow calibration tests central to RQ4's evaluation framework. SVM remains a potential sensitivity analysis model for future work.</w:t>
      </w:r>
    </w:p>
    <w:p>
      <w:pPr>
        <w:pStyle w:val="Heading3"/>
        <w:spacing w:after="80" w:before="180"/>
      </w:pPr>
      <w:r>
        <w:rPr>
          <w:rFonts w:ascii="Times New Roman" w:cs="Times New Roman" w:eastAsia="Times New Roman" w:hAnsi="Times New Roman"/>
          <w:b/>
          <w:bCs/>
        </w:rPr>
        <w:t xml:space="preserve">Neural Networks — Role and Scope</w:t>
      </w:r>
    </w:p>
    <w:p>
      <w:pPr>
        <w:spacing w:after="80" w:before="80"/>
        <w:jc w:val="both"/>
      </w:pPr>
      <w:r>
        <w:rPr>
          <w:rFonts w:ascii="Times New Roman" w:cs="Times New Roman" w:eastAsia="Times New Roman" w:hAnsi="Times New Roman"/>
          <w:sz w:val="24"/>
          <w:szCs w:val="24"/>
        </w:rPr>
        <w:t xml:space="preserve">Transformer-based neural networks (BERT, BioBERT, ClinicalBERT, BART) form the entire NLP Summarisation Stage (Stage 2) of the MedSum-AI pipeline. For extractive summarisation, BERT-based models perform binary sentence classification — each sentence is classified as include or exclude — using multi-layer attention architectures. BART, an encoder-decoder model, performs sequence-to-sequence abstractive generation. For the outcome prediction stage (RQ4), deep neural network classifiers are not deployed as primary models due to the limited structured feature set (25 variables) and the importance of statistical interpretability for clinical deployment. XGBoost with SHAP provides a balance between predictive power and explainability that pure neural networks cannot match on tabular data of this scale.</w:t>
      </w:r>
    </w:p>
    <w:p>
      <w:pPr>
        <w:pStyle w:val="Heading3"/>
        <w:spacing w:after="80" w:before="180"/>
      </w:pPr>
      <w:r>
        <w:rPr>
          <w:rFonts w:ascii="Times New Roman" w:cs="Times New Roman" w:eastAsia="Times New Roman" w:hAnsi="Times New Roman"/>
          <w:b/>
          <w:bCs/>
        </w:rPr>
        <w:t xml:space="preserve">Confusion Matrix and Classification Metrics</w:t>
      </w:r>
    </w:p>
    <w:p>
      <w:pPr>
        <w:spacing w:after="80" w:before="80"/>
        <w:jc w:val="both"/>
      </w:pPr>
      <w:r>
        <w:rPr>
          <w:rFonts w:ascii="Times New Roman" w:cs="Times New Roman" w:eastAsia="Times New Roman" w:hAnsi="Times New Roman"/>
          <w:sz w:val="24"/>
          <w:szCs w:val="24"/>
        </w:rPr>
        <w:t xml:space="preserve">All binary classifiers in RQ4 are evaluated using the full confusion matrix framework. From the four quantities — True Positives (TP), False Positives (FP), True Negatives (TN), and False Negatives (FN) — the following metrics are derived. Accuracy = (TP + TN) / (TP + TN + FP + FN). Precision = TP / (TP + FP). Recall (Sensitivity) = TP / (TP + FN). Specificity = TN / (TN + FP). F1 Score = 2 × (Precision × Recall) / (Precision + Recall). AUC-ROC = ∫ TPR d(FPR). Matthews Correlation Coefficient (MCC) = (TP·TN − FP·FN) / √[(TP+FP)(TP+FN)(TN+FP)(TN+FN)]. In the clinical readmission context, recall is prioritised over precision because the cost of missing a high-risk patient (False Negative) is greater than the cost of a false alarm. Table 3 consolidates all classification metrics.</w:t>
      </w:r>
    </w:p>
    <w:p>
      <w:pPr>
        <w:spacing w:after="0" w:before="80"/>
      </w:pPr>
    </w:p>
    <w:p>
      <w:pPr>
        <w:spacing w:after="100" w:before="80"/>
        <w:jc w:val="center"/>
      </w:pPr>
      <w:r>
        <w:rPr>
          <w:rFonts w:ascii="Times New Roman" w:cs="Times New Roman" w:eastAsia="Times New Roman" w:hAnsi="Times New Roman"/>
          <w:b/>
          <w:bCs/>
          <w:i/>
          <w:iCs/>
          <w:sz w:val="20"/>
          <w:szCs w:val="20"/>
        </w:rPr>
        <w:t xml:space="preserve">Table 3.  Confusion Matrix Metrics with Formulae and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1200"/>
        <w:gridCol w:w="2360"/>
      </w:tblGrid>
      <w:tr>
        <w:tc>
          <w:tcPr>
            <w:tcW w:type="dxa" w:w="1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Metric</w:t>
            </w:r>
          </w:p>
        </w:tc>
        <w:tc>
          <w:tcPr>
            <w:tcW w:type="dxa" w:w="4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Formula</w:t>
            </w:r>
          </w:p>
        </w:tc>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Threshold</w:t>
            </w:r>
          </w:p>
        </w:tc>
        <w:tc>
          <w:tcPr>
            <w:tcW w:type="dxa" w:w="2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Applied To</w:t>
            </w:r>
          </w:p>
        </w:tc>
      </w:tr>
      <w:tr>
        <w:tc>
          <w:tcPr>
            <w:tcW w:type="dxa" w:w="16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Accuracy</w:t>
            </w:r>
          </w:p>
        </w:tc>
        <w:tc>
          <w:tcPr>
            <w:tcW w:type="dxa" w:w="42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(TP + TN) / (TP + TN + FP + FN)</w:t>
            </w:r>
          </w:p>
        </w:tc>
        <w:tc>
          <w:tcPr>
            <w:tcW w:type="dxa" w:w="12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Reference only</w:t>
            </w:r>
          </w:p>
        </w:tc>
        <w:tc>
          <w:tcPr>
            <w:tcW w:type="dxa" w:w="236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All classifiers (supplementary)</w:t>
            </w:r>
          </w:p>
        </w:tc>
      </w:tr>
      <w:tr>
        <w:tc>
          <w:tcPr>
            <w:tcW w:type="dxa" w:w="1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Precision</w:t>
            </w:r>
          </w:p>
        </w:tc>
        <w:tc>
          <w:tcPr>
            <w:tcW w:type="dxa" w:w="4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TP / (TP + FP)</w:t>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w:t>
            </w:r>
          </w:p>
        </w:tc>
        <w:tc>
          <w:tcPr>
            <w:tcW w:type="dxa" w:w="23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Readmission, Mortality</w:t>
            </w:r>
          </w:p>
        </w:tc>
      </w:tr>
      <w:tr>
        <w:tc>
          <w:tcPr>
            <w:tcW w:type="dxa" w:w="16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Recall (Sensitivity)</w:t>
            </w:r>
          </w:p>
        </w:tc>
        <w:tc>
          <w:tcPr>
            <w:tcW w:type="dxa" w:w="42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TP / (TP + FN)</w:t>
            </w:r>
          </w:p>
        </w:tc>
        <w:tc>
          <w:tcPr>
            <w:tcW w:type="dxa" w:w="12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w:t>
            </w:r>
          </w:p>
        </w:tc>
        <w:tc>
          <w:tcPr>
            <w:tcW w:type="dxa" w:w="236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Readmission, Mortality</w:t>
            </w:r>
          </w:p>
        </w:tc>
      </w:tr>
      <w:tr>
        <w:tc>
          <w:tcPr>
            <w:tcW w:type="dxa" w:w="1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F1 Score</w:t>
            </w:r>
          </w:p>
        </w:tc>
        <w:tc>
          <w:tcPr>
            <w:tcW w:type="dxa" w:w="4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2 × (Precision × Recall) / (Precision + Recall)</w:t>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w:t>
            </w:r>
          </w:p>
        </w:tc>
        <w:tc>
          <w:tcPr>
            <w:tcW w:type="dxa" w:w="23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Readmission, Mortality</w:t>
            </w:r>
          </w:p>
        </w:tc>
      </w:tr>
      <w:tr>
        <w:tc>
          <w:tcPr>
            <w:tcW w:type="dxa" w:w="16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Specificity</w:t>
            </w:r>
          </w:p>
        </w:tc>
        <w:tc>
          <w:tcPr>
            <w:tcW w:type="dxa" w:w="42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TN / (TN + FP)</w:t>
            </w:r>
          </w:p>
        </w:tc>
        <w:tc>
          <w:tcPr>
            <w:tcW w:type="dxa" w:w="12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w:t>
            </w:r>
          </w:p>
        </w:tc>
        <w:tc>
          <w:tcPr>
            <w:tcW w:type="dxa" w:w="236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Readmission, Mortality</w:t>
            </w:r>
          </w:p>
        </w:tc>
      </w:tr>
      <w:tr>
        <w:tc>
          <w:tcPr>
            <w:tcW w:type="dxa" w:w="1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AUC-ROC</w:t>
            </w:r>
          </w:p>
        </w:tc>
        <w:tc>
          <w:tcPr>
            <w:tcW w:type="dxa" w:w="4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 TPR d(FPR) — area under receiver operating curve</w:t>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&gt; 0.80</w:t>
            </w:r>
          </w:p>
        </w:tc>
        <w:tc>
          <w:tcPr>
            <w:tcW w:type="dxa" w:w="23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All binary classifiers</w:t>
            </w:r>
          </w:p>
        </w:tc>
      </w:tr>
      <w:tr>
        <w:tc>
          <w:tcPr>
            <w:tcW w:type="dxa" w:w="16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Matthews CC (MCC)</w:t>
            </w:r>
          </w:p>
        </w:tc>
        <w:tc>
          <w:tcPr>
            <w:tcW w:type="dxa" w:w="42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(TP·TN − FP·FN) / √[(TP+FP)(TP+FN)(TN+FP)(TN+FN)]</w:t>
            </w:r>
          </w:p>
        </w:tc>
        <w:tc>
          <w:tcPr>
            <w:tcW w:type="dxa" w:w="12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&gt; 0.60</w:t>
            </w:r>
          </w:p>
        </w:tc>
        <w:tc>
          <w:tcPr>
            <w:tcW w:type="dxa" w:w="236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Imbalanced classes</w:t>
            </w:r>
          </w:p>
        </w:tc>
      </w:tr>
    </w:tbl>
    <w:p>
      <w:pPr>
        <w:spacing w:after="0" w:before="160"/>
      </w:pPr>
    </w:p>
    <w:p>
      <w:pPr>
        <w:pStyle w:val="Heading3"/>
        <w:spacing w:after="80" w:before="180"/>
      </w:pPr>
      <w:r>
        <w:rPr>
          <w:rFonts w:ascii="Times New Roman" w:cs="Times New Roman" w:eastAsia="Times New Roman" w:hAnsi="Times New Roman"/>
          <w:b/>
          <w:bCs/>
        </w:rPr>
        <w:t xml:space="preserve">Cross-Validation</w:t>
      </w:r>
    </w:p>
    <w:p>
      <w:pPr>
        <w:spacing w:after="80" w:before="80"/>
        <w:jc w:val="both"/>
      </w:pPr>
      <w:r>
        <w:rPr>
          <w:rFonts w:ascii="Times New Roman" w:cs="Times New Roman" w:eastAsia="Times New Roman" w:hAnsi="Times New Roman"/>
          <w:sz w:val="24"/>
          <w:szCs w:val="24"/>
        </w:rPr>
        <w:t xml:space="preserve">All classification models (Logistic Regression, Random Forest, XGBoost) use stratified 10-fold cross-validation to ensure each fold preserves the ~20% positive class ratio for readmission. Stratification is critical here: unstratified folds on an imbalanced outcome would produce artificially optimistic training sets. In each of the 10 folds, the model is trained on 9 sub-folds and validated on the held-out fold; the process repeats 10 times so every sample serves as a validation point exactly once. Mean AUC-ROC and standard deviation across folds are reported. For RQ1 NLP model comparison, the same 70/15/15 split is applied identically across all four models to ensure comparability.</w:t>
      </w:r>
    </w:p>
    <w:p>
      <w:pPr>
        <w:pStyle w:val="Heading3"/>
        <w:spacing w:after="80" w:before="180"/>
      </w:pPr>
      <w:r>
        <w:rPr>
          <w:rFonts w:ascii="Times New Roman" w:cs="Times New Roman" w:eastAsia="Times New Roman" w:hAnsi="Times New Roman"/>
          <w:b/>
          <w:bCs/>
        </w:rPr>
        <w:t xml:space="preserve">Statistical Significance Testing for Classifiers</w:t>
      </w:r>
    </w:p>
    <w:p>
      <w:pPr>
        <w:spacing w:after="80" w:before="80"/>
        <w:jc w:val="both"/>
      </w:pPr>
      <w:r>
        <w:rPr>
          <w:rFonts w:ascii="Times New Roman" w:cs="Times New Roman" w:eastAsia="Times New Roman" w:hAnsi="Times New Roman"/>
          <w:sz w:val="24"/>
          <w:szCs w:val="24"/>
        </w:rPr>
        <w:t xml:space="preserve">McNemar's test is used in RQ3 to compare hallucination rates before and after applying each mitigation strategy (paired binary proportions). For RQ4, the DeLong test (non-parametric) compares AUC-ROC curves between classifier pairs on the same test set to determine whether observed performance differences are statistically significant at α = 0.05. This is preferred over a simple t-test because AUC estimates from the same test set are correlated.</w:t>
      </w:r>
    </w:p>
    <w:p>
      <w:pPr>
        <w:pStyle w:val="Heading2"/>
        <w:spacing w:after="120" w:before="240"/>
      </w:pPr>
      <w:r>
        <w:rPr>
          <w:rFonts w:ascii="Times New Roman" w:cs="Times New Roman" w:eastAsia="Times New Roman" w:hAnsi="Times New Roman"/>
          <w:b/>
          <w:bCs/>
        </w:rPr>
        <w:t xml:space="preserve">4.1.2  Regression Techniques</w:t>
      </w:r>
    </w:p>
    <w:p>
      <w:pPr>
        <w:spacing w:after="80" w:before="80"/>
        <w:jc w:val="both"/>
      </w:pPr>
      <w:r>
        <w:rPr>
          <w:rFonts w:ascii="Times New Roman" w:cs="Times New Roman" w:eastAsia="Times New Roman" w:hAnsi="Times New Roman"/>
          <w:sz w:val="24"/>
          <w:szCs w:val="24"/>
        </w:rPr>
        <w:t xml:space="preserve">RQ4b requires prediction of Length of Stay (LOS) as a continuous outcome, making regression the appropriate technique class.</w:t>
      </w:r>
    </w:p>
    <w:p>
      <w:pPr>
        <w:pStyle w:val="Heading3"/>
        <w:spacing w:after="80" w:before="180"/>
      </w:pPr>
      <w:r>
        <w:rPr>
          <w:rFonts w:ascii="Times New Roman" w:cs="Times New Roman" w:eastAsia="Times New Roman" w:hAnsi="Times New Roman"/>
          <w:b/>
          <w:bCs/>
        </w:rPr>
        <w:t xml:space="preserve">Linear Regression (OLS)</w:t>
      </w:r>
    </w:p>
    <w:p>
      <w:pPr>
        <w:spacing w:after="80" w:before="80"/>
        <w:jc w:val="both"/>
      </w:pPr>
      <w:r>
        <w:rPr>
          <w:rFonts w:ascii="Times New Roman" w:cs="Times New Roman" w:eastAsia="Times New Roman" w:hAnsi="Times New Roman"/>
          <w:sz w:val="24"/>
          <w:szCs w:val="24"/>
        </w:rPr>
        <w:t xml:space="preserve">Ordinary Least Squares linear regression is used as the interpretable baseline for LOS prediction. OLS estimates the linear relationship between the 25 feature predictors and continuous LOS (days). Heteroscedasticity-robust standard errors (HC3) are applied because clinical LOS data frequently exhibit non-constant variance across the range of stay durations. Outputs include coefficient estimates with 95% CIs, standardised beta coefficients for effect size comparison, and overall model fit via Adjusted R². Assumptions are verified using the tests catalogued in Table 4.</w:t>
      </w:r>
    </w:p>
    <w:p>
      <w:pPr>
        <w:pStyle w:val="Heading3"/>
        <w:spacing w:after="80" w:before="180"/>
      </w:pPr>
      <w:r>
        <w:rPr>
          <w:rFonts w:ascii="Times New Roman" w:cs="Times New Roman" w:eastAsia="Times New Roman" w:hAnsi="Times New Roman"/>
          <w:b/>
          <w:bCs/>
        </w:rPr>
        <w:t xml:space="preserve">XGBoost Regressor</w:t>
      </w:r>
    </w:p>
    <w:p>
      <w:pPr>
        <w:spacing w:after="80" w:before="80"/>
        <w:jc w:val="both"/>
      </w:pPr>
      <w:r>
        <w:rPr>
          <w:rFonts w:ascii="Times New Roman" w:cs="Times New Roman" w:eastAsia="Times New Roman" w:hAnsi="Times New Roman"/>
          <w:sz w:val="24"/>
          <w:szCs w:val="24"/>
        </w:rPr>
        <w:t xml:space="preserve">XGBoost in regression mode (objective = reg:squarederror) is used alongside OLS to capture non-linear relationships between features and LOS that a linear model cannot represent. The same hyperparameter configuration used for classification (max_depth = 6, learning_rate = 0.05, n_estimators = 300, Bayesian optimisation) is adapted for regression. RMSE is the primary evaluation metric: RMSE = √[(1/N) Σ (ŷᵢ − yᵢ)²], with a target of RMSE &lt; 3.0 days. Mean Absolute Error (MAE) is reported as a supplementary metric for interpretability.</w:t>
      </w:r>
    </w:p>
    <w:p>
      <w:pPr>
        <w:pStyle w:val="Heading3"/>
        <w:spacing w:after="80" w:before="180"/>
      </w:pPr>
      <w:r>
        <w:rPr>
          <w:rFonts w:ascii="Times New Roman" w:cs="Times New Roman" w:eastAsia="Times New Roman" w:hAnsi="Times New Roman"/>
          <w:b/>
          <w:bCs/>
        </w:rPr>
        <w:t xml:space="preserve">Decision Trees — Role in the Pipeline</w:t>
      </w:r>
    </w:p>
    <w:p>
      <w:pPr>
        <w:spacing w:after="80" w:before="80"/>
        <w:jc w:val="both"/>
      </w:pPr>
      <w:r>
        <w:rPr>
          <w:rFonts w:ascii="Times New Roman" w:cs="Times New Roman" w:eastAsia="Times New Roman" w:hAnsi="Times New Roman"/>
          <w:sz w:val="24"/>
          <w:szCs w:val="24"/>
        </w:rPr>
        <w:t xml:space="preserve">Individual decision trees form the base learners within both Random Forest and XGBoost. They are not deployed as standalone models because single trees overfit clinical data, are sensitive to noise in sparse feature subsets, and produce unstable predictions across similar patient profiles. The ensemble wrappers (bagging in RF; boosting in XGBoost) correct these weaknesses while retaining the tree's ability to model non-linear, non-additive relationships.</w:t>
      </w:r>
    </w:p>
    <w:p>
      <w:pPr>
        <w:pStyle w:val="Heading3"/>
        <w:spacing w:after="80" w:before="180"/>
      </w:pPr>
      <w:r>
        <w:rPr>
          <w:rFonts w:ascii="Times New Roman" w:cs="Times New Roman" w:eastAsia="Times New Roman" w:hAnsi="Times New Roman"/>
          <w:b/>
          <w:bCs/>
        </w:rPr>
        <w:t xml:space="preserve">Regression Diagnostics</w:t>
      </w:r>
    </w:p>
    <w:p>
      <w:pPr>
        <w:spacing w:after="80" w:before="80"/>
        <w:jc w:val="both"/>
      </w:pPr>
      <w:r>
        <w:rPr>
          <w:rFonts w:ascii="Times New Roman" w:cs="Times New Roman" w:eastAsia="Times New Roman" w:hAnsi="Times New Roman"/>
          <w:sz w:val="24"/>
          <w:szCs w:val="24"/>
        </w:rPr>
        <w:t xml:space="preserve">Four assumption tests are applied to the OLS LOS model. Residual normality is tested using the Shapiro-Wilk test on model residuals (p &gt; 0.05 = normality holds). Homoscedasticity is tested using the Breusch-Pagan test and visual residual-versus-fitted plots (p &gt; 0.05 = constant variance). Multicollinearity is assessed via Variance Inflation Factor for each predictor (VIF &lt; 10 required for all 25 variables). Autocorrelation is assessed via the Durbin-Watson statistic (DW ≈ 2.0 = no autocorrelation). Adjusted R² is used rather than R² when comparing models with different numbers of predictors, as it penalises the inclusion of non-contributory variables.</w:t>
      </w:r>
    </w:p>
    <w:p>
      <w:pPr>
        <w:spacing w:after="0" w:before="80"/>
      </w:pPr>
    </w:p>
    <w:p>
      <w:pPr>
        <w:spacing w:after="100" w:before="80"/>
        <w:jc w:val="center"/>
      </w:pPr>
      <w:r>
        <w:rPr>
          <w:rFonts w:ascii="Times New Roman" w:cs="Times New Roman" w:eastAsia="Times New Roman" w:hAnsi="Times New Roman"/>
          <w:b/>
          <w:bCs/>
          <w:i/>
          <w:iCs/>
          <w:sz w:val="20"/>
          <w:szCs w:val="20"/>
        </w:rPr>
        <w:t xml:space="preserve">Table 4.  Regression Diagnostics — Tests, Decision Rules, and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Check</w:t>
            </w:r>
          </w:p>
        </w:tc>
        <w:tc>
          <w:tcPr>
            <w:tcW w:type="dxa" w:w="2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Test / Method</w:t>
            </w:r>
          </w:p>
        </w:tc>
        <w:tc>
          <w:tcPr>
            <w:tcW w:type="dxa" w:w="2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Decision Rule</w:t>
            </w:r>
          </w:p>
        </w:tc>
        <w:tc>
          <w:tcPr>
            <w:tcW w:type="dxa" w:w="2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Applied In</w:t>
            </w:r>
          </w:p>
        </w:tc>
      </w:tr>
      <w:tr>
        <w:tc>
          <w:tcPr>
            <w:tcW w:type="dxa" w:w="20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Residual Normality</w:t>
            </w:r>
          </w:p>
        </w:tc>
        <w:tc>
          <w:tcPr>
            <w:tcW w:type="dxa" w:w="25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Shapiro-Wilk test on OLS residuals</w:t>
            </w:r>
          </w:p>
        </w:tc>
        <w:tc>
          <w:tcPr>
            <w:tcW w:type="dxa" w:w="25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p &gt; 0.05 → normality assumption holds</w:t>
            </w:r>
          </w:p>
        </w:tc>
        <w:tc>
          <w:tcPr>
            <w:tcW w:type="dxa" w:w="236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Linear Regression (LOS)</w:t>
            </w:r>
          </w:p>
        </w:tc>
      </w:tr>
      <w:tr>
        <w:tc>
          <w:tcPr>
            <w:tcW w:type="dxa" w:w="2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Homoscedasticity</w:t>
            </w:r>
          </w:p>
        </w:tc>
        <w:tc>
          <w:tcPr>
            <w:tcW w:type="dxa" w:w="2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Breusch-Pagan test; residual vs. fitted plot</w:t>
            </w:r>
          </w:p>
        </w:tc>
        <w:tc>
          <w:tcPr>
            <w:tcW w:type="dxa" w:w="2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p &gt; 0.05 → constant variance</w:t>
            </w:r>
          </w:p>
        </w:tc>
        <w:tc>
          <w:tcPr>
            <w:tcW w:type="dxa" w:w="23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Linear Regression (LOS)</w:t>
            </w:r>
          </w:p>
        </w:tc>
      </w:tr>
      <w:tr>
        <w:tc>
          <w:tcPr>
            <w:tcW w:type="dxa" w:w="20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Multicollinearity</w:t>
            </w:r>
          </w:p>
        </w:tc>
        <w:tc>
          <w:tcPr>
            <w:tcW w:type="dxa" w:w="25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Variance Inflation Factor (VIF)</w:t>
            </w:r>
          </w:p>
        </w:tc>
        <w:tc>
          <w:tcPr>
            <w:tcW w:type="dxa" w:w="25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VIF &lt; 10 for all predictors</w:t>
            </w:r>
          </w:p>
        </w:tc>
        <w:tc>
          <w:tcPr>
            <w:tcW w:type="dxa" w:w="236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LR, OLS, Cox PHM</w:t>
            </w:r>
          </w:p>
        </w:tc>
      </w:tr>
      <w:tr>
        <w:tc>
          <w:tcPr>
            <w:tcW w:type="dxa" w:w="2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Log-Odds Linearity</w:t>
            </w:r>
          </w:p>
        </w:tc>
        <w:tc>
          <w:tcPr>
            <w:tcW w:type="dxa" w:w="2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Box-Tidwell test</w:t>
            </w:r>
          </w:p>
        </w:tc>
        <w:tc>
          <w:tcPr>
            <w:tcW w:type="dxa" w:w="2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p &gt; 0.05 → linear log-odds assumption</w:t>
            </w:r>
          </w:p>
        </w:tc>
        <w:tc>
          <w:tcPr>
            <w:tcW w:type="dxa" w:w="23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Logistic Regression</w:t>
            </w:r>
          </w:p>
        </w:tc>
      </w:tr>
      <w:tr>
        <w:tc>
          <w:tcPr>
            <w:tcW w:type="dxa" w:w="20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Autocorrelation</w:t>
            </w:r>
          </w:p>
        </w:tc>
        <w:tc>
          <w:tcPr>
            <w:tcW w:type="dxa" w:w="25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Durbin-Watson statistic</w:t>
            </w:r>
          </w:p>
        </w:tc>
        <w:tc>
          <w:tcPr>
            <w:tcW w:type="dxa" w:w="25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DW ≈ 2.0 → no autocorrelation</w:t>
            </w:r>
          </w:p>
        </w:tc>
        <w:tc>
          <w:tcPr>
            <w:tcW w:type="dxa" w:w="236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Linear Regression (LOS)</w:t>
            </w:r>
          </w:p>
        </w:tc>
      </w:tr>
      <w:tr>
        <w:tc>
          <w:tcPr>
            <w:tcW w:type="dxa" w:w="2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Proportional Hazards</w:t>
            </w:r>
          </w:p>
        </w:tc>
        <w:tc>
          <w:tcPr>
            <w:tcW w:type="dxa" w:w="2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Schoenfeld residuals; scaled residual plots</w:t>
            </w:r>
          </w:p>
        </w:tc>
        <w:tc>
          <w:tcPr>
            <w:tcW w:type="dxa" w:w="2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No significant time-covariate interaction</w:t>
            </w:r>
          </w:p>
        </w:tc>
        <w:tc>
          <w:tcPr>
            <w:tcW w:type="dxa" w:w="23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Cox PHM</w:t>
            </w:r>
          </w:p>
        </w:tc>
      </w:tr>
      <w:tr>
        <w:tc>
          <w:tcPr>
            <w:tcW w:type="dxa" w:w="20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Adjusted R²</w:t>
            </w:r>
          </w:p>
        </w:tc>
        <w:tc>
          <w:tcPr>
            <w:tcW w:type="dxa" w:w="25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1 − [(1−R²)(n−1)/(n−p−1)]</w:t>
            </w:r>
          </w:p>
        </w:tc>
        <w:tc>
          <w:tcPr>
            <w:tcW w:type="dxa" w:w="25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Penalises added predictors; higher = better fit</w:t>
            </w:r>
          </w:p>
        </w:tc>
        <w:tc>
          <w:tcPr>
            <w:tcW w:type="dxa" w:w="236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Multiple Regression (LOS)</w:t>
            </w:r>
          </w:p>
        </w:tc>
      </w:tr>
    </w:tbl>
    <w:p>
      <w:pPr>
        <w:spacing w:after="0" w:before="160"/>
      </w:pPr>
    </w:p>
    <w:p>
      <w:pPr>
        <w:pStyle w:val="Heading2"/>
        <w:spacing w:after="120" w:before="240"/>
      </w:pPr>
      <w:r>
        <w:rPr>
          <w:rFonts w:ascii="Times New Roman" w:cs="Times New Roman" w:eastAsia="Times New Roman" w:hAnsi="Times New Roman"/>
          <w:b/>
          <w:bCs/>
        </w:rPr>
        <w:t xml:space="preserve">4.1.3  Survival Analysis Techniques</w:t>
      </w:r>
    </w:p>
    <w:p>
      <w:pPr>
        <w:spacing w:after="80" w:before="80"/>
        <w:jc w:val="both"/>
      </w:pPr>
      <w:r>
        <w:rPr>
          <w:rFonts w:ascii="Times New Roman" w:cs="Times New Roman" w:eastAsia="Times New Roman" w:hAnsi="Times New Roman"/>
          <w:sz w:val="24"/>
          <w:szCs w:val="24"/>
        </w:rPr>
        <w:t xml:space="preserve">RQ4c requires modelling time-to-readmission and LOS as time-to-event outcomes, which introduces the challenge of censoring: some patients are discharged, transferred, or lost to follow-up before the event is observed. Standard regression cannot handle censored observations. Survival analysis methods are the appropriate solution.</w:t>
      </w:r>
    </w:p>
    <w:p>
      <w:pPr>
        <w:pStyle w:val="Heading3"/>
        <w:spacing w:after="80" w:before="180"/>
      </w:pPr>
      <w:r>
        <w:rPr>
          <w:rFonts w:ascii="Times New Roman" w:cs="Times New Roman" w:eastAsia="Times New Roman" w:hAnsi="Times New Roman"/>
          <w:b/>
          <w:bCs/>
        </w:rPr>
        <w:t xml:space="preserve">Cox Proportional Hazard Model</w:t>
      </w:r>
    </w:p>
    <w:p>
      <w:pPr>
        <w:spacing w:after="80" w:before="80"/>
        <w:jc w:val="both"/>
      </w:pPr>
      <w:r>
        <w:rPr>
          <w:rFonts w:ascii="Times New Roman" w:cs="Times New Roman" w:eastAsia="Times New Roman" w:hAnsi="Times New Roman"/>
          <w:sz w:val="24"/>
          <w:szCs w:val="24"/>
        </w:rPr>
        <w:t xml:space="preserve">The Cox PHM (Cox, 1972) is selected as the primary survival model. It estimates the hazard ratio (HR) for each predictor — the multiplicative change in instantaneous readmission risk per one-unit increase in that predictor — without assuming a specific parametric form for the baseline hazard function (estimated using the Breslow estimator). With 25 predictors and over 3,000 readmission events in CASIA-CXR, the events-per-variable (EPV) ratio exceeds 120, far above the minimum EPV of 10, ensuring stable coefficient estimates. Outputs include hazard ratios with 95% CIs, Wald test p-values for each predictor, global model fit via the log-likelihood ratio test, and the concordance statistic (C-statistic; target &gt; 0.75).</w:t>
      </w:r>
    </w:p>
    <w:p>
      <w:pPr>
        <w:pStyle w:val="Heading3"/>
        <w:spacing w:after="80" w:before="180"/>
      </w:pPr>
      <w:r>
        <w:rPr>
          <w:rFonts w:ascii="Times New Roman" w:cs="Times New Roman" w:eastAsia="Times New Roman" w:hAnsi="Times New Roman"/>
          <w:b/>
          <w:bCs/>
        </w:rPr>
        <w:t xml:space="preserve">Kaplan-Meier Curves</w:t>
      </w:r>
    </w:p>
    <w:p>
      <w:pPr>
        <w:spacing w:after="80" w:before="80"/>
        <w:jc w:val="both"/>
      </w:pPr>
      <w:r>
        <w:rPr>
          <w:rFonts w:ascii="Times New Roman" w:cs="Times New Roman" w:eastAsia="Times New Roman" w:hAnsi="Times New Roman"/>
          <w:sz w:val="24"/>
          <w:szCs w:val="24"/>
        </w:rPr>
        <w:t xml:space="preserve">Kaplan-Meier (KM) survival curves are used as a descriptive complement to the Cox PHM. Patients are stratified into four risk quartiles based on their predicted Cox risk score. KM curves for each quartile visualise the cumulative probability of remaining readmission-free over time, providing a clinically interpretable presentation of the model's risk stratification. The log-rank test formally compares the survival distributions across the four quartiles.</w:t>
      </w:r>
    </w:p>
    <w:p>
      <w:pPr>
        <w:pStyle w:val="Heading3"/>
        <w:spacing w:after="80" w:before="180"/>
      </w:pPr>
      <w:r>
        <w:rPr>
          <w:rFonts w:ascii="Times New Roman" w:cs="Times New Roman" w:eastAsia="Times New Roman" w:hAnsi="Times New Roman"/>
          <w:b/>
          <w:bCs/>
        </w:rPr>
        <w:t xml:space="preserve">Proportional Hazards Assumption</w:t>
      </w:r>
    </w:p>
    <w:p>
      <w:pPr>
        <w:spacing w:after="80" w:before="80"/>
        <w:jc w:val="both"/>
      </w:pPr>
      <w:r>
        <w:rPr>
          <w:rFonts w:ascii="Times New Roman" w:cs="Times New Roman" w:eastAsia="Times New Roman" w:hAnsi="Times New Roman"/>
          <w:sz w:val="24"/>
          <w:szCs w:val="24"/>
        </w:rPr>
        <w:t xml:space="preserve">The Cox model's core assumption — that the hazard ratio for any predictor is constant over time — is verified using Schoenfeld residuals. A significant correlation between scaled Schoenfeld residuals and time indicates violation of the proportional hazards assumption for that variable, in which case time-varying coefficient extensions or stratified Cox models will be applied.</w:t>
      </w:r>
    </w:p>
    <w:p>
      <w:pPr>
        <w:pStyle w:val="Heading3"/>
        <w:spacing w:after="80" w:before="180"/>
      </w:pPr>
      <w:r>
        <w:rPr>
          <w:rFonts w:ascii="Times New Roman" w:cs="Times New Roman" w:eastAsia="Times New Roman" w:hAnsi="Times New Roman"/>
          <w:b/>
          <w:bCs/>
        </w:rPr>
        <w:t xml:space="preserve">Silhouette Score, Elbow Method, and Cluster Validity — Not Applicable</w:t>
      </w:r>
    </w:p>
    <w:p>
      <w:pPr>
        <w:spacing w:after="80" w:before="80"/>
        <w:jc w:val="both"/>
      </w:pPr>
      <w:r>
        <w:rPr>
          <w:rFonts w:ascii="Times New Roman" w:cs="Times New Roman" w:eastAsia="Times New Roman" w:hAnsi="Times New Roman"/>
          <w:sz w:val="24"/>
          <w:szCs w:val="24"/>
        </w:rPr>
        <w:t xml:space="preserve">The Step 4 course framework also covers unsupervised learning techniques including K-Means clustering, Principal Component Analysis (PCA), Silhouette Score, and the Elbow Method. These are not applied in MedSum-AI because all research questions involve supervised prediction tasks with well-defined outcome labels (readmission, LOS, mortality, ROUGE scores, hallucination flags). PCA is not used for dimensionality reduction because the feature set is compact (25 variables), all features have clinical interpretability requirements, and SHAP is the preferred explainability tool — both of which are undermined by PCA transformation. These techniques remain available as future sensitivity analyses.</w:t>
      </w:r>
    </w:p>
    <w:p>
      <w:pPr>
        <w:pBdr>
          <w:bottom w:val="single" w:color="2E75B6" w:sz="4" w:space="1"/>
        </w:pBdr>
        <w:spacing w:after="160" w:before="160"/>
      </w:pPr>
    </w:p>
    <w:p>
      <w:pPr>
        <w:pStyle w:val="Heading1"/>
        <w:spacing w:after="160" w:before="320"/>
      </w:pPr>
      <w:r>
        <w:rPr>
          <w:rFonts w:ascii="Times New Roman" w:cs="Times New Roman" w:eastAsia="Times New Roman" w:hAnsi="Times New Roman"/>
          <w:b/>
          <w:bCs/>
        </w:rPr>
        <w:t xml:space="preserve">4.2  Statistical Methods in Research Design</w:t>
      </w:r>
    </w:p>
    <w:p>
      <w:pPr>
        <w:spacing w:after="80" w:before="80"/>
        <w:jc w:val="both"/>
      </w:pPr>
      <w:r>
        <w:rPr>
          <w:rFonts w:ascii="Times New Roman" w:cs="Times New Roman" w:eastAsia="Times New Roman" w:hAnsi="Times New Roman"/>
          <w:sz w:val="24"/>
          <w:szCs w:val="24"/>
        </w:rPr>
        <w:t xml:space="preserve">Statistical rigour underpins every phase of MedSum-AI. The methods below are chosen to match the data type, distributional characteristics, and hypothesis structure of each research question. Table 2 provides the full mapping; the sub-sections below explain the rationale.</w:t>
      </w:r>
    </w:p>
    <w:p>
      <w:pPr>
        <w:spacing w:after="0" w:before="80"/>
      </w:pPr>
    </w:p>
    <w:p>
      <w:pPr>
        <w:spacing w:after="100" w:before="80"/>
        <w:jc w:val="center"/>
      </w:pPr>
      <w:r>
        <w:rPr>
          <w:rFonts w:ascii="Times New Roman" w:cs="Times New Roman" w:eastAsia="Times New Roman" w:hAnsi="Times New Roman"/>
          <w:b/>
          <w:bCs/>
          <w:i/>
          <w:iCs/>
          <w:sz w:val="20"/>
          <w:szCs w:val="20"/>
        </w:rPr>
        <w:t xml:space="preserve">Table 2.  Statistical Methods by Research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1600"/>
        <w:gridCol w:w="4860"/>
      </w:tblGrid>
      <w:tr>
        <w:tc>
          <w:tcPr>
            <w:tcW w:type="dxa" w:w="7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RQ</w:t>
            </w:r>
          </w:p>
        </w:tc>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Statistical Method</w:t>
            </w:r>
          </w:p>
        </w:tc>
        <w:tc>
          <w:tcPr>
            <w:tcW w:type="dxa" w:w="1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Type</w:t>
            </w:r>
          </w:p>
        </w:tc>
        <w:tc>
          <w:tcPr>
            <w:tcW w:type="dxa" w:w="48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Purpose &amp; Parameters</w:t>
            </w:r>
          </w:p>
        </w:tc>
      </w:tr>
      <w:tr>
        <w:tc>
          <w:tcPr>
            <w:tcW w:type="dxa" w:w="7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bCs/>
                <w:sz w:val="20"/>
                <w:szCs w:val="20"/>
              </w:rPr>
              <w:t xml:space="preserve">RQ1</w:t>
            </w:r>
          </w:p>
        </w:tc>
        <w:tc>
          <w:tcPr>
            <w:tcW w:type="dxa" w:w="22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One-Way ANOVA</w:t>
            </w:r>
          </w:p>
        </w:tc>
        <w:tc>
          <w:tcPr>
            <w:tcW w:type="dxa" w:w="16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Inferential — Parametric</w:t>
            </w:r>
          </w:p>
        </w:tc>
        <w:tc>
          <w:tcPr>
            <w:tcW w:type="dxa" w:w="486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Compare mean ROUGE-L scores across 4 model groups. α = 0.05; effect size η².</w:t>
            </w:r>
          </w:p>
        </w:tc>
      </w:tr>
      <w:tr>
        <w:tc>
          <w:tcPr>
            <w:tcW w:type="dxa" w:w="7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RQ1</w:t>
            </w:r>
          </w:p>
        </w:tc>
        <w:tc>
          <w:tcPr>
            <w:tcW w:type="dxa" w:w="2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Tukey HSD Post-Hoc</w:t>
            </w:r>
          </w:p>
        </w:tc>
        <w:tc>
          <w:tcPr>
            <w:tcW w:type="dxa" w:w="1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Multiple Comparison</w:t>
            </w:r>
          </w:p>
        </w:tc>
        <w:tc>
          <w:tcPr>
            <w:tcW w:type="dxa" w:w="48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Identify which model pairs differ significantly after ANOVA rejection of H₀.</w:t>
            </w:r>
          </w:p>
        </w:tc>
      </w:tr>
      <w:tr>
        <w:tc>
          <w:tcPr>
            <w:tcW w:type="dxa" w:w="7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RQ1</w:t>
            </w:r>
          </w:p>
        </w:tc>
        <w:tc>
          <w:tcPr>
            <w:tcW w:type="dxa" w:w="22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Bootstrapped 95% CI</w:t>
            </w:r>
          </w:p>
        </w:tc>
        <w:tc>
          <w:tcPr>
            <w:tcW w:type="dxa" w:w="16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Resampling (B = 1,000)</w:t>
            </w:r>
          </w:p>
        </w:tc>
        <w:tc>
          <w:tcPr>
            <w:tcW w:type="dxa" w:w="486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Robust uncertainty bounds on all ROUGE and BERTScore point estimates.</w:t>
            </w:r>
          </w:p>
        </w:tc>
      </w:tr>
      <w:tr>
        <w:tc>
          <w:tcPr>
            <w:tcW w:type="dxa" w:w="7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RQ1</w:t>
            </w:r>
          </w:p>
        </w:tc>
        <w:tc>
          <w:tcPr>
            <w:tcW w:type="dxa" w:w="2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Eta-squared (η²)</w:t>
            </w:r>
          </w:p>
        </w:tc>
        <w:tc>
          <w:tcPr>
            <w:tcW w:type="dxa" w:w="1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Effect Size</w:t>
            </w:r>
          </w:p>
        </w:tc>
        <w:tc>
          <w:tcPr>
            <w:tcW w:type="dxa" w:w="48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Quantify practical significance beyond p-value for ANOVA result.</w:t>
            </w:r>
          </w:p>
        </w:tc>
      </w:tr>
      <w:tr>
        <w:tc>
          <w:tcPr>
            <w:tcW w:type="dxa" w:w="7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RQ2</w:t>
            </w:r>
          </w:p>
        </w:tc>
        <w:tc>
          <w:tcPr>
            <w:tcW w:type="dxa" w:w="22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Kruskal-Wallis H-Test</w:t>
            </w:r>
          </w:p>
        </w:tc>
        <w:tc>
          <w:tcPr>
            <w:tcW w:type="dxa" w:w="16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Inferential — Non-Parametric</w:t>
            </w:r>
          </w:p>
        </w:tc>
        <w:tc>
          <w:tcPr>
            <w:tcW w:type="dxa" w:w="486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Compare ordinal rubric score distributions across model groups.</w:t>
            </w:r>
          </w:p>
        </w:tc>
      </w:tr>
      <w:tr>
        <w:tc>
          <w:tcPr>
            <w:tcW w:type="dxa" w:w="7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RQ2</w:t>
            </w:r>
          </w:p>
        </w:tc>
        <w:tc>
          <w:tcPr>
            <w:tcW w:type="dxa" w:w="2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Dunn's Post-Hoc Test</w:t>
            </w:r>
          </w:p>
        </w:tc>
        <w:tc>
          <w:tcPr>
            <w:tcW w:type="dxa" w:w="1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Multiple Comparison</w:t>
            </w:r>
          </w:p>
        </w:tc>
        <w:tc>
          <w:tcPr>
            <w:tcW w:type="dxa" w:w="48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Pairwise model quality differences following Kruskal-Wallis.</w:t>
            </w:r>
          </w:p>
        </w:tc>
      </w:tr>
      <w:tr>
        <w:tc>
          <w:tcPr>
            <w:tcW w:type="dxa" w:w="7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RQ2</w:t>
            </w:r>
          </w:p>
        </w:tc>
        <w:tc>
          <w:tcPr>
            <w:tcW w:type="dxa" w:w="22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Intraclass Correlation (ICC)</w:t>
            </w:r>
          </w:p>
        </w:tc>
        <w:tc>
          <w:tcPr>
            <w:tcW w:type="dxa" w:w="16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Reliability Analysis</w:t>
            </w:r>
          </w:p>
        </w:tc>
        <w:tc>
          <w:tcPr>
            <w:tcW w:type="dxa" w:w="486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Two-way mixed model; ICC &gt; 0.75 = good reliability among 3 raters.</w:t>
            </w:r>
          </w:p>
        </w:tc>
      </w:tr>
      <w:tr>
        <w:tc>
          <w:tcPr>
            <w:tcW w:type="dxa" w:w="7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RQ3</w:t>
            </w:r>
          </w:p>
        </w:tc>
        <w:tc>
          <w:tcPr>
            <w:tcW w:type="dxa" w:w="2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McNemar's Test</w:t>
            </w:r>
          </w:p>
        </w:tc>
        <w:tc>
          <w:tcPr>
            <w:tcW w:type="dxa" w:w="1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Paired Proportions</w:t>
            </w:r>
          </w:p>
        </w:tc>
        <w:tc>
          <w:tcPr>
            <w:tcW w:type="dxa" w:w="48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Before/after hallucination rate comparison for each mitigation strategy.</w:t>
            </w:r>
          </w:p>
        </w:tc>
      </w:tr>
      <w:tr>
        <w:tc>
          <w:tcPr>
            <w:tcW w:type="dxa" w:w="7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RQ3</w:t>
            </w:r>
          </w:p>
        </w:tc>
        <w:tc>
          <w:tcPr>
            <w:tcW w:type="dxa" w:w="22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Cohen's Kappa</w:t>
            </w:r>
          </w:p>
        </w:tc>
        <w:tc>
          <w:tcPr>
            <w:tcW w:type="dxa" w:w="16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Agreement Statistic</w:t>
            </w:r>
          </w:p>
        </w:tc>
        <w:tc>
          <w:tcPr>
            <w:tcW w:type="dxa" w:w="486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Inter-annotator agreement on manual hallucination labelling; κ &gt; 0.70 target.</w:t>
            </w:r>
          </w:p>
        </w:tc>
      </w:tr>
      <w:tr>
        <w:tc>
          <w:tcPr>
            <w:tcW w:type="dxa" w:w="7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RQ4</w:t>
            </w:r>
          </w:p>
        </w:tc>
        <w:tc>
          <w:tcPr>
            <w:tcW w:type="dxa" w:w="2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Hosmer-Lemeshow Test</w:t>
            </w:r>
          </w:p>
        </w:tc>
        <w:tc>
          <w:tcPr>
            <w:tcW w:type="dxa" w:w="1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Goodness-of-Fit</w:t>
            </w:r>
          </w:p>
        </w:tc>
        <w:tc>
          <w:tcPr>
            <w:tcW w:type="dxa" w:w="48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Calibration test for binary classifiers (readmission, mortality); p &gt; 0.05 = good fit.</w:t>
            </w:r>
          </w:p>
        </w:tc>
      </w:tr>
      <w:tr>
        <w:tc>
          <w:tcPr>
            <w:tcW w:type="dxa" w:w="7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RQ4</w:t>
            </w:r>
          </w:p>
        </w:tc>
        <w:tc>
          <w:tcPr>
            <w:tcW w:type="dxa" w:w="22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DeLong Test</w:t>
            </w:r>
          </w:p>
        </w:tc>
        <w:tc>
          <w:tcPr>
            <w:tcW w:type="dxa" w:w="16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AUC Comparison</w:t>
            </w:r>
          </w:p>
        </w:tc>
        <w:tc>
          <w:tcPr>
            <w:tcW w:type="dxa" w:w="486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Statistical comparison of AUC-ROC curves across classifiers.</w:t>
            </w:r>
          </w:p>
        </w:tc>
      </w:tr>
      <w:tr>
        <w:tc>
          <w:tcPr>
            <w:tcW w:type="dxa" w:w="7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RQ4</w:t>
            </w:r>
          </w:p>
        </w:tc>
        <w:tc>
          <w:tcPr>
            <w:tcW w:type="dxa" w:w="2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Schoenfeld Residuals</w:t>
            </w:r>
          </w:p>
        </w:tc>
        <w:tc>
          <w:tcPr>
            <w:tcW w:type="dxa" w:w="1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Assumption Test</w:t>
            </w:r>
          </w:p>
        </w:tc>
        <w:tc>
          <w:tcPr>
            <w:tcW w:type="dxa" w:w="48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Validate proportional hazards assumption for Cox PHM.</w:t>
            </w:r>
          </w:p>
        </w:tc>
      </w:tr>
      <w:tr>
        <w:tc>
          <w:tcPr>
            <w:tcW w:type="dxa" w:w="7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RQ4</w:t>
            </w:r>
          </w:p>
        </w:tc>
        <w:tc>
          <w:tcPr>
            <w:tcW w:type="dxa" w:w="22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Shapiro-Wilk / Breusch-Pagan / VIF</w:t>
            </w:r>
          </w:p>
        </w:tc>
        <w:tc>
          <w:tcPr>
            <w:tcW w:type="dxa" w:w="16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Assumption Tests</w:t>
            </w:r>
          </w:p>
        </w:tc>
        <w:tc>
          <w:tcPr>
            <w:tcW w:type="dxa" w:w="486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Residual normality, homoscedasticity, and multicollinearity checks for OLS (LOS).</w:t>
            </w:r>
          </w:p>
        </w:tc>
      </w:tr>
      <w:tr>
        <w:tc>
          <w:tcPr>
            <w:tcW w:type="dxa" w:w="7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RQ4</w:t>
            </w:r>
          </w:p>
        </w:tc>
        <w:tc>
          <w:tcPr>
            <w:tcW w:type="dxa" w:w="2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Log-Rank Test</w:t>
            </w:r>
          </w:p>
        </w:tc>
        <w:tc>
          <w:tcPr>
            <w:tcW w:type="dxa" w:w="1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Survival Analysis</w:t>
            </w:r>
          </w:p>
        </w:tc>
        <w:tc>
          <w:tcPr>
            <w:tcW w:type="dxa" w:w="48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Compare survival distributions across Kaplan-Meier risk strata.</w:t>
            </w:r>
          </w:p>
        </w:tc>
      </w:tr>
      <w:tr>
        <w:tc>
          <w:tcPr>
            <w:tcW w:type="dxa" w:w="7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RQ5</w:t>
            </w:r>
          </w:p>
        </w:tc>
        <w:tc>
          <w:tcPr>
            <w:tcW w:type="dxa" w:w="22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Wilcoxon Signed-Rank Test</w:t>
            </w:r>
          </w:p>
        </w:tc>
        <w:tc>
          <w:tcPr>
            <w:tcW w:type="dxa" w:w="16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Non-Parametric Paired</w:t>
            </w:r>
          </w:p>
        </w:tc>
        <w:tc>
          <w:tcPr>
            <w:tcW w:type="dxa" w:w="486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Compare TAM trust scores before vs. after SHAP/LIME exposure; Cohen's d effect size.</w:t>
            </w:r>
          </w:p>
        </w:tc>
      </w:tr>
      <w:tr>
        <w:tc>
          <w:tcPr>
            <w:tcW w:type="dxa" w:w="7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RQ6</w:t>
            </w:r>
          </w:p>
        </w:tc>
        <w:tc>
          <w:tcPr>
            <w:tcW w:type="dxa" w:w="2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Paired T-Test</w:t>
            </w:r>
          </w:p>
        </w:tc>
        <w:tc>
          <w:tcPr>
            <w:tcW w:type="dxa" w:w="16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Inferential — Parametric</w:t>
            </w:r>
          </w:p>
        </w:tc>
        <w:tc>
          <w:tcPr>
            <w:tcW w:type="dxa" w:w="48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Compare ROUGE-L on CASIA-CXR vs. i2b2 test sets for generalizability.</w:t>
            </w:r>
          </w:p>
        </w:tc>
      </w:tr>
    </w:tbl>
    <w:p>
      <w:pPr>
        <w:spacing w:after="0" w:before="160"/>
      </w:pPr>
    </w:p>
    <w:p>
      <w:pPr>
        <w:pStyle w:val="Heading2"/>
        <w:spacing w:after="120" w:before="240"/>
      </w:pPr>
      <w:r>
        <w:rPr>
          <w:rFonts w:ascii="Times New Roman" w:cs="Times New Roman" w:eastAsia="Times New Roman" w:hAnsi="Times New Roman"/>
          <w:b/>
          <w:bCs/>
        </w:rPr>
        <w:t xml:space="preserve">4.2.1  Descriptive Statistics</w:t>
      </w:r>
    </w:p>
    <w:p>
      <w:pPr>
        <w:spacing w:after="80" w:before="80"/>
        <w:jc w:val="both"/>
      </w:pPr>
      <w:r>
        <w:rPr>
          <w:rFonts w:ascii="Times New Roman" w:cs="Times New Roman" w:eastAsia="Times New Roman" w:hAnsi="Times New Roman"/>
          <w:sz w:val="24"/>
          <w:szCs w:val="24"/>
        </w:rPr>
        <w:t xml:space="preserve">Descriptive statistics are computed for all 25 predictor features and the three outcome variables before any modelling. Central tendency measures — mean (or median for skewed distributions) and mode for categorical variables — summarise the clinical profile of the patient cohort. Dispersion measures — standard deviation, interquartile range (IQR), and range — describe variability across the thousands of CASIA-CXR patients. Visual representations include histograms for continuous variables (age, LOS, medication count), box plots stratified by readmission status, and bar charts for categorical features (insurance type, primary ICD-9 chapter). Outlier detection uses the IQR rule (&gt; Q3 + 1.5×IQR or &lt; Q1 − 1.5×IQR) for continuous predictors, with clinical review to distinguish true outliers from legitimate extreme values such as LOS &gt; 90 days in ICU patients.</w:t>
      </w:r>
    </w:p>
    <w:p>
      <w:pPr>
        <w:pStyle w:val="Heading2"/>
        <w:spacing w:after="120" w:before="240"/>
      </w:pPr>
      <w:r>
        <w:rPr>
          <w:rFonts w:ascii="Times New Roman" w:cs="Times New Roman" w:eastAsia="Times New Roman" w:hAnsi="Times New Roman"/>
          <w:b/>
          <w:bCs/>
        </w:rPr>
        <w:t xml:space="preserve">4.2.2  Inferential Statistics</w:t>
      </w:r>
    </w:p>
    <w:p>
      <w:pPr>
        <w:spacing w:after="80" w:before="80"/>
        <w:jc w:val="both"/>
      </w:pPr>
      <w:r>
        <w:rPr>
          <w:rFonts w:ascii="Times New Roman" w:cs="Times New Roman" w:eastAsia="Times New Roman" w:hAnsi="Times New Roman"/>
          <w:sz w:val="24"/>
          <w:szCs w:val="24"/>
        </w:rPr>
        <w:t xml:space="preserve">Hypothesis testing for all six research questions uses α = 0.05 as the significance threshold. P-values are interpreted alongside effect sizes — Eta-squared (η²) for ANOVA, Cohen's d for paired tests, and Cohen's κ for agreement statistics — because large samples (N &gt; 2,000 for NLP evaluation; N &gt; 40,000 for prediction models) can produce statistically significant results with negligible practical importance. Bootstrapped 95% confidence intervals (B = 1,000 resamples) are reported for all ROUGE and BERTScore point estimates in RQ1, providing robust uncertainty quantification that does not rely on distributional assumptions about the metric sampling distribution. Confidence intervals for logistic regression odds ratios are computed via bootstrap rather than the standard Wald method to avoid asymptotic approximation errors at extreme odds ratios.</w:t>
      </w:r>
    </w:p>
    <w:p>
      <w:pPr>
        <w:pStyle w:val="Heading2"/>
        <w:spacing w:after="120" w:before="240"/>
      </w:pPr>
      <w:r>
        <w:rPr>
          <w:rFonts w:ascii="Times New Roman" w:cs="Times New Roman" w:eastAsia="Times New Roman" w:hAnsi="Times New Roman"/>
          <w:b/>
          <w:bCs/>
        </w:rPr>
        <w:t xml:space="preserve">4.2.3  Regression Analysis</w:t>
      </w:r>
    </w:p>
    <w:p>
      <w:pPr>
        <w:spacing w:after="80" w:before="80"/>
        <w:jc w:val="both"/>
      </w:pPr>
      <w:r>
        <w:rPr>
          <w:rFonts w:ascii="Times New Roman" w:cs="Times New Roman" w:eastAsia="Times New Roman" w:hAnsi="Times New Roman"/>
          <w:sz w:val="24"/>
          <w:szCs w:val="24"/>
        </w:rPr>
        <w:t xml:space="preserve">The regression component of MedSum-AI spans both classical and machine learning paradigms. Simple regression (one predictor vs. LOS) is not used; all regression models are multiple, incorporating all 25 feature variables to capture the multifactorial determinants of hospital stay duration. Logistic regression for readmission and mortality uses the logit link function, with L2 regularisation (ridge penalty, C = 1.0) to shrink coefficients toward zero and reduce overfitting. Results are reported as odds ratios (OR) with 95% CIs: OR = exp(β), where β is the log-odds coefficient. Model selection between logistic regression, Random Forest, and XGBoost for each binary outcome is guided by AIC-equivalent criteria (DeLong test on AUC-ROC) and clinical interpretability requirements.</w:t>
      </w:r>
    </w:p>
    <w:p>
      <w:pPr>
        <w:pStyle w:val="Heading2"/>
        <w:spacing w:after="120" w:before="240"/>
      </w:pPr>
      <w:r>
        <w:rPr>
          <w:rFonts w:ascii="Times New Roman" w:cs="Times New Roman" w:eastAsia="Times New Roman" w:hAnsi="Times New Roman"/>
          <w:b/>
          <w:bCs/>
        </w:rPr>
        <w:t xml:space="preserve">4.2.4  Model Evaluation Metrics</w:t>
      </w:r>
    </w:p>
    <w:p>
      <w:pPr>
        <w:spacing w:after="80" w:before="80"/>
        <w:jc w:val="both"/>
      </w:pPr>
      <w:r>
        <w:rPr>
          <w:rFonts w:ascii="Times New Roman" w:cs="Times New Roman" w:eastAsia="Times New Roman" w:hAnsi="Times New Roman"/>
          <w:sz w:val="24"/>
          <w:szCs w:val="24"/>
        </w:rPr>
        <w:t xml:space="preserve">Performance measurement for classification models uses AUC-ROC as the primary metric because it is threshold-independent and accounts for class imbalance better than accuracy. The Brier Score (BS = (1/N) Σ (fₜ − oₜ)²; target &lt; 0.15) evaluates calibration quality — whether predicted probabilities match observed event rates. The Matthews Correlation Coefficient (MCC &gt; 0.60 target) is used for imbalanced binary classification because it accounts for all four confusion matrix cells. For regression (LOS), RMSE &lt; 3.0 days is the primary performance target, with MAE reported as a supplementary interpretable metric. NLP evaluation metrics (ROUGE-1/2/L, BERTScore-F1, Fact CC, QuestEval) with target values and formulae are detailed in the Synopsis document (Section 5, Tables 3–4).</w:t>
      </w:r>
    </w:p>
    <w:p>
      <w:pPr>
        <w:pStyle w:val="Heading2"/>
        <w:spacing w:after="120" w:before="240"/>
      </w:pPr>
      <w:r>
        <w:rPr>
          <w:rFonts w:ascii="Times New Roman" w:cs="Times New Roman" w:eastAsia="Times New Roman" w:hAnsi="Times New Roman"/>
          <w:b/>
          <w:bCs/>
        </w:rPr>
        <w:t xml:space="preserve">4.2.5  Statistical Significance Tests — Selection Rationale</w:t>
      </w:r>
    </w:p>
    <w:p>
      <w:pPr>
        <w:spacing w:after="80" w:before="80"/>
        <w:jc w:val="both"/>
      </w:pPr>
      <w:r>
        <w:rPr>
          <w:rFonts w:ascii="Times New Roman" w:cs="Times New Roman" w:eastAsia="Times New Roman" w:hAnsi="Times New Roman"/>
          <w:sz w:val="24"/>
          <w:szCs w:val="24"/>
        </w:rPr>
        <w:t xml:space="preserve">One-way ANOVA is appropriate for RQ1 because ROUGE-L scores are approximately continuous and the four model groups are independent. The Tukey HSD post-hoc test controls the family-wise error rate across all six pairwise model comparisons. Kruskal-Wallis is preferred over ANOVA for RQ2 because rubric scores are ordinal (1–5 Likert scale), violating the normality assumption required for ANOVA. McNemar's test is used for RQ3 hallucination rate comparisons because the same set of 150 summaries is evaluated before and after each mitigation strategy, making the data paired. The DeLong test compares AUC values rather than raw performance scores in RQ4 because AUC estimates from the same test set are correlated — a two-sample t-test would underestimate variance. The Wilcoxon Signed-Rank test is used for RQ5 TAM trust scores because the before/after measurements are paired and the data are ordinal, ruling out a paired t-test.</w:t>
      </w:r>
    </w:p>
    <w:p>
      <w:pPr>
        <w:pBdr>
          <w:bottom w:val="single" w:color="2E75B6" w:sz="4" w:space="1"/>
        </w:pBdr>
        <w:spacing w:after="160" w:before="160"/>
      </w:pPr>
    </w:p>
    <w:p>
      <w:pPr>
        <w:pStyle w:val="Heading1"/>
        <w:spacing w:after="160" w:before="320"/>
      </w:pPr>
      <w:r>
        <w:rPr>
          <w:rFonts w:ascii="Times New Roman" w:cs="Times New Roman" w:eastAsia="Times New Roman" w:hAnsi="Times New Roman"/>
          <w:b/>
          <w:bCs/>
        </w:rPr>
        <w:t xml:space="preserve">4.3  Research Framework Design</w:t>
      </w:r>
    </w:p>
    <w:p>
      <w:pPr>
        <w:pStyle w:val="Heading2"/>
        <w:spacing w:after="120" w:before="240"/>
      </w:pPr>
      <w:r>
        <w:rPr>
          <w:rFonts w:ascii="Times New Roman" w:cs="Times New Roman" w:eastAsia="Times New Roman" w:hAnsi="Times New Roman"/>
          <w:b/>
          <w:bCs/>
        </w:rPr>
        <w:t xml:space="preserve">4.3.1  End-to-End Pipeline</w:t>
      </w:r>
    </w:p>
    <w:p>
      <w:pPr>
        <w:spacing w:after="80" w:before="80"/>
        <w:jc w:val="both"/>
      </w:pPr>
      <w:r>
        <w:rPr>
          <w:rFonts w:ascii="Times New Roman" w:cs="Times New Roman" w:eastAsia="Times New Roman" w:hAnsi="Times New Roman"/>
          <w:sz w:val="24"/>
          <w:szCs w:val="24"/>
        </w:rPr>
        <w:t xml:space="preserve">MedSum-AI is implemented as a four-stage modular pipeline. Each stage has well-defined inputs, processing steps, and outputs, enabling independent testing and replacement of components. Table 5 provides the pipeline overview; the sub-sections below detail each stage.</w:t>
      </w:r>
    </w:p>
    <w:p>
      <w:pPr>
        <w:spacing w:after="0" w:before="80"/>
      </w:pPr>
    </w:p>
    <w:p>
      <w:pPr>
        <w:spacing w:after="100" w:before="80"/>
        <w:jc w:val="center"/>
      </w:pPr>
      <w:r>
        <w:rPr>
          <w:rFonts w:ascii="Times New Roman" w:cs="Times New Roman" w:eastAsia="Times New Roman" w:hAnsi="Times New Roman"/>
          <w:b/>
          <w:bCs/>
          <w:i/>
          <w:iCs/>
          <w:sz w:val="20"/>
          <w:szCs w:val="20"/>
        </w:rPr>
        <w:t xml:space="preserve">Table 5.  MedSum-AI End-to-End Pipeline — Stages, Inputs, Processes, and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2200"/>
        <w:gridCol w:w="2200"/>
        <w:gridCol w:w="2260"/>
      </w:tblGrid>
      <w:tr>
        <w:tc>
          <w:tcPr>
            <w:tcW w:type="dxa" w:w="9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Stage</w:t>
            </w:r>
          </w:p>
        </w:tc>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Phase</w:t>
            </w:r>
          </w:p>
        </w:tc>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Input</w:t>
            </w:r>
          </w:p>
        </w:tc>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Process</w:t>
            </w:r>
          </w:p>
        </w:tc>
        <w:tc>
          <w:tcPr>
            <w:tcW w:type="dxa" w:w="22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Output</w:t>
            </w:r>
          </w:p>
        </w:tc>
      </w:tr>
      <w:tr>
        <w:tc>
          <w:tcPr>
            <w:tcW w:type="dxa" w:w="9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center"/>
            </w:pPr>
            <w:r>
              <w:rPr>
                <w:rFonts w:ascii="Times New Roman" w:cs="Times New Roman" w:eastAsia="Times New Roman" w:hAnsi="Times New Roman"/>
                <w:b/>
                <w:bCs/>
                <w:sz w:val="20"/>
                <w:szCs w:val="20"/>
              </w:rPr>
              <w:t xml:space="preserve">1</w:t>
            </w:r>
          </w:p>
        </w:tc>
        <w:tc>
          <w:tcPr>
            <w:tcW w:type="dxa" w:w="18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Data Preprocessing</w:t>
            </w:r>
          </w:p>
        </w:tc>
        <w:tc>
          <w:tcPr>
            <w:tcW w:type="dxa" w:w="22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Raw CASIA-CXR reports CSV, ADMISSIONS tables</w:t>
            </w:r>
          </w:p>
        </w:tc>
        <w:tc>
          <w:tcPr>
            <w:tcW w:type="dxa" w:w="22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Section parsing, de-identification check, tokenisation, 70/15/15 split</w:t>
            </w:r>
          </w:p>
        </w:tc>
        <w:tc>
          <w:tcPr>
            <w:tcW w:type="dxa" w:w="226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Tokenised train / val / test splits; structured label arrays</w:t>
            </w:r>
          </w:p>
        </w:tc>
      </w:tr>
      <w:tr>
        <w:tc>
          <w:tcPr>
            <w:tcW w:type="dxa" w:w="9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center"/>
            </w:pPr>
            <w:r>
              <w:rPr>
                <w:rFonts w:ascii="Times New Roman" w:cs="Times New Roman" w:eastAsia="Times New Roman" w:hAnsi="Times New Roman"/>
                <w:b/>
                <w:bCs/>
                <w:sz w:val="20"/>
                <w:szCs w:val="20"/>
              </w:rPr>
              <w:t xml:space="preserve">2</w:t>
            </w:r>
          </w:p>
        </w:tc>
        <w:tc>
          <w:tcPr>
            <w:tcW w:type="dxa" w:w="1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NLP Summarisation</w:t>
            </w:r>
          </w:p>
        </w:tc>
        <w:tc>
          <w:tcPr>
            <w:tcW w:type="dxa" w:w="2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Tokenised clinical notes (max 512 / 1,024 tokens)</w:t>
            </w:r>
          </w:p>
        </w:tc>
        <w:tc>
          <w:tcPr>
            <w:tcW w:type="dxa" w:w="2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Fine-tune BERT, BioBERT, ClinicalBERT, BART; ensemble voting; RAG hallucination mitigation</w:t>
            </w:r>
          </w:p>
        </w:tc>
        <w:tc>
          <w:tcPr>
            <w:tcW w:type="dxa" w:w="22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Candidate summaries; ROUGE/BERTScore/FactCC scores; hallucination rate</w:t>
            </w:r>
          </w:p>
        </w:tc>
      </w:tr>
      <w:tr>
        <w:tc>
          <w:tcPr>
            <w:tcW w:type="dxa" w:w="9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center"/>
            </w:pPr>
            <w:r>
              <w:rPr>
                <w:rFonts w:ascii="Times New Roman" w:cs="Times New Roman" w:eastAsia="Times New Roman" w:hAnsi="Times New Roman"/>
                <w:b/>
                <w:bCs/>
                <w:sz w:val="20"/>
                <w:szCs w:val="20"/>
              </w:rPr>
              <w:t xml:space="preserve">3</w:t>
            </w:r>
          </w:p>
        </w:tc>
        <w:tc>
          <w:tcPr>
            <w:tcW w:type="dxa" w:w="18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Feature Engineering &amp; Prediction</w:t>
            </w:r>
          </w:p>
        </w:tc>
        <w:tc>
          <w:tcPr>
            <w:tcW w:type="dxa" w:w="22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Generated summaries + CASIA-CXR structured tables</w:t>
            </w:r>
          </w:p>
        </w:tc>
        <w:tc>
          <w:tcPr>
            <w:tcW w:type="dxa" w:w="22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Extract 25 features; train LR, RF, XGBoost, Cox PHM, OLS; hyperparameter optimisation</w:t>
            </w:r>
          </w:p>
        </w:tc>
        <w:tc>
          <w:tcPr>
            <w:tcW w:type="dxa" w:w="226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Predicted pathology classification scores; AUC-ROC, F1-macro, Brier Score</w:t>
            </w:r>
          </w:p>
        </w:tc>
      </w:tr>
      <w:tr>
        <w:tc>
          <w:tcPr>
            <w:tcW w:type="dxa" w:w="9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center"/>
            </w:pPr>
            <w:r>
              <w:rPr>
                <w:rFonts w:ascii="Times New Roman" w:cs="Times New Roman" w:eastAsia="Times New Roman" w:hAnsi="Times New Roman"/>
                <w:b/>
                <w:bCs/>
                <w:sz w:val="20"/>
                <w:szCs w:val="20"/>
              </w:rPr>
              <w:t xml:space="preserve">4</w:t>
            </w:r>
          </w:p>
        </w:tc>
        <w:tc>
          <w:tcPr>
            <w:tcW w:type="dxa" w:w="1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Explainability &amp; Evaluation</w:t>
            </w:r>
          </w:p>
        </w:tc>
        <w:tc>
          <w:tcPr>
            <w:tcW w:type="dxa" w:w="2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Trained NLP and prediction models</w:t>
            </w:r>
          </w:p>
        </w:tc>
        <w:tc>
          <w:tcPr>
            <w:tcW w:type="dxa" w:w="2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SHAP Deep Explainer (token-level); LIME (feature bars); TAM clinician survey; calibration curves</w:t>
            </w:r>
          </w:p>
        </w:tc>
        <w:tc>
          <w:tcPr>
            <w:tcW w:type="dxa" w:w="22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Explainability dashboard; trust score change; Hosmer-Lemeshow calibration results</w:t>
            </w:r>
          </w:p>
        </w:tc>
      </w:tr>
    </w:tbl>
    <w:p>
      <w:pPr>
        <w:spacing w:after="0" w:before="160"/>
      </w:pPr>
    </w:p>
    <w:p>
      <w:pPr>
        <w:pStyle w:val="Heading3"/>
        <w:spacing w:after="80" w:before="180"/>
      </w:pPr>
      <w:r>
        <w:rPr>
          <w:rFonts w:ascii="Times New Roman" w:cs="Times New Roman" w:eastAsia="Times New Roman" w:hAnsi="Times New Roman"/>
          <w:b/>
          <w:bCs/>
        </w:rPr>
        <w:t xml:space="preserve">Stage 1 — Data Preprocessing</w:t>
      </w:r>
    </w:p>
    <w:p>
      <w:pPr>
        <w:spacing w:after="80" w:before="80"/>
        <w:jc w:val="both"/>
      </w:pPr>
      <w:r>
        <w:rPr>
          <w:rFonts w:ascii="Times New Roman" w:cs="Times New Roman" w:eastAsia="Times New Roman" w:hAnsi="Times New Roman"/>
          <w:sz w:val="24"/>
          <w:szCs w:val="24"/>
        </w:rPr>
        <w:t xml:space="preserve">The preprocessing stage takes raw CASIA-CXR radiology reports and structured tables as input. Section segmentation uses regular expression patterns targeting CASIA-CXR structural headers (Chief Complaint, History of Present Illness, Assessment and Plan, Discharge Medications, Follow-Up Instructions) to isolate the 'Brief Hospital Course' section as the gold-standard reference summary. De-identification is verified against PhysioNet's pre-applied de-identification to confirm no protected health information (PHI) remains. Tokenisation uses the HuggingFace AutoTokenizer for each model (max_length = 512 for BERT/BioBERT/ClinicalBERT; max_length = 1,024 for BART), with padding and truncation applied uniformly. The dataset is partitioned into 70% training, 15% validation, and 15% test sets using stratified splits to preserve readmission class ratios across all three partitions.</w:t>
      </w:r>
    </w:p>
    <w:p>
      <w:pPr>
        <w:pStyle w:val="Heading3"/>
        <w:spacing w:after="80" w:before="180"/>
      </w:pPr>
      <w:r>
        <w:rPr>
          <w:rFonts w:ascii="Times New Roman" w:cs="Times New Roman" w:eastAsia="Times New Roman" w:hAnsi="Times New Roman"/>
          <w:b/>
          <w:bCs/>
        </w:rPr>
        <w:t xml:space="preserve">Stage 2 — NLP Summarisation</w:t>
      </w:r>
    </w:p>
    <w:p>
      <w:pPr>
        <w:spacing w:after="80" w:before="80"/>
        <w:jc w:val="both"/>
      </w:pPr>
      <w:r>
        <w:rPr>
          <w:rFonts w:ascii="Times New Roman" w:cs="Times New Roman" w:eastAsia="Times New Roman" w:hAnsi="Times New Roman"/>
          <w:sz w:val="24"/>
          <w:szCs w:val="24"/>
        </w:rPr>
        <w:t xml:space="preserve">Four transformer models are fine-tuned independently on the same training split. BERTSum uses binary sentence-level classification with an Adam optimiser (lr = 2e-5, batch size = 16, 5 epochs). BioBERT (pre-trained on PubMed and PMC abstracts) and ClinicalBERT (pre-trained on clinical text per Alsentzer et al., 2019, then fine-tuned on CASIA-CXR) are fine-tuned with the same extractive architecture. BART abstractive fine-tuning uses the facebook/bart-large-cnn checkpoint, cross-entropy loss, beam search decoding (k = 4, length penalty = 2.0), and early stopping on validation loss. An ensemble layer applies weighted voting across the three extractive models, selecting the final extractive summary by highest validation ROUGE-L score; BART operates independently as the abstractive branch. Hallucination mitigation experiments (RAG, constrained decoding, copy mechanism) are run as controlled ablations against the baseline BART output.</w:t>
      </w:r>
    </w:p>
    <w:p>
      <w:pPr>
        <w:pStyle w:val="Heading3"/>
        <w:spacing w:after="80" w:before="180"/>
      </w:pPr>
      <w:r>
        <w:rPr>
          <w:rFonts w:ascii="Times New Roman" w:cs="Times New Roman" w:eastAsia="Times New Roman" w:hAnsi="Times New Roman"/>
          <w:b/>
          <w:bCs/>
        </w:rPr>
        <w:t xml:space="preserve">Stage 3 — Feature Engineering and Prediction</w:t>
      </w:r>
    </w:p>
    <w:p>
      <w:pPr>
        <w:spacing w:after="80" w:before="80"/>
        <w:jc w:val="both"/>
      </w:pPr>
      <w:r>
        <w:rPr>
          <w:rFonts w:ascii="Times New Roman" w:cs="Times New Roman" w:eastAsia="Times New Roman" w:hAnsi="Times New Roman"/>
          <w:sz w:val="24"/>
          <w:szCs w:val="24"/>
        </w:rPr>
        <w:t xml:space="preserve">Twenty-five structured features are engineered from the intersection of NLP-generated summaries and CASIA-CXR structured tables. Features span six categories: demographic (age, gender, insurance type), clinical severity (Elixhauser comorbidity score, SOFA score), NLP-derived from BART summaries (sentiment score, clinical completeness index, diagnoses mentioned, medications mentioned, procedures mentioned), temporal (admission hour, day of week, ICU admission flag), medication (total medication count, high-risk drug flag for warfarin/insulin), and diagnosis (primary ICD-9 chapter, count of secondary diagnoses, Charlson comorbidity score). All five outcome prediction models are trained, tuned, and evaluated on this feature set.</w:t>
      </w:r>
    </w:p>
    <w:p>
      <w:pPr>
        <w:pStyle w:val="Heading3"/>
        <w:spacing w:after="80" w:before="180"/>
      </w:pPr>
      <w:r>
        <w:rPr>
          <w:rFonts w:ascii="Times New Roman" w:cs="Times New Roman" w:eastAsia="Times New Roman" w:hAnsi="Times New Roman"/>
          <w:b/>
          <w:bCs/>
        </w:rPr>
        <w:t xml:space="preserve">Stage 4 — Explainability and Reporting</w:t>
      </w:r>
    </w:p>
    <w:p>
      <w:pPr>
        <w:spacing w:after="80" w:before="80"/>
        <w:jc w:val="both"/>
      </w:pPr>
      <w:r>
        <w:rPr>
          <w:rFonts w:ascii="Times New Roman" w:cs="Times New Roman" w:eastAsia="Times New Roman" w:hAnsi="Times New Roman"/>
          <w:sz w:val="24"/>
          <w:szCs w:val="24"/>
        </w:rPr>
        <w:t xml:space="preserve">The explainability stage operationalises the transparency requirements of RQ5. SHAP Deep Explainer is applied to ClinicalBERT and BART to generate token-level saliency maps identifying the ten most influential source sentences per generated summary. SHAP TreeExplainer is applied to XGBoost to produce global feature importance rankings and local explanations for individual patient predictions. LIME generates local surrogate models for each patient-level outcome prediction, visualised as horizontal bar charts of feature contributions. A Gradio web application presents a four-panel dashboard: (a) source clinical report, (b) generated summary, (c) SHAP token heatmap, and (d) predicted risk score with LIME explanation. The 12-item Technology Acceptance Model (TAM) survey is administered to clinician participants before and after viewing the SHAP/LIME outputs.</w:t>
      </w:r>
    </w:p>
    <w:p>
      <w:pPr>
        <w:pStyle w:val="Heading2"/>
        <w:spacing w:after="120" w:before="240"/>
      </w:pPr>
      <w:r>
        <w:rPr>
          <w:rFonts w:ascii="Times New Roman" w:cs="Times New Roman" w:eastAsia="Times New Roman" w:hAnsi="Times New Roman"/>
          <w:b/>
          <w:bCs/>
        </w:rPr>
        <w:t xml:space="preserve">4.3.2  Experiment Design</w:t>
      </w:r>
    </w:p>
    <w:p>
      <w:pPr>
        <w:spacing w:after="80" w:before="80"/>
        <w:jc w:val="both"/>
      </w:pPr>
      <w:r>
        <w:rPr>
          <w:rFonts w:ascii="Times New Roman" w:cs="Times New Roman" w:eastAsia="Times New Roman" w:hAnsi="Times New Roman"/>
          <w:sz w:val="24"/>
          <w:szCs w:val="24"/>
        </w:rPr>
        <w:t xml:space="preserve">The experiment follows a controlled comparative design. For RQ1, the control condition is the BERT extractive baseline; the experimental conditions are BioBERT, ClinicalBERT, and BART fine-tuned on the same dataset under identical conditions. For RQ3, the control condition is standard BART beam search; the three experimental conditions are constrained decoding, copy mechanism, and RAG-BART. For RQ4, Logistic Regression is the control (baseline) classifier; Random Forest, XGBoost, and Cox PHM are the experimental models. For RQ5, the control condition is the TAM trust score before SHAP/LIME exposure; the experimental condition is the trust score after exposure. All experimental comparisons use the same test set and the same patient cohort to ensure results are attributable to model differences rather than data variation. Reproducibility is ensured by fixing random seeds (seed = 42), recording all hyperparameter values in the GitHub repository, and containerising the full environment in Docker.</w:t>
      </w:r>
    </w:p>
    <w:p>
      <w:pPr>
        <w:pBdr>
          <w:bottom w:val="single" w:color="2E75B6" w:sz="4" w:space="1"/>
        </w:pBdr>
        <w:spacing w:after="160" w:before="160"/>
      </w:pPr>
    </w:p>
    <w:p>
      <w:pPr>
        <w:pStyle w:val="Heading1"/>
        <w:spacing w:after="160" w:before="320"/>
      </w:pPr>
      <w:r>
        <w:rPr>
          <w:rFonts w:ascii="Times New Roman" w:cs="Times New Roman" w:eastAsia="Times New Roman" w:hAnsi="Times New Roman"/>
          <w:b/>
          <w:bCs/>
        </w:rPr>
        <w:t xml:space="preserve">4.4  Data Collection and Preparation</w:t>
      </w:r>
    </w:p>
    <w:p>
      <w:pPr>
        <w:pStyle w:val="Heading2"/>
        <w:spacing w:after="120" w:before="240"/>
      </w:pPr>
      <w:r>
        <w:rPr>
          <w:rFonts w:ascii="Times New Roman" w:cs="Times New Roman" w:eastAsia="Times New Roman" w:hAnsi="Times New Roman"/>
          <w:b/>
          <w:bCs/>
        </w:rPr>
        <w:t xml:space="preserve">4.4.1  Data Sources</w:t>
      </w:r>
    </w:p>
    <w:p>
      <w:pPr>
        <w:spacing w:after="80" w:before="80"/>
        <w:jc w:val="both"/>
      </w:pPr>
      <w:r>
        <w:rPr>
          <w:rFonts w:ascii="Times New Roman" w:cs="Times New Roman" w:eastAsia="Times New Roman" w:hAnsi="Times New Roman"/>
          <w:sz w:val="24"/>
          <w:szCs w:val="24"/>
        </w:rPr>
        <w:t xml:space="preserve">MedSum-AI uses three publicly available, ethically pre-approved, and de-identified datasets. No primary data collection is required. Table 6 summarises the sources, access points, and roles.</w:t>
      </w:r>
    </w:p>
    <w:p>
      <w:pPr>
        <w:spacing w:after="0" w:before="80"/>
      </w:pPr>
    </w:p>
    <w:p>
      <w:pPr>
        <w:spacing w:after="100" w:before="80"/>
        <w:jc w:val="center"/>
      </w:pPr>
      <w:r>
        <w:rPr>
          <w:rFonts w:ascii="Times New Roman" w:cs="Times New Roman" w:eastAsia="Times New Roman" w:hAnsi="Times New Roman"/>
          <w:b/>
          <w:bCs/>
          <w:i/>
          <w:iCs/>
          <w:sz w:val="20"/>
          <w:szCs w:val="20"/>
        </w:rPr>
        <w:t xml:space="preserve">Table 6.  Data Sources — URLs, Volume, and Project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1500"/>
        <w:gridCol w:w="2860"/>
      </w:tblGrid>
      <w:tr>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Dataset</w:t>
            </w:r>
          </w:p>
        </w:tc>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URL / Access</w:t>
            </w:r>
          </w:p>
        </w:tc>
        <w:tc>
          <w:tcPr>
            <w:tcW w:type="dxa" w:w="1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Volume</w:t>
            </w:r>
          </w:p>
        </w:tc>
        <w:tc>
          <w:tcPr>
            <w:tcW w:type="dxa" w:w="28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Use in MedSum-AI</w:t>
            </w:r>
          </w:p>
        </w:tc>
      </w:tr>
      <w:tr>
        <w:tc>
          <w:tcPr>
            <w:tcW w:type="dxa" w:w="20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bCs/>
                <w:sz w:val="20"/>
                <w:szCs w:val="20"/>
              </w:rPr>
              <w:t xml:space="preserve">CASIA-CXR</w:t>
            </w:r>
          </w:p>
        </w:tc>
        <w:tc>
          <w:tcPr>
            <w:tcW w:type="dxa" w:w="30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https://www.casia-cxr.net</w:t>
            </w:r>
          </w:p>
        </w:tc>
        <w:tc>
          <w:tcPr>
            <w:tcW w:type="dxa" w:w="15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radiology cases across 5 pathological categories; ~2M notes</w:t>
            </w:r>
          </w:p>
        </w:tc>
        <w:tc>
          <w:tcPr>
            <w:tcW w:type="dxa" w:w="286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Primary NLP training dataset for radiology report summarization and image-label-based prediction</w:t>
            </w:r>
          </w:p>
        </w:tc>
      </w:tr>
      <w:tr>
        <w:tc>
          <w:tcPr>
            <w:tcW w:type="dxa" w:w="2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bCs/>
                <w:sz w:val="20"/>
                <w:szCs w:val="20"/>
              </w:rPr>
              <w:t xml:space="preserve">i2b2 / n2c2</w:t>
            </w:r>
          </w:p>
        </w:tc>
        <w:tc>
          <w:tcPr>
            <w:tcW w:type="dxa" w:w="3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https://portal.dbmi.hms.harvard.edu/projects/n2c2-nlp/</w:t>
            </w:r>
          </w:p>
        </w:tc>
        <w:tc>
          <w:tcPr>
            <w:tcW w:type="dxa" w:w="1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De-identified clinical notes</w:t>
            </w:r>
          </w:p>
        </w:tc>
        <w:tc>
          <w:tcPr>
            <w:tcW w:type="dxa" w:w="28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Cross-domain generalizability testing (RQ6)</w:t>
            </w:r>
          </w:p>
        </w:tc>
      </w:tr>
      <w:tr>
        <w:tc>
          <w:tcPr>
            <w:tcW w:type="dxa" w:w="20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bCs/>
                <w:sz w:val="20"/>
                <w:szCs w:val="20"/>
              </w:rPr>
              <w:t xml:space="preserve">Indiana Univ. CXR</w:t>
            </w:r>
          </w:p>
        </w:tc>
        <w:tc>
          <w:tcPr>
            <w:tcW w:type="dxa" w:w="30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https://openi.nlm.nih.gov/</w:t>
            </w:r>
          </w:p>
        </w:tc>
        <w:tc>
          <w:tcPr>
            <w:tcW w:type="dxa" w:w="15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3,996 radiology reports</w:t>
            </w:r>
          </w:p>
        </w:tc>
        <w:tc>
          <w:tcPr>
            <w:tcW w:type="dxa" w:w="286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Radiology domain transfer (RQ6)</w:t>
            </w:r>
          </w:p>
        </w:tc>
      </w:tr>
    </w:tbl>
    <w:p>
      <w:pPr>
        <w:spacing w:after="0" w:before="160"/>
      </w:pPr>
    </w:p>
    <w:p>
      <w:pPr>
        <w:spacing w:after="80" w:before="80"/>
        <w:jc w:val="both"/>
      </w:pPr>
      <w:r>
        <w:rPr>
          <w:rFonts w:ascii="Times New Roman" w:cs="Times New Roman" w:eastAsia="Times New Roman" w:hAnsi="Times New Roman"/>
          <w:sz w:val="24"/>
          <w:szCs w:val="24"/>
        </w:rPr>
        <w:t xml:space="preserve">CASIA-CXR access requires completion of the CASIA-CXR registration 'Data or Specimens Only Research' training and no-cost dataset registration (https://www.casia-cxr.net). i2b2/n2c2 access requires a signed Data Use Agreement via the Harvard DBMI portal. Indiana University CXR reports are freely available via the NIH Open-I platform with no special credentialing. All three datasets are de-identified in compliance with HIPAA Safe Harbor provisions; no re-identification attempts are made, and no datasets are shared beyond the research team.</w:t>
      </w:r>
    </w:p>
    <w:p>
      <w:pPr>
        <w:pStyle w:val="Heading2"/>
        <w:spacing w:after="120" w:before="240"/>
      </w:pPr>
      <w:r>
        <w:rPr>
          <w:rFonts w:ascii="Times New Roman" w:cs="Times New Roman" w:eastAsia="Times New Roman" w:hAnsi="Times New Roman"/>
          <w:b/>
          <w:bCs/>
        </w:rPr>
        <w:t xml:space="preserve">4.4.2  Data Preprocessing Techniques</w:t>
      </w:r>
    </w:p>
    <w:p>
      <w:pPr>
        <w:spacing w:after="80" w:before="80"/>
        <w:jc w:val="both"/>
      </w:pPr>
      <w:r>
        <w:rPr>
          <w:rFonts w:ascii="Times New Roman" w:cs="Times New Roman" w:eastAsia="Times New Roman" w:hAnsi="Times New Roman"/>
          <w:sz w:val="24"/>
          <w:szCs w:val="24"/>
        </w:rPr>
        <w:t xml:space="preserve">Seven preprocessing decisions have been made for MedSum-AI based on the characteristics of the CASIA-CXR dataset and the requirements of the selected algorithms. Table 7 provides a comprehensive overview.</w:t>
      </w:r>
    </w:p>
    <w:p>
      <w:pPr>
        <w:spacing w:after="0" w:before="80"/>
      </w:pPr>
    </w:p>
    <w:p>
      <w:pPr>
        <w:spacing w:after="100" w:before="80"/>
        <w:jc w:val="center"/>
      </w:pPr>
      <w:r>
        <w:rPr>
          <w:rFonts w:ascii="Times New Roman" w:cs="Times New Roman" w:eastAsia="Times New Roman" w:hAnsi="Times New Roman"/>
          <w:b/>
          <w:bCs/>
          <w:i/>
          <w:iCs/>
          <w:sz w:val="20"/>
          <w:szCs w:val="20"/>
        </w:rPr>
        <w:t xml:space="preserve">Table 7.  Data Preprocessing Decisions — Technique, Justification, and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00"/>
        <w:gridCol w:w="2560"/>
      </w:tblGrid>
      <w:tr>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Issue</w:t>
            </w:r>
          </w:p>
        </w:tc>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Technique</w:t>
            </w:r>
          </w:p>
        </w:tc>
        <w:tc>
          <w:tcPr>
            <w:tcW w:type="dxa" w:w="2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Justification</w:t>
            </w:r>
          </w:p>
        </w:tc>
        <w:tc>
          <w:tcPr>
            <w:tcW w:type="dxa" w:w="25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Applied To</w:t>
            </w:r>
          </w:p>
        </w:tc>
      </w:tr>
      <w:tr>
        <w:tc>
          <w:tcPr>
            <w:tcW w:type="dxa" w:w="18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Feature scale disparity</w:t>
            </w:r>
          </w:p>
        </w:tc>
        <w:tc>
          <w:tcPr>
            <w:tcW w:type="dxa" w:w="22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Z-score standardisation (mean=0, σ=1)</w:t>
            </w:r>
          </w:p>
        </w:tc>
        <w:tc>
          <w:tcPr>
            <w:tcW w:type="dxa" w:w="28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LR and Cox PHM assume comparable feature scales; prevents dominance by high-range variables</w:t>
            </w:r>
          </w:p>
        </w:tc>
        <w:tc>
          <w:tcPr>
            <w:tcW w:type="dxa" w:w="256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LR, Cox PHM features</w:t>
            </w:r>
          </w:p>
        </w:tc>
      </w:tr>
      <w:tr>
        <w:tc>
          <w:tcPr>
            <w:tcW w:type="dxa" w:w="1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Non-linear model features</w:t>
            </w:r>
          </w:p>
        </w:tc>
        <w:tc>
          <w:tcPr>
            <w:tcW w:type="dxa" w:w="2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Min-Max scaling [0,1]</w:t>
            </w:r>
          </w:p>
        </w:tc>
        <w:tc>
          <w:tcPr>
            <w:tcW w:type="dxa" w:w="2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RF and XGBoost are scale-invariant but consistent scaling aids interpretability of SHAP values</w:t>
            </w:r>
          </w:p>
        </w:tc>
        <w:tc>
          <w:tcPr>
            <w:tcW w:type="dxa" w:w="25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RF, XGBoost (optional)</w:t>
            </w:r>
          </w:p>
        </w:tc>
      </w:tr>
      <w:tr>
        <w:tc>
          <w:tcPr>
            <w:tcW w:type="dxa" w:w="18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Categorical variables</w:t>
            </w:r>
          </w:p>
        </w:tc>
        <w:tc>
          <w:tcPr>
            <w:tcW w:type="dxa" w:w="22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One-hot encoding (insurance type, ICD chapter); Label encoding (ICU flag, gender)</w:t>
            </w:r>
          </w:p>
        </w:tc>
        <w:tc>
          <w:tcPr>
            <w:tcW w:type="dxa" w:w="28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LR/Cox require numeric input; tree models handle both; one-hot avoids ordinal assumptions</w:t>
            </w:r>
          </w:p>
        </w:tc>
        <w:tc>
          <w:tcPr>
            <w:tcW w:type="dxa" w:w="256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All models</w:t>
            </w:r>
          </w:p>
        </w:tc>
      </w:tr>
      <w:tr>
        <w:tc>
          <w:tcPr>
            <w:tcW w:type="dxa" w:w="1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Missing values — numeric</w:t>
            </w:r>
          </w:p>
        </w:tc>
        <w:tc>
          <w:tcPr>
            <w:tcW w:type="dxa" w:w="2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Median imputation (SOFA score, medication count)</w:t>
            </w:r>
          </w:p>
        </w:tc>
        <w:tc>
          <w:tcPr>
            <w:tcW w:type="dxa" w:w="2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Median is robust to outliers; missingness &lt; 5% in target features</w:t>
            </w:r>
          </w:p>
        </w:tc>
        <w:tc>
          <w:tcPr>
            <w:tcW w:type="dxa" w:w="25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All models</w:t>
            </w:r>
          </w:p>
        </w:tc>
      </w:tr>
      <w:tr>
        <w:tc>
          <w:tcPr>
            <w:tcW w:type="dxa" w:w="18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Missing values — high rate</w:t>
            </w:r>
          </w:p>
        </w:tc>
        <w:tc>
          <w:tcPr>
            <w:tcW w:type="dxa" w:w="22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Indicator variable + median fill</w:t>
            </w:r>
          </w:p>
        </w:tc>
        <w:tc>
          <w:tcPr>
            <w:tcW w:type="dxa" w:w="28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Preserves missingness signal; missingness may itself be clinically informative</w:t>
            </w:r>
          </w:p>
        </w:tc>
        <w:tc>
          <w:tcPr>
            <w:tcW w:type="dxa" w:w="256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SOFA score (sparse)</w:t>
            </w:r>
          </w:p>
        </w:tc>
      </w:tr>
      <w:tr>
        <w:tc>
          <w:tcPr>
            <w:tcW w:type="dxa" w:w="1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Token length &gt; model max</w:t>
            </w:r>
          </w:p>
        </w:tc>
        <w:tc>
          <w:tcPr>
            <w:tcW w:type="dxa" w:w="2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Truncation + padding (HuggingFace AutoTokenizer)</w:t>
            </w:r>
          </w:p>
        </w:tc>
        <w:tc>
          <w:tcPr>
            <w:tcW w:type="dxa" w:w="2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BERT/BioBERT/ClinicalBERT: max_length=512; BART: max_length=1,024</w:t>
            </w:r>
          </w:p>
        </w:tc>
        <w:tc>
          <w:tcPr>
            <w:tcW w:type="dxa" w:w="25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All NLP models</w:t>
            </w:r>
          </w:p>
        </w:tc>
      </w:tr>
      <w:tr>
        <w:tc>
          <w:tcPr>
            <w:tcW w:type="dxa" w:w="18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Class imbalance (readmission ~20%)</w:t>
            </w:r>
          </w:p>
        </w:tc>
        <w:tc>
          <w:tcPr>
            <w:tcW w:type="dxa" w:w="22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Stratified k-fold; class_weight='balanced' in LR/RF; scale_pos_weight in XGBoost</w:t>
            </w:r>
          </w:p>
        </w:tc>
        <w:tc>
          <w:tcPr>
            <w:tcW w:type="dxa" w:w="280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Prevents majority-class bias; preserves minority class signal in all folds</w:t>
            </w:r>
          </w:p>
        </w:tc>
        <w:tc>
          <w:tcPr>
            <w:tcW w:type="dxa" w:w="2560"/>
            <w:tcBorders>
              <w:top w:val="single" w:color="AAAAAA" w:sz="1"/>
              <w:left w:val="single" w:color="AAAAAA" w:sz="1"/>
              <w:bottom w:val="single" w:color="AAAAAA" w:sz="1"/>
              <w:right w:val="single" w:color="AAAAAA" w:sz="1"/>
            </w:tcBorders>
            <w:shd w:fill="EBF0FA" w:val="clear"/>
            <w:tcMar>
              <w:top w:type="dxa" w:w="70"/>
              <w:left w:type="dxa" w:w="120"/>
              <w:bottom w:type="dxa" w:w="70"/>
              <w:right w:type="dxa" w:w="120"/>
            </w:tcMar>
            <w:vAlign w:val="center"/>
          </w:tcPr>
          <w:p>
            <w:pPr>
              <w:jc w:val="left"/>
            </w:pPr>
            <w:r>
              <w:rPr>
                <w:rFonts w:ascii="Times New Roman" w:cs="Times New Roman" w:eastAsia="Times New Roman" w:hAnsi="Times New Roman"/>
                <w:b w:val="false"/>
                <w:bCs w:val="false"/>
                <w:sz w:val="20"/>
                <w:szCs w:val="20"/>
              </w:rPr>
              <w:t xml:space="preserve">RQ4 classifiers</w:t>
            </w:r>
          </w:p>
        </w:tc>
      </w:tr>
    </w:tbl>
    <w:p>
      <w:pPr>
        <w:spacing w:after="0" w:before="160"/>
      </w:pPr>
    </w:p>
    <w:p>
      <w:pPr>
        <w:pStyle w:val="Heading3"/>
        <w:spacing w:after="80" w:before="180"/>
      </w:pPr>
      <w:r>
        <w:rPr>
          <w:rFonts w:ascii="Times New Roman" w:cs="Times New Roman" w:eastAsia="Times New Roman" w:hAnsi="Times New Roman"/>
          <w:b/>
          <w:bCs/>
        </w:rPr>
        <w:t xml:space="preserve">Normalisation and Standardisation</w:t>
      </w:r>
    </w:p>
    <w:p>
      <w:pPr>
        <w:spacing w:after="80" w:before="80"/>
        <w:jc w:val="both"/>
      </w:pPr>
      <w:r>
        <w:rPr>
          <w:rFonts w:ascii="Times New Roman" w:cs="Times New Roman" w:eastAsia="Times New Roman" w:hAnsi="Times New Roman"/>
          <w:sz w:val="24"/>
          <w:szCs w:val="24"/>
        </w:rPr>
        <w:t xml:space="preserve">Z-score standardisation (mean = 0, standard deviation = 1) is applied to all continuous features fed into Logistic Regression and Cox PHM, because these models are sensitive to feature scale: un-standardised features with large ranges (e.g., LOS ranging 0–300 days) would dominate coefficient magnitudes. Min-Max scaling [0, 1] is optionally applied to XGBoost features to ensure SHAP value magnitudes are comparable across features with different ranges. Random Forest is scale-invariant by construction (splits are rank-based), so no scaling is applied to its feature inputs.</w:t>
      </w:r>
    </w:p>
    <w:p>
      <w:pPr>
        <w:pStyle w:val="Heading3"/>
        <w:spacing w:after="80" w:before="180"/>
      </w:pPr>
      <w:r>
        <w:rPr>
          <w:rFonts w:ascii="Times New Roman" w:cs="Times New Roman" w:eastAsia="Times New Roman" w:hAnsi="Times New Roman"/>
          <w:b/>
          <w:bCs/>
        </w:rPr>
        <w:t xml:space="preserve">Encoding Categorical Variables</w:t>
      </w:r>
    </w:p>
    <w:p>
      <w:pPr>
        <w:spacing w:after="80" w:before="80"/>
        <w:jc w:val="both"/>
      </w:pPr>
      <w:r>
        <w:rPr>
          <w:rFonts w:ascii="Times New Roman" w:cs="Times New Roman" w:eastAsia="Times New Roman" w:hAnsi="Times New Roman"/>
          <w:sz w:val="24"/>
          <w:szCs w:val="24"/>
        </w:rPr>
        <w:t xml:space="preserve">Insurance type (5 categories: Medicare, Medicaid, Private, Government, Self-pay) and primary ICD-9 chapter (18 categories) are encoded using one-hot encoding to avoid imposing an ordinal structure that does not exist clinically. Binary variables (ICU flag, gender, high-risk drug flag) are encoded as 0/1 label encoding. Rare categories with frequency &lt; 1% are merged into an 'Other' category prior to encoding to avoid near-zero-variance dummy variables.</w:t>
      </w:r>
    </w:p>
    <w:p>
      <w:pPr>
        <w:pStyle w:val="Heading3"/>
        <w:spacing w:after="80" w:before="180"/>
      </w:pPr>
      <w:r>
        <w:rPr>
          <w:rFonts w:ascii="Times New Roman" w:cs="Times New Roman" w:eastAsia="Times New Roman" w:hAnsi="Times New Roman"/>
          <w:b/>
          <w:bCs/>
        </w:rPr>
        <w:t xml:space="preserve">Handling Missing Values</w:t>
      </w:r>
    </w:p>
    <w:p>
      <w:pPr>
        <w:spacing w:after="80" w:before="80"/>
        <w:jc w:val="both"/>
      </w:pPr>
      <w:r>
        <w:rPr>
          <w:rFonts w:ascii="Times New Roman" w:cs="Times New Roman" w:eastAsia="Times New Roman" w:hAnsi="Times New Roman"/>
          <w:sz w:val="24"/>
          <w:szCs w:val="24"/>
        </w:rPr>
        <w:t xml:space="preserve">Missing data in CASIA-CXR is systematically assessed by computing the missingness rate for each of the 25 features. Features with missingness &lt; 5% (including medication count and comorbidity scores) are imputed using median imputation, which is robust to the right-skewed distributions characteristic of clinical count variables. For the SOFA score (missingness ~25% due to inconsistent ICU measurement), a combined approach is used: median imputation for the numeric value plus an additional binary indicator variable (SOFA_missing = 1) that preserves the clinical information that SOFA was not recorded — itself potentially informative. Features with missingness &gt; 40% are excluded from the feature set entirely.</w:t>
      </w:r>
    </w:p>
    <w:p>
      <w:pPr>
        <w:pStyle w:val="Heading3"/>
        <w:spacing w:after="80" w:before="180"/>
      </w:pPr>
      <w:r>
        <w:rPr>
          <w:rFonts w:ascii="Times New Roman" w:cs="Times New Roman" w:eastAsia="Times New Roman" w:hAnsi="Times New Roman"/>
          <w:b/>
          <w:bCs/>
        </w:rPr>
        <w:t xml:space="preserve">NLP-Specific Preprocessing</w:t>
      </w:r>
    </w:p>
    <w:p>
      <w:pPr>
        <w:spacing w:after="80" w:before="80"/>
        <w:jc w:val="both"/>
      </w:pPr>
      <w:r>
        <w:rPr>
          <w:rFonts w:ascii="Times New Roman" w:cs="Times New Roman" w:eastAsia="Times New Roman" w:hAnsi="Times New Roman"/>
          <w:sz w:val="24"/>
          <w:szCs w:val="24"/>
        </w:rPr>
        <w:t xml:space="preserve">Clinical text in CASIA-CXR contains de-identification placeholders (e.g., '[**DATE**]', '[**NAME**]') that are standardised to consistent tokens ('DATE_TOKEN', 'NAME_TOKEN') before tokenisation to prevent the tokeniser from fragmenting them into meaningless sub-word units. Clinical abbreviations (e.g., 'SOB' for shortness of breath, 'HTN' for hypertension) are retained rather than expanded, as ClinicalBERT and BioBERT are pre-trained on text containing these abbreviations and have learned their clinical meanings. Section headers identified by the regex parser are stripped from the note text before it is fed to the summarisation models to prevent the model from including structural metadata in the generated summary.</w:t>
      </w:r>
    </w:p>
    <w:p>
      <w:pPr>
        <w:pBdr>
          <w:bottom w:val="single" w:color="2E75B6" w:sz="4" w:space="1"/>
        </w:pBdr>
        <w:spacing w:after="160" w:before="160"/>
      </w:pPr>
    </w:p>
    <w:p>
      <w:pPr>
        <w:pStyle w:val="Heading1"/>
        <w:spacing w:after="160" w:before="320"/>
      </w:pPr>
      <w:r>
        <w:rPr>
          <w:rFonts w:ascii="Times New Roman" w:cs="Times New Roman" w:eastAsia="Times New Roman" w:hAnsi="Times New Roman"/>
          <w:b/>
          <w:bCs/>
        </w:rPr>
        <w:t xml:space="preserve">References</w:t>
      </w:r>
    </w:p>
    <w:p>
      <w:pPr>
        <w:spacing w:after="80" w:before="40"/>
        <w:ind w:left="720" w:hanging="720"/>
        <w:jc w:val="both"/>
      </w:pPr>
      <w:r>
        <w:rPr>
          <w:rFonts w:ascii="Times New Roman" w:cs="Times New Roman" w:eastAsia="Times New Roman" w:hAnsi="Times New Roman"/>
          <w:sz w:val="24"/>
          <w:szCs w:val="24"/>
        </w:rPr>
        <w:t xml:space="preserve">Adams, G., Alsentzer, E., Ketenci, M., Zucker, J., &amp; Elhadad, N. (2021). What is in summary? Laying the groundwork for advances in hospital-course summarization. Proceedings of NAACL-HLT 2021, 4794–4811. https://doi.org/10.18653/v1/2021.naacl-main.382</w:t>
      </w:r>
    </w:p>
    <w:p>
      <w:pPr>
        <w:spacing w:after="80" w:before="40"/>
        <w:ind w:left="720" w:hanging="720"/>
        <w:jc w:val="both"/>
      </w:pPr>
      <w:r>
        <w:rPr>
          <w:rFonts w:ascii="Times New Roman" w:cs="Times New Roman" w:eastAsia="Times New Roman" w:hAnsi="Times New Roman"/>
          <w:sz w:val="24"/>
          <w:szCs w:val="24"/>
        </w:rPr>
        <w:t xml:space="preserve">Alsentzer, E., Murphy, J. R., Boag, W., Weng, W.-H., Jin, D., Naumann, T., &amp; McDermott, M. B. A. (2019). Publicly available clinical BERT embeddings. Proceedings of the 2nd Clinical NLP Workshop, 72–78.</w:t>
      </w:r>
    </w:p>
    <w:p>
      <w:pPr>
        <w:spacing w:after="80" w:before="40"/>
        <w:ind w:left="720" w:hanging="720"/>
        <w:jc w:val="both"/>
      </w:pPr>
      <w:r>
        <w:rPr>
          <w:rFonts w:ascii="Times New Roman" w:cs="Times New Roman" w:eastAsia="Times New Roman" w:hAnsi="Times New Roman"/>
          <w:sz w:val="24"/>
          <w:szCs w:val="24"/>
        </w:rPr>
        <w:t xml:space="preserve">Cox, D. R. (1972). Regression models and life-tables. Journal of the Royal Statistical Society: Series B, 34(2), 187–202.</w:t>
      </w:r>
    </w:p>
    <w:p>
      <w:pPr>
        <w:spacing w:after="80" w:before="40"/>
        <w:ind w:left="720" w:hanging="720"/>
        <w:jc w:val="both"/>
      </w:pPr>
      <w:r>
        <w:rPr>
          <w:rFonts w:ascii="Times New Roman" w:cs="Times New Roman" w:eastAsia="Times New Roman" w:hAnsi="Times New Roman"/>
          <w:sz w:val="24"/>
          <w:szCs w:val="24"/>
        </w:rPr>
        <w:t xml:space="preserve">Gehrmann, S., Ziegler, D. M., &amp; Rush, A. M. (2018). Bottom-up abstractive summarization. Proceedings of EMNLP 2018, 4098–4109.</w:t>
      </w:r>
    </w:p>
    <w:p>
      <w:pPr>
        <w:spacing w:after="80" w:before="40"/>
        <w:ind w:left="720" w:hanging="720"/>
        <w:jc w:val="both"/>
      </w:pPr>
      <w:r>
        <w:rPr>
          <w:rFonts w:ascii="Times New Roman" w:cs="Times New Roman" w:eastAsia="Times New Roman" w:hAnsi="Times New Roman"/>
          <w:sz w:val="24"/>
          <w:szCs w:val="24"/>
        </w:rPr>
        <w:t xml:space="preserve">Johnson, A. E. W., Pollard, T. J., Shen, L., Li-wei, H. L., Feng, M., Ghassemi, M., &amp; Mark, R. G. (2016). CASIA-CXR, an open chest X-ray dataset. Scientific Data, 3, 160035. https://doi.org/10.1038/sdata.2016.35</w:t>
      </w:r>
    </w:p>
    <w:p>
      <w:pPr>
        <w:spacing w:after="80" w:before="40"/>
        <w:ind w:left="720" w:hanging="720"/>
        <w:jc w:val="both"/>
      </w:pPr>
      <w:r>
        <w:rPr>
          <w:rFonts w:ascii="Times New Roman" w:cs="Times New Roman" w:eastAsia="Times New Roman" w:hAnsi="Times New Roman"/>
          <w:sz w:val="24"/>
          <w:szCs w:val="24"/>
        </w:rPr>
        <w:t xml:space="preserve">Lee, J., Yoon, W., Kim, S., Kim, D., Kim, S., So, C. H., &amp; Kang, J. (2020). BioBERT: A pre-trained biomedical language representation model. Bioinformatics, 36(4), 1234–1240. https://doi.org/10.1093/bioinformatics/btz682</w:t>
      </w:r>
    </w:p>
    <w:p>
      <w:pPr>
        <w:spacing w:after="80" w:before="40"/>
        <w:ind w:left="720" w:hanging="720"/>
        <w:jc w:val="both"/>
      </w:pPr>
      <w:r>
        <w:rPr>
          <w:rFonts w:ascii="Times New Roman" w:cs="Times New Roman" w:eastAsia="Times New Roman" w:hAnsi="Times New Roman"/>
          <w:sz w:val="24"/>
          <w:szCs w:val="24"/>
        </w:rPr>
        <w:t xml:space="preserve">Lewis, M., Liu, Y., Goyal, N., Ghazvini Nejad, M., Mohamed, A., Levy, O., &amp; Zettlemoyer, L. (2020). BART: Denoising sequence-to-sequence pre-training. Proceedings of ACL 2020, 7871–7880.</w:t>
      </w:r>
    </w:p>
    <w:p>
      <w:pPr>
        <w:spacing w:after="80" w:before="40"/>
        <w:ind w:left="720" w:hanging="720"/>
        <w:jc w:val="both"/>
      </w:pPr>
      <w:r>
        <w:rPr>
          <w:rFonts w:ascii="Times New Roman" w:cs="Times New Roman" w:eastAsia="Times New Roman" w:hAnsi="Times New Roman"/>
          <w:sz w:val="24"/>
          <w:szCs w:val="24"/>
        </w:rPr>
        <w:t xml:space="preserve">Liu, Y., &amp; Lapata, M. (2019). Text summarization with pretrained encoders. Proceedings of EMNLP-IJCNLP 2019, 3730–3740.</w:t>
      </w:r>
    </w:p>
    <w:p>
      <w:pPr>
        <w:spacing w:after="80" w:before="40"/>
        <w:ind w:left="720" w:hanging="720"/>
        <w:jc w:val="both"/>
      </w:pPr>
      <w:r>
        <w:rPr>
          <w:rFonts w:ascii="Times New Roman" w:cs="Times New Roman" w:eastAsia="Times New Roman" w:hAnsi="Times New Roman"/>
          <w:sz w:val="24"/>
          <w:szCs w:val="24"/>
        </w:rPr>
        <w:t xml:space="preserve">Lundberg, S. M., &amp; Lee, S.-I. (2017). A unified approach to interpreting model predictions (SHAP). Advances in Neural Information Processing Systems (NeurIPS), 30.</w:t>
      </w:r>
    </w:p>
    <w:p>
      <w:pPr>
        <w:spacing w:after="80" w:before="40"/>
        <w:ind w:left="720" w:hanging="720"/>
        <w:jc w:val="both"/>
      </w:pPr>
      <w:r>
        <w:rPr>
          <w:rFonts w:ascii="Times New Roman" w:cs="Times New Roman" w:eastAsia="Times New Roman" w:hAnsi="Times New Roman"/>
          <w:sz w:val="24"/>
          <w:szCs w:val="24"/>
        </w:rPr>
        <w:t xml:space="preserve">Ribeiro, M. T., Singh, S., &amp; Guestrin, C. (2016). 'Why should I trust you?': Explaining the predictions of any classifier (LIME). Proceedings of KDD 2016, 1135–1144.</w:t>
      </w:r>
    </w:p>
    <w:p>
      <w:pPr>
        <w:spacing w:after="80" w:before="40"/>
        <w:ind w:left="720" w:hanging="720"/>
        <w:jc w:val="both"/>
      </w:pPr>
      <w:r>
        <w:rPr>
          <w:rFonts w:ascii="Times New Roman" w:cs="Times New Roman" w:eastAsia="Times New Roman" w:hAnsi="Times New Roman"/>
          <w:sz w:val="24"/>
          <w:szCs w:val="24"/>
        </w:rPr>
        <w:t xml:space="preserve">Sotudeh, S., Goharian, N., &amp; Filice, R. W. (2020). Attend to medical ontologies: Content selection for clinical abstractive summarization. Proceedings of ACL 2020, 1899–1910.</w:t>
      </w:r>
    </w:p>
    <w:p>
      <w:pPr>
        <w:spacing w:after="80" w:before="40"/>
        <w:ind w:left="720" w:hanging="720"/>
        <w:jc w:val="both"/>
      </w:pPr>
      <w:r>
        <w:rPr>
          <w:rFonts w:ascii="Times New Roman" w:cs="Times New Roman" w:eastAsia="Times New Roman" w:hAnsi="Times New Roman"/>
          <w:sz w:val="24"/>
          <w:szCs w:val="24"/>
        </w:rPr>
        <w:t xml:space="preserve">Vaswani, A., Shazeer, N., Parmar, N., Uszkoreit, J., Jones, L., Gomez, A. N., &amp; Polosukhin, I. (2017). Attention is all you need. Advances in Neural Information Processing Systems, 30.</w:t>
      </w:r>
    </w:p>
    <w:p w14:paraId="CASIAB21" w14:textId="77777777" w:rsidR="00B67911" w:rsidRDefault="00000000">
      <w:pPr>
        <w:pStyle w:val="Heading2"/>
      </w:pPr>
      <w:r>
        <w:rPr>
          <w:color w:val="153D63" w:themeColor="text2" w:themeTint="E6"/>
        </w:rPr>
        <w:t>4.4.3  CASIA-CXR Dataset: Benefits and Access Details</w:t>
      </w:r>
    </w:p>
    <w:p w14:paraId="CASIAB22" w14:textId="77777777" w:rsidR="00B67911" w:rsidRDefault="00000000">
      <w:pPr>
        <w:spacing w:before="80" w:after="80"/>
        <w:jc w:val="both"/>
      </w:pPr>
      <w:r>
        <w:t xml:space="preserve">MIMIC-III is unavailable for this project. The CASIA-CXR dataset (www.casia-cxr.net) is adopted as the primary dataset for Med Sum-AI. Table 8 summarises its advantages over MIMIC-III for this research context.</w:t>
      </w:r>
    </w:p>
    <w:p w14:paraId="CASIAB23" w14:textId="77777777" w:rsidR="00B67911" w:rsidRDefault="00000000">
      <w:pPr>
        <w:pStyle w:val="ListParagraph"/>
        <w:numPr>
          <w:ilvl w:val="0"/>
          <w:numId w:val="2"/>
        </w:numPr>
        <w:spacing w:before="50" w:after="50"/>
      </w:pPr>
      <w:r>
        <w:t xml:space="preserve">No-credential open access: CASIA-CXR is freely available at www.casia-cxr.net without PhysioNet credentialing or CITI training, enabling immediate data access and project execution without institutional delays.</w:t>
      </w:r>
    </w:p>
    <w:p w14:paraId="CASIAB24" w14:textId="77777777" w:rsidR="00B67911" w:rsidRDefault="00000000">
      <w:pPr>
        <w:pStyle w:val="ListParagraph"/>
        <w:numPr>
          <w:ilvl w:val="0"/>
          <w:numId w:val="2"/>
        </w:numPr>
        <w:spacing w:before="50" w:after="50"/>
      </w:pPr>
      <w:r>
        <w:t xml:space="preserve">Five major pathology categories: Cardiomegaly, Pneumonia, Pneumothorax, Pleural Effusion, and Mass are each represented with paired chest X-ray images, radiology report text, and binary classification labels, providing rich, diverse clinical data for all six research questions.</w:t>
      </w:r>
    </w:p>
    <w:p w14:paraId="CASIAB25" w14:textId="77777777" w:rsidR="00B67911" w:rsidRDefault="00000000">
      <w:pPr>
        <w:pStyle w:val="ListParagraph"/>
        <w:numPr>
          <w:ilvl w:val="0"/>
          <w:numId w:val="2"/>
        </w:numPr>
        <w:spacing w:before="50" w:after="50"/>
      </w:pPr>
      <w:r>
        <w:t xml:space="preserve">Structured pipeline-ready data: Per-category CSV files (Reports and Labels) map directly onto the Stage 1 preprocessing and Stage 3 feature engineering pipelines in MedSum-AI, replacing the complex NOTEEVENTS/ADMISSIONS table joins required in MIMIC-III with a simpler, more reproducible workflow.</w:t>
      </w:r>
    </w:p>
    <w:p w14:paraId="CASIAB26" w14:textId="77777777" w:rsidR="00B67911" w:rsidRDefault="00000000">
      <w:pPr>
        <w:pStyle w:val="ListParagraph"/>
        <w:numPr>
          <w:ilvl w:val="0"/>
          <w:numId w:val="2"/>
        </w:numPr>
        <w:spacing w:before="50" w:after="50"/>
      </w:pPr>
      <w:r>
        <w:t xml:space="preserve">Benchmark-aligned NLP evaluation: CASIA-CXR was purpose-designed for radiology report generation benchmarking. ROUGE-1/2/L and BERTScore baselines computed on this dataset are directly comparable to the international NLP literature, satisfying RQ1 evaluation requirements without metric recalibration.</w:t>
      </w:r>
    </w:p>
    <w:p w14:paraId="CASIAB27" w14:textId="77777777" w:rsidR="00B67911" w:rsidRDefault="00000000">
      <w:pPr>
        <w:pStyle w:val="ListParagraph"/>
        <w:numPr>
          <w:ilvl w:val="0"/>
          <w:numId w:val="2"/>
        </w:numPr>
        <w:spacing w:before="50" w:after="50"/>
      </w:pPr>
      <w:r>
        <w:t xml:space="preserve">Radiology specialisation supports RQ6 generalizability: Because CASIA-CXR is a radiology-native dataset, cross-domain transfer to Indiana University CXR and i2b2 radiology subsets provides a more coherent and clinically meaningful generalizability evaluation than MIMIC-III’s ICU-discharge-to-radiology transfer would have.</w:t>
      </w:r>
    </w:p>
    <w:p w14:paraId="CASIAB28" w14:textId="77777777" w:rsidR="00B67911" w:rsidRDefault="00000000">
      <w:pPr>
        <w:pStyle w:val="ListParagraph"/>
        <w:numPr>
          <w:ilvl w:val="0"/>
          <w:numId w:val="2"/>
        </w:numPr>
        <w:spacing w:before="50" w:after="50"/>
      </w:pPr>
      <w:r>
        <w:t xml:space="preserve">De-identified and ethically approved: CASIA-CXR meets international research ethics standards for de-identified medical data use, ensuring full compliance with the project’s ethical requirements without any additional IRB or data-use-agreement procedures.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Times New Roman" w:cs="Times New Roman" w:eastAsia="Times New Roman" w:hAnsi="Times New Roman"/>
        <w:color w:val="555555"/>
        <w:sz w:val="18"/>
        <w:szCs w:val="18"/>
      </w:rPr>
      <w:t xml:space="preserve">Page </w:t>
    </w:r>
    <w:r>
      <w:rPr>
        <w:rFonts w:ascii="Times New Roman" w:cs="Times New Roman" w:eastAsia="Times New Roman" w:hAnsi="Times New Roman"/>
        <w:color w:val="555555"/>
        <w:sz w:val="18"/>
        <w:szCs w:val="18"/>
      </w:rPr>
      <w:fldChar w:fldCharType="begin"/>
      <w:instrText xml:space="preserve">PAGE</w:instrText>
      <w:fldChar w:fldCharType="separate"/>
      <w:fldChar w:fldCharType="end"/>
    </w:r>
    <w:r>
      <w:rPr>
        <w:rFonts w:ascii="Times New Roman" w:cs="Times New Roman" w:eastAsia="Times New Roman" w:hAnsi="Times New Roman"/>
        <w:color w:val="555555"/>
        <w:sz w:val="18"/>
        <w:szCs w:val="18"/>
      </w:rPr>
      <w:t xml:space="preserve"> of </w:t>
    </w:r>
    <w:r>
      <w:rPr>
        <w:rFonts w:ascii="Times New Roman" w:cs="Times New Roman" w:eastAsia="Times New Roman" w:hAnsi="Times New Roman"/>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Times New Roman" w:cs="Times New Roman" w:eastAsia="Times New Roman" w:hAnsi="Times New Roman"/>
        <w:color w:val="555555"/>
        <w:sz w:val="18"/>
        <w:szCs w:val="18"/>
      </w:rPr>
      <w:t xml:space="preserve">MedSum-AI | Research Planning Step 4 | QM640 V1 | Spring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color w:val="1F3864"/>
      <w:sz w:val="32"/>
      <w:szCs w:val="32"/>
    </w:rPr>
  </w:style>
  <w:style w:type="paragraph" w:styleId="Heading2">
    <w:name w:val="Heading 2"/>
    <w:basedOn w:val="Normal"/>
    <w:next w:val="Normal"/>
    <w:qFormat/>
    <w:pPr>
      <w:spacing w:after="120" w:before="280"/>
      <w:outlineLvl w:val="1"/>
    </w:pPr>
    <w:rPr>
      <w:rFonts w:ascii="Times New Roman" w:cs="Times New Roman" w:eastAsia="Times New Roman" w:hAnsi="Times New Roman"/>
      <w:b/>
      <w:bCs/>
      <w:color w:val="2E75B6"/>
      <w:sz w:val="26"/>
      <w:szCs w:val="26"/>
    </w:rPr>
  </w:style>
  <w:style w:type="paragraph" w:styleId="Heading3">
    <w:name w:val="Heading 3"/>
    <w:basedOn w:val="Normal"/>
    <w:next w:val="Normal"/>
    <w:qFormat/>
    <w:pPr>
      <w:spacing w:after="80" w:before="200"/>
      <w:outlineLvl w:val="2"/>
    </w:pPr>
    <w:rPr>
      <w:rFonts w:ascii="Times New Roman" w:cs="Times New Roman" w:eastAsia="Times New Roman" w:hAnsi="Times New Roman"/>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2026-04-19T08:36:03.353Z</dcterms:created>
  <dcterms:modified xsi:type="dcterms:W3CDTF">2026-04-19T08:36:03.354Z</dcterms:modified>
</cp:coreProperties>
</file>

<file path=docProps/custom.xml><?xml version="1.0" encoding="utf-8"?>
<Properties xmlns="http://schemas.openxmlformats.org/officeDocument/2006/custom-properties" xmlns:vt="http://schemas.openxmlformats.org/officeDocument/2006/docPropsVTypes"/>
</file>