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713A7" w14:textId="252C9F27" w:rsidR="007923BE" w:rsidRPr="00D70789" w:rsidRDefault="00D70789" w:rsidP="00D70789">
      <w:pPr>
        <w:jc w:val="right"/>
        <w:rPr>
          <w:sz w:val="36"/>
          <w:szCs w:val="36"/>
          <w:rtl/>
        </w:rPr>
      </w:pPr>
      <w:r w:rsidRPr="00D70789">
        <w:rPr>
          <w:sz w:val="36"/>
          <w:szCs w:val="36"/>
        </w:rPr>
        <w:t>Magnesium Deficiency</w:t>
      </w:r>
    </w:p>
    <w:p w14:paraId="15BC1AEE" w14:textId="77777777" w:rsidR="00D70789" w:rsidRPr="00D70789" w:rsidRDefault="00D70789">
      <w:pPr>
        <w:rPr>
          <w:sz w:val="28"/>
          <w:szCs w:val="28"/>
          <w:rtl/>
        </w:rPr>
      </w:pPr>
    </w:p>
    <w:p w14:paraId="058DEFB5" w14:textId="207872F1" w:rsidR="00D70789" w:rsidRPr="00D70789" w:rsidRDefault="00D70789" w:rsidP="00D70789">
      <w:pPr>
        <w:rPr>
          <w:sz w:val="28"/>
          <w:szCs w:val="28"/>
          <w:rtl/>
        </w:rPr>
      </w:pPr>
      <w:r w:rsidRPr="00D70789">
        <w:rPr>
          <w:rFonts w:cs="Arial"/>
          <w:b/>
          <w:bCs/>
          <w:sz w:val="36"/>
          <w:szCs w:val="36"/>
          <w:rtl/>
        </w:rPr>
        <w:t>نقص المغنيسيوم</w:t>
      </w:r>
      <w:r w:rsidRPr="00D70789">
        <w:rPr>
          <w:rFonts w:cs="Arial"/>
          <w:sz w:val="28"/>
          <w:szCs w:val="28"/>
          <w:rtl/>
        </w:rPr>
        <w:t xml:space="preserve">: </w:t>
      </w:r>
      <w:r>
        <w:rPr>
          <w:rFonts w:cs="Arial" w:hint="cs"/>
          <w:sz w:val="28"/>
          <w:szCs w:val="28"/>
          <w:rtl/>
        </w:rPr>
        <w:t xml:space="preserve">يعد نقص </w:t>
      </w:r>
      <w:proofErr w:type="gramStart"/>
      <w:r>
        <w:rPr>
          <w:rFonts w:cs="Arial" w:hint="cs"/>
          <w:sz w:val="28"/>
          <w:szCs w:val="28"/>
          <w:rtl/>
        </w:rPr>
        <w:t xml:space="preserve">المغنيسيوم </w:t>
      </w:r>
      <w:r w:rsidRPr="00D70789">
        <w:rPr>
          <w:rFonts w:cs="Arial"/>
          <w:sz w:val="28"/>
          <w:szCs w:val="28"/>
          <w:rtl/>
        </w:rPr>
        <w:t xml:space="preserve"> مشكلة</w:t>
      </w:r>
      <w:proofErr w:type="gramEnd"/>
      <w:r w:rsidRPr="00D70789">
        <w:rPr>
          <w:rFonts w:cs="Arial"/>
          <w:sz w:val="28"/>
          <w:szCs w:val="28"/>
          <w:rtl/>
        </w:rPr>
        <w:t xml:space="preserve"> تجميلية في أشجار النخيل. الأعراض هي اصفرار الأوراق القديمة، </w:t>
      </w:r>
      <w:proofErr w:type="gramStart"/>
      <w:r>
        <w:rPr>
          <w:rFonts w:cs="Arial" w:hint="cs"/>
          <w:sz w:val="28"/>
          <w:szCs w:val="28"/>
          <w:rtl/>
        </w:rPr>
        <w:t>و</w:t>
      </w:r>
      <w:r w:rsidRPr="00D70789">
        <w:rPr>
          <w:rFonts w:cs="Arial"/>
          <w:sz w:val="28"/>
          <w:szCs w:val="28"/>
          <w:rtl/>
        </w:rPr>
        <w:t xml:space="preserve"> يتقدم</w:t>
      </w:r>
      <w:proofErr w:type="gramEnd"/>
      <w:r w:rsidRPr="00D70789">
        <w:rPr>
          <w:rFonts w:cs="Arial"/>
          <w:sz w:val="28"/>
          <w:szCs w:val="28"/>
          <w:rtl/>
        </w:rPr>
        <w:t xml:space="preserve"> إلى أعلى إلى أوراق ال</w:t>
      </w:r>
      <w:r>
        <w:rPr>
          <w:rFonts w:cs="Arial" w:hint="cs"/>
          <w:sz w:val="28"/>
          <w:szCs w:val="28"/>
          <w:rtl/>
        </w:rPr>
        <w:t>نخل</w:t>
      </w:r>
      <w:r w:rsidRPr="00D70789">
        <w:rPr>
          <w:rFonts w:cs="Arial"/>
          <w:sz w:val="28"/>
          <w:szCs w:val="28"/>
          <w:rtl/>
        </w:rPr>
        <w:t xml:space="preserve"> الأصغر سنًا. يتميز نقص المغنيسيوم بشريط أصفر ليموني عريض على طول حافة الأوراق القديمة مع مركز أخضر وحدود مميزة بين الأجزاء الصفراء والخضراء. إذا كانت أطراف الوريقات أيضًا أنسجة بنية ميتة، فهذا يشير إلى وجود نقص البوتاسيوم في نفس الأوراق. كما هو الحال مع نقص البوتاسيوم، فإن الأوراق التي تعاني من نقص المغنيسيوم لن تتعافى ويجب استبدالها بأوراق جديدة صحية.</w:t>
      </w:r>
    </w:p>
    <w:p w14:paraId="3131AA0D" w14:textId="77777777" w:rsidR="00D70789" w:rsidRPr="00D70789" w:rsidRDefault="00D70789" w:rsidP="00D70789">
      <w:pPr>
        <w:rPr>
          <w:sz w:val="28"/>
          <w:szCs w:val="28"/>
          <w:rtl/>
        </w:rPr>
      </w:pPr>
    </w:p>
    <w:p w14:paraId="7ED7C2D7" w14:textId="3EF178B0" w:rsidR="00D70789" w:rsidRPr="00D70789" w:rsidRDefault="00D70789" w:rsidP="00D70789">
      <w:pPr>
        <w:rPr>
          <w:sz w:val="28"/>
          <w:szCs w:val="28"/>
        </w:rPr>
      </w:pPr>
      <w:r w:rsidRPr="00D70789">
        <w:rPr>
          <w:rFonts w:cs="Arial"/>
          <w:b/>
          <w:bCs/>
          <w:sz w:val="36"/>
          <w:szCs w:val="36"/>
          <w:rtl/>
        </w:rPr>
        <w:t>الوقاية والعلاج</w:t>
      </w:r>
      <w:r w:rsidRPr="00D70789">
        <w:rPr>
          <w:rFonts w:cs="Arial"/>
          <w:sz w:val="28"/>
          <w:szCs w:val="28"/>
          <w:rtl/>
        </w:rPr>
        <w:t xml:space="preserve">: يمكن </w:t>
      </w:r>
      <w:r>
        <w:rPr>
          <w:rFonts w:cs="Arial" w:hint="cs"/>
          <w:sz w:val="28"/>
          <w:szCs w:val="28"/>
          <w:rtl/>
        </w:rPr>
        <w:t>استخدام</w:t>
      </w:r>
      <w:r w:rsidRPr="00D70789">
        <w:rPr>
          <w:rFonts w:cs="Arial"/>
          <w:sz w:val="28"/>
          <w:szCs w:val="28"/>
          <w:rtl/>
        </w:rPr>
        <w:t xml:space="preserve"> أملاح </w:t>
      </w:r>
      <w:proofErr w:type="spellStart"/>
      <w:r w:rsidRPr="00D70789">
        <w:rPr>
          <w:rFonts w:cs="Arial"/>
          <w:sz w:val="28"/>
          <w:szCs w:val="28"/>
          <w:rtl/>
        </w:rPr>
        <w:t>إبسوم</w:t>
      </w:r>
      <w:proofErr w:type="spellEnd"/>
      <w:r w:rsidRPr="00D70789">
        <w:rPr>
          <w:rFonts w:cs="Arial"/>
          <w:sz w:val="28"/>
          <w:szCs w:val="28"/>
          <w:rtl/>
        </w:rPr>
        <w:t xml:space="preserve"> (كبريتات المغنيسيوم) أو كبريتات المغنيسيوم قابلة للذوبان في الماء وتميل إلى التسرب من التربة الرملية بسرعة كبيرة. ومع ذلك، فإن استخدام 2 إلى 4 أرطال من كبريتات المغنيسيوم لكل شجرة مع البوتاسيوم المتحكم في إطلاقه أربع مرات في السنة من شأنه أن يمنع حدوث المزيد من الأعراض. ​​إذا كانت درجة حموضة التربة منخفضة، فقم بتعديلها باستخدام الحجر الجيري بناءً على نتائج اختبار التربة. تجنب استخدام أكسيد المغنيسيوم كعلاج إذا كانت التربة ذات درجة حموضة محايدة أو قلوية، لأنه غير قابل للذوبان تمامًا في التربة ذات درجة الحموضة العالية.</w:t>
      </w:r>
    </w:p>
    <w:sectPr w:rsidR="00D70789" w:rsidRPr="00D70789" w:rsidSect="00E26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89"/>
    <w:rsid w:val="005F4873"/>
    <w:rsid w:val="007923BE"/>
    <w:rsid w:val="00D70789"/>
    <w:rsid w:val="00E26A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F32F5A"/>
  <w15:chartTrackingRefBased/>
  <w15:docId w15:val="{80F36C4D-9F93-4190-90DF-1E4CA051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179</Words>
  <Characters>899</Characters>
  <Application>Microsoft Office Word</Application>
  <DocSecurity>0</DocSecurity>
  <Lines>15</Lines>
  <Paragraphs>3</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AlienWare</dc:creator>
  <cp:keywords/>
  <dc:description/>
  <cp:lastModifiedBy>AlienWare</cp:lastModifiedBy>
  <cp:revision>1</cp:revision>
  <dcterms:created xsi:type="dcterms:W3CDTF">2024-09-29T20:36:00Z</dcterms:created>
  <dcterms:modified xsi:type="dcterms:W3CDTF">2024-09-29T20:41:00Z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e8cf33a3-6a64-4782-91ba-456e89fa0d3b</vt:lpwstr>
  </property>
</Properties>
</file>