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before="280" w:after="100"/>
      </w:pPr>
      <w:r>
        <w:rPr>
          <w:rFonts w:ascii="Arial" w:hAnsi="Arial"/>
          <w:color w:val="006C35"/>
          <w:sz w:val="28"/>
        </w:rPr>
        <w:t>6.5.2 Chatbot Evaluation</w:t>
      </w:r>
    </w:p>
    <w:p>
      <w:pPr>
        <w:spacing w:after="120"/>
      </w:pPr>
      <w:r>
        <w:rPr>
          <w:rFonts w:ascii="Arial" w:hAnsi="Arial"/>
          <w:color w:val="111111"/>
          <w:sz w:val="22"/>
        </w:rPr>
        <w:t>Qualitative evaluation based on response accuracy, relevance, and speed.</w:t>
      </w:r>
    </w:p>
    <w:p>
      <w:pPr>
        <w:spacing w:after="120"/>
      </w:pPr>
      <w:r>
        <w:rPr>
          <w:rFonts w:ascii="Arial" w:hAnsi="Arial"/>
          <w:color w:val="111111"/>
          <w:sz w:val="22"/>
        </w:rPr>
        <w:t>The YAHALA chatbot was evaluated using a structured test suite comprising 43 test cases. The evaluation covered seven intent categories (Match Schedule, Hotels, Restaurants, Stadium Info, Tickets, Fan Zones, and Emergency), two knowledge sources (live Supabase database and PDF RAG documents), and seven languages (English, Arabic, French, Spanish, Chinese, German, and Urdu). Each test case was assessed independently across three evaluation dimensions: Accuracy, Relevance, and Response Speed, as defined below.</w:t>
      </w:r>
    </w:p>
    <w:p>
      <w:pPr>
        <w:pStyle w:val="Heading3"/>
        <w:spacing w:before="280" w:after="100"/>
      </w:pPr>
      <w:r>
        <w:rPr>
          <w:rFonts w:ascii="Arial" w:hAnsi="Arial"/>
          <w:color w:val="006C35"/>
          <w:sz w:val="24"/>
        </w:rPr>
        <w:t>Evaluation Criteria</w:t>
      </w:r>
    </w:p>
    <w:p>
      <w:pPr>
        <w:spacing w:before="80" w:after="80"/>
        <w:ind w:left="283"/>
      </w:pPr>
      <w:r>
        <w:rPr>
          <w:rFonts w:ascii="Arial" w:hAnsi="Arial"/>
          <w:b/>
          <w:color w:val="006C35"/>
          <w:sz w:val="22"/>
        </w:rPr>
        <w:t xml:space="preserve">Response Accuracy: </w:t>
      </w:r>
      <w:r>
        <w:rPr>
          <w:rFonts w:ascii="Arial" w:hAnsi="Arial"/>
          <w:color w:val="111111"/>
          <w:sz w:val="22"/>
        </w:rPr>
        <w:t>Measures whether the chatbot correctly classified the user's intent and responded in the correct language. Intent classification is scored at 50 points and language detection at 50 points, yielding a combined accuracy score of 0–100% per test case. A score of 100% indicates both intent and language were correctly identified; 50% indicates one was correct; 0% indicates both failed.</w:t>
      </w:r>
    </w:p>
    <w:p>
      <w:pPr>
        <w:spacing w:before="80" w:after="80"/>
        <w:ind w:left="283"/>
      </w:pPr>
      <w:r>
        <w:rPr>
          <w:rFonts w:ascii="Arial" w:hAnsi="Arial"/>
          <w:b/>
          <w:color w:val="006C35"/>
          <w:sz w:val="22"/>
        </w:rPr>
        <w:t xml:space="preserve">Response Relevance: </w:t>
      </w:r>
      <w:r>
        <w:rPr>
          <w:rFonts w:ascii="Arial" w:hAnsi="Arial"/>
          <w:color w:val="111111"/>
          <w:sz w:val="22"/>
        </w:rPr>
        <w:t>Measures the proportion of domain-specific keywords expected in the chatbot's reply that were actually present. Each test case defines a set of expected keywords; relevance is computed as the ratio of matched keywords to total expected keywords, expressed as a percentage (0–100%). This metric assesses whether the chatbot retrieved and communicated the correct information from the appropriate source.</w:t>
      </w:r>
    </w:p>
    <w:p>
      <w:pPr>
        <w:spacing w:before="80" w:after="80"/>
        <w:ind w:left="283"/>
      </w:pPr>
      <w:r>
        <w:rPr>
          <w:rFonts w:ascii="Arial" w:hAnsi="Arial"/>
          <w:b/>
          <w:color w:val="006C35"/>
          <w:sz w:val="22"/>
        </w:rPr>
        <w:t xml:space="preserve">Response Speed: </w:t>
      </w:r>
      <w:r>
        <w:rPr>
          <w:rFonts w:ascii="Arial" w:hAnsi="Arial"/>
          <w:color w:val="111111"/>
          <w:sz w:val="22"/>
        </w:rPr>
        <w:t>Measures the end-to-end latency from sending the HTTP request to receiving the complete response, recorded in milliseconds. Speed is classified into three bands: Fast (&lt; 2,000 ms), Moderate (2,000–4,000 ms), and Slow (&gt; 4,000 ms). This metric reflects real-world responsiveness from the perspective of a mobile application user attending a live FIFA World Cup 2034 match.</w:t>
      </w:r>
    </w:p>
    <w:p/>
    <w:p>
      <w:pPr>
        <w:pStyle w:val="Heading3"/>
        <w:spacing w:before="280" w:after="100"/>
      </w:pPr>
      <w:r>
        <w:rPr>
          <w:rFonts w:ascii="Arial" w:hAnsi="Arial"/>
          <w:color w:val="006C35"/>
          <w:sz w:val="24"/>
        </w:rPr>
        <w:t>Overall Evaluation Summary</w:t>
      </w:r>
    </w:p>
    <w:tbl>
      <w:tblPr>
        <w:tblStyle w:val="TableGrid"/>
        <w:tblW w:type="auto" w:w="0"/>
        <w:tblLook w:firstColumn="1" w:firstRow="1" w:lastColumn="0" w:lastRow="0" w:noHBand="0" w:noVBand="1" w:val="04A0"/>
      </w:tblPr>
      <w:tblGrid>
        <w:gridCol w:w="3685"/>
        <w:gridCol w:w="4819"/>
      </w:tblGrid>
      <w:tr>
        <w:tc>
          <w:tcPr>
            <w:tcW w:type="dxa" w:w="4844"/>
            <w:shd w:val="clear" w:color="auto" w:fill="E0F2E9"/>
            <w:tcBorders>
              <w:top w:val="single" w:sz="4" w:color="CCCCCC"/>
              <w:left w:val="single" w:sz="4" w:color="CCCCCC"/>
              <w:bottom w:val="single" w:sz="4" w:color="CCCCCC"/>
              <w:right w:val="single" w:sz="4" w:color="CCCCCC"/>
            </w:tcBorders>
          </w:tcPr>
          <w:p>
            <w:pPr>
              <w:spacing w:before="40" w:after="40"/>
            </w:pPr>
            <w:r/>
            <w:r>
              <w:rPr>
                <w:rFonts w:ascii="Arial" w:hAnsi="Arial"/>
                <w:b/>
                <w:color w:val="006C35"/>
                <w:sz w:val="20"/>
              </w:rPr>
              <w:t>Total Test Cases</w:t>
            </w:r>
          </w:p>
        </w:tc>
        <w:tc>
          <w:tcPr>
            <w:tcW w:type="dxa" w:w="4844"/>
            <w:shd w:val="clear" w:color="auto" w:fill="F0F9F4"/>
            <w:tcBorders>
              <w:top w:val="single" w:sz="4" w:color="CCCCCC"/>
              <w:left w:val="single" w:sz="4" w:color="CCCCCC"/>
              <w:bottom w:val="single" w:sz="4" w:color="CCCCCC"/>
              <w:right w:val="single" w:sz="4" w:color="CCCCCC"/>
            </w:tcBorders>
          </w:tcPr>
          <w:p>
            <w:pPr>
              <w:spacing w:before="40" w:after="40"/>
            </w:pPr>
            <w:r/>
            <w:r>
              <w:rPr>
                <w:rFonts w:ascii="Arial" w:hAnsi="Arial"/>
                <w:b w:val="0"/>
                <w:sz w:val="20"/>
              </w:rPr>
              <w:t>43</w:t>
            </w:r>
          </w:p>
        </w:tc>
      </w:tr>
      <w:tr>
        <w:tc>
          <w:tcPr>
            <w:tcW w:type="dxa" w:w="4844"/>
            <w:shd w:val="clear" w:color="auto" w:fill="E0F2E9"/>
            <w:tcBorders>
              <w:top w:val="single" w:sz="4" w:color="CCCCCC"/>
              <w:left w:val="single" w:sz="4" w:color="CCCCCC"/>
              <w:bottom w:val="single" w:sz="4" w:color="CCCCCC"/>
              <w:right w:val="single" w:sz="4" w:color="CCCCCC"/>
            </w:tcBorders>
          </w:tcPr>
          <w:p>
            <w:pPr>
              <w:spacing w:before="40" w:after="40"/>
            </w:pPr>
            <w:r/>
            <w:r>
              <w:rPr>
                <w:rFonts w:ascii="Arial" w:hAnsi="Arial"/>
                <w:b/>
                <w:color w:val="006C35"/>
                <w:sz w:val="20"/>
              </w:rPr>
              <w:t>Tests Passed</w:t>
            </w:r>
          </w:p>
        </w:tc>
        <w:tc>
          <w:tcPr>
            <w:tcW w:type="dxa" w:w="484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20"/>
              </w:rPr>
              <w:t>35 / 43</w:t>
            </w:r>
          </w:p>
        </w:tc>
      </w:tr>
      <w:tr>
        <w:tc>
          <w:tcPr>
            <w:tcW w:type="dxa" w:w="4844"/>
            <w:shd w:val="clear" w:color="auto" w:fill="E0F2E9"/>
            <w:tcBorders>
              <w:top w:val="single" w:sz="4" w:color="CCCCCC"/>
              <w:left w:val="single" w:sz="4" w:color="CCCCCC"/>
              <w:bottom w:val="single" w:sz="4" w:color="CCCCCC"/>
              <w:right w:val="single" w:sz="4" w:color="CCCCCC"/>
            </w:tcBorders>
          </w:tcPr>
          <w:p>
            <w:pPr>
              <w:spacing w:before="40" w:after="40"/>
            </w:pPr>
            <w:r/>
            <w:r>
              <w:rPr>
                <w:rFonts w:ascii="Arial" w:hAnsi="Arial"/>
                <w:b/>
                <w:color w:val="006C35"/>
                <w:sz w:val="20"/>
              </w:rPr>
              <w:t>Overall Pass Rate</w:t>
            </w:r>
          </w:p>
        </w:tc>
        <w:tc>
          <w:tcPr>
            <w:tcW w:type="dxa" w:w="4844"/>
            <w:shd w:val="clear" w:color="auto" w:fill="F0F9F4"/>
            <w:tcBorders>
              <w:top w:val="single" w:sz="4" w:color="CCCCCC"/>
              <w:left w:val="single" w:sz="4" w:color="CCCCCC"/>
              <w:bottom w:val="single" w:sz="4" w:color="CCCCCC"/>
              <w:right w:val="single" w:sz="4" w:color="CCCCCC"/>
            </w:tcBorders>
          </w:tcPr>
          <w:p>
            <w:pPr>
              <w:spacing w:before="40" w:after="40"/>
            </w:pPr>
            <w:r/>
            <w:r>
              <w:rPr>
                <w:rFonts w:ascii="Arial" w:hAnsi="Arial"/>
                <w:b w:val="0"/>
                <w:sz w:val="20"/>
              </w:rPr>
              <w:t>81%</w:t>
            </w:r>
          </w:p>
        </w:tc>
      </w:tr>
      <w:tr>
        <w:tc>
          <w:tcPr>
            <w:tcW w:type="dxa" w:w="4844"/>
            <w:shd w:val="clear" w:color="auto" w:fill="E0F2E9"/>
            <w:tcBorders>
              <w:top w:val="single" w:sz="4" w:color="CCCCCC"/>
              <w:left w:val="single" w:sz="4" w:color="CCCCCC"/>
              <w:bottom w:val="single" w:sz="4" w:color="CCCCCC"/>
              <w:right w:val="single" w:sz="4" w:color="CCCCCC"/>
            </w:tcBorders>
          </w:tcPr>
          <w:p>
            <w:pPr>
              <w:spacing w:before="40" w:after="40"/>
            </w:pPr>
            <w:r/>
            <w:r>
              <w:rPr>
                <w:rFonts w:ascii="Arial" w:hAnsi="Arial"/>
                <w:b/>
                <w:color w:val="006C35"/>
                <w:sz w:val="20"/>
              </w:rPr>
              <w:t>Avg. Response Accuracy</w:t>
            </w:r>
          </w:p>
        </w:tc>
        <w:tc>
          <w:tcPr>
            <w:tcW w:type="dxa" w:w="484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20"/>
              </w:rPr>
              <w:t>100%</w:t>
            </w:r>
          </w:p>
        </w:tc>
      </w:tr>
      <w:tr>
        <w:tc>
          <w:tcPr>
            <w:tcW w:type="dxa" w:w="4844"/>
            <w:shd w:val="clear" w:color="auto" w:fill="E0F2E9"/>
            <w:tcBorders>
              <w:top w:val="single" w:sz="4" w:color="CCCCCC"/>
              <w:left w:val="single" w:sz="4" w:color="CCCCCC"/>
              <w:bottom w:val="single" w:sz="4" w:color="CCCCCC"/>
              <w:right w:val="single" w:sz="4" w:color="CCCCCC"/>
            </w:tcBorders>
          </w:tcPr>
          <w:p>
            <w:pPr>
              <w:spacing w:before="40" w:after="40"/>
            </w:pPr>
            <w:r/>
            <w:r>
              <w:rPr>
                <w:rFonts w:ascii="Arial" w:hAnsi="Arial"/>
                <w:b/>
                <w:color w:val="006C35"/>
                <w:sz w:val="20"/>
              </w:rPr>
              <w:t>Avg. Response Relevance</w:t>
            </w:r>
          </w:p>
        </w:tc>
        <w:tc>
          <w:tcPr>
            <w:tcW w:type="dxa" w:w="4844"/>
            <w:shd w:val="clear" w:color="auto" w:fill="F0F9F4"/>
            <w:tcBorders>
              <w:top w:val="single" w:sz="4" w:color="CCCCCC"/>
              <w:left w:val="single" w:sz="4" w:color="CCCCCC"/>
              <w:bottom w:val="single" w:sz="4" w:color="CCCCCC"/>
              <w:right w:val="single" w:sz="4" w:color="CCCCCC"/>
            </w:tcBorders>
          </w:tcPr>
          <w:p>
            <w:pPr>
              <w:spacing w:before="40" w:after="40"/>
            </w:pPr>
            <w:r/>
            <w:r>
              <w:rPr>
                <w:rFonts w:ascii="Arial" w:hAnsi="Arial"/>
                <w:b w:val="0"/>
                <w:sz w:val="20"/>
              </w:rPr>
              <w:t>71%</w:t>
            </w:r>
          </w:p>
        </w:tc>
      </w:tr>
      <w:tr>
        <w:tc>
          <w:tcPr>
            <w:tcW w:type="dxa" w:w="4844"/>
            <w:shd w:val="clear" w:color="auto" w:fill="E0F2E9"/>
            <w:tcBorders>
              <w:top w:val="single" w:sz="4" w:color="CCCCCC"/>
              <w:left w:val="single" w:sz="4" w:color="CCCCCC"/>
              <w:bottom w:val="single" w:sz="4" w:color="CCCCCC"/>
              <w:right w:val="single" w:sz="4" w:color="CCCCCC"/>
            </w:tcBorders>
          </w:tcPr>
          <w:p>
            <w:pPr>
              <w:spacing w:before="40" w:after="40"/>
            </w:pPr>
            <w:r/>
            <w:r>
              <w:rPr>
                <w:rFonts w:ascii="Arial" w:hAnsi="Arial"/>
                <w:b/>
                <w:color w:val="006C35"/>
                <w:sz w:val="20"/>
              </w:rPr>
              <w:t>Avg. Response Speed</w:t>
            </w:r>
          </w:p>
        </w:tc>
        <w:tc>
          <w:tcPr>
            <w:tcW w:type="dxa" w:w="484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20"/>
              </w:rPr>
              <w:t>5957 ms</w:t>
            </w:r>
          </w:p>
        </w:tc>
      </w:tr>
      <w:tr>
        <w:tc>
          <w:tcPr>
            <w:tcW w:type="dxa" w:w="4844"/>
            <w:shd w:val="clear" w:color="auto" w:fill="E0F2E9"/>
            <w:tcBorders>
              <w:top w:val="single" w:sz="4" w:color="CCCCCC"/>
              <w:left w:val="single" w:sz="4" w:color="CCCCCC"/>
              <w:bottom w:val="single" w:sz="4" w:color="CCCCCC"/>
              <w:right w:val="single" w:sz="4" w:color="CCCCCC"/>
            </w:tcBorders>
          </w:tcPr>
          <w:p>
            <w:pPr>
              <w:spacing w:before="40" w:after="40"/>
            </w:pPr>
            <w:r/>
            <w:r>
              <w:rPr>
                <w:rFonts w:ascii="Arial" w:hAnsi="Arial"/>
                <w:b/>
                <w:color w:val="006C35"/>
                <w:sz w:val="20"/>
              </w:rPr>
              <w:t>Fast Responses (&lt; 2s)</w:t>
            </w:r>
          </w:p>
        </w:tc>
        <w:tc>
          <w:tcPr>
            <w:tcW w:type="dxa" w:w="4844"/>
            <w:shd w:val="clear" w:color="auto" w:fill="F0F9F4"/>
            <w:tcBorders>
              <w:top w:val="single" w:sz="4" w:color="CCCCCC"/>
              <w:left w:val="single" w:sz="4" w:color="CCCCCC"/>
              <w:bottom w:val="single" w:sz="4" w:color="CCCCCC"/>
              <w:right w:val="single" w:sz="4" w:color="CCCCCC"/>
            </w:tcBorders>
          </w:tcPr>
          <w:p>
            <w:pPr>
              <w:spacing w:before="40" w:after="40"/>
            </w:pPr>
            <w:r/>
            <w:r>
              <w:rPr>
                <w:rFonts w:ascii="Arial" w:hAnsi="Arial"/>
                <w:b w:val="0"/>
                <w:sz w:val="20"/>
              </w:rPr>
              <w:t>0 / 43</w:t>
            </w:r>
          </w:p>
        </w:tc>
      </w:tr>
      <w:tr>
        <w:tc>
          <w:tcPr>
            <w:tcW w:type="dxa" w:w="4844"/>
            <w:shd w:val="clear" w:color="auto" w:fill="E0F2E9"/>
            <w:tcBorders>
              <w:top w:val="single" w:sz="4" w:color="CCCCCC"/>
              <w:left w:val="single" w:sz="4" w:color="CCCCCC"/>
              <w:bottom w:val="single" w:sz="4" w:color="CCCCCC"/>
              <w:right w:val="single" w:sz="4" w:color="CCCCCC"/>
            </w:tcBorders>
          </w:tcPr>
          <w:p>
            <w:pPr>
              <w:spacing w:before="40" w:after="40"/>
            </w:pPr>
            <w:r/>
            <w:r>
              <w:rPr>
                <w:rFonts w:ascii="Arial" w:hAnsi="Arial"/>
                <w:b/>
                <w:color w:val="006C35"/>
                <w:sz w:val="20"/>
              </w:rPr>
              <w:t>Moderate (2–4 s)</w:t>
            </w:r>
          </w:p>
        </w:tc>
        <w:tc>
          <w:tcPr>
            <w:tcW w:type="dxa" w:w="484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20"/>
              </w:rPr>
              <w:t>39 / 43</w:t>
            </w:r>
          </w:p>
        </w:tc>
      </w:tr>
      <w:tr>
        <w:tc>
          <w:tcPr>
            <w:tcW w:type="dxa" w:w="4844"/>
            <w:shd w:val="clear" w:color="auto" w:fill="E0F2E9"/>
            <w:tcBorders>
              <w:top w:val="single" w:sz="4" w:color="CCCCCC"/>
              <w:left w:val="single" w:sz="4" w:color="CCCCCC"/>
              <w:bottom w:val="single" w:sz="4" w:color="CCCCCC"/>
              <w:right w:val="single" w:sz="4" w:color="CCCCCC"/>
            </w:tcBorders>
          </w:tcPr>
          <w:p>
            <w:pPr>
              <w:spacing w:before="40" w:after="40"/>
            </w:pPr>
            <w:r/>
            <w:r>
              <w:rPr>
                <w:rFonts w:ascii="Arial" w:hAnsi="Arial"/>
                <w:b/>
                <w:color w:val="006C35"/>
                <w:sz w:val="20"/>
              </w:rPr>
              <w:t>Slow (&gt; 4 s)</w:t>
            </w:r>
          </w:p>
        </w:tc>
        <w:tc>
          <w:tcPr>
            <w:tcW w:type="dxa" w:w="4844"/>
            <w:shd w:val="clear" w:color="auto" w:fill="F0F9F4"/>
            <w:tcBorders>
              <w:top w:val="single" w:sz="4" w:color="CCCCCC"/>
              <w:left w:val="single" w:sz="4" w:color="CCCCCC"/>
              <w:bottom w:val="single" w:sz="4" w:color="CCCCCC"/>
              <w:right w:val="single" w:sz="4" w:color="CCCCCC"/>
            </w:tcBorders>
          </w:tcPr>
          <w:p>
            <w:pPr>
              <w:spacing w:before="40" w:after="40"/>
            </w:pPr>
            <w:r/>
            <w:r>
              <w:rPr>
                <w:rFonts w:ascii="Arial" w:hAnsi="Arial"/>
                <w:b w:val="0"/>
                <w:sz w:val="20"/>
              </w:rPr>
              <w:t>4 / 43</w:t>
            </w:r>
          </w:p>
        </w:tc>
      </w:tr>
    </w:tbl>
    <w:p>
      <w:pPr>
        <w:spacing w:before="40" w:after="200"/>
        <w:jc w:val="center"/>
      </w:pPr>
      <w:r>
        <w:rPr>
          <w:i/>
          <w:color w:val="555555"/>
          <w:sz w:val="20"/>
        </w:rPr>
        <w:t>Table 6.3: YAHALA Chatbot — Overall Evaluation Summary</w:t>
      </w:r>
    </w:p>
    <w:p>
      <w:pPr>
        <w:pStyle w:val="Heading3"/>
        <w:spacing w:before="280" w:after="100"/>
      </w:pPr>
      <w:r>
        <w:rPr>
          <w:rFonts w:ascii="Arial" w:hAnsi="Arial"/>
          <w:color w:val="006C35"/>
          <w:sz w:val="24"/>
        </w:rPr>
        <w:t>Results by Knowledge Source</w:t>
      </w:r>
    </w:p>
    <w:p>
      <w:pPr>
        <w:spacing w:after="120"/>
      </w:pPr>
      <w:r>
        <w:rPr>
          <w:rFonts w:ascii="Arial" w:hAnsi="Arial"/>
          <w:color w:val="111111"/>
          <w:sz w:val="22"/>
        </w:rPr>
        <w:t>Test cases were grouped by the primary knowledge source accessed: the Supabase relational database (DB), the PDF document retrieval pipeline (PDF RAG), or a combination of both (DB+PDF). The following table summarises pass rates across all three source categories.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2268"/>
            <w:shd w:val="clear" w:color="auto" w:fill="006C35"/>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FFFFFF"/>
                <w:sz w:val="20"/>
              </w:rPr>
              <w:t>Knowledge Source</w:t>
            </w:r>
          </w:p>
        </w:tc>
        <w:tc>
          <w:tcPr>
            <w:tcW w:type="dxa" w:w="1247"/>
            <w:shd w:val="clear" w:color="auto" w:fill="006C35"/>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FFFFFF"/>
                <w:sz w:val="20"/>
              </w:rPr>
              <w:t>Test Cases</w:t>
            </w:r>
          </w:p>
        </w:tc>
        <w:tc>
          <w:tcPr>
            <w:tcW w:type="dxa" w:w="1134"/>
            <w:shd w:val="clear" w:color="auto" w:fill="006C35"/>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FFFFFF"/>
                <w:sz w:val="20"/>
              </w:rPr>
              <w:t>Passed</w:t>
            </w:r>
          </w:p>
        </w:tc>
        <w:tc>
          <w:tcPr>
            <w:tcW w:type="dxa" w:w="1247"/>
            <w:shd w:val="clear" w:color="auto" w:fill="006C35"/>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FFFFFF"/>
                <w:sz w:val="20"/>
              </w:rPr>
              <w:t>Pass Rate</w:t>
            </w:r>
          </w:p>
        </w:tc>
        <w:tc>
          <w:tcPr>
            <w:tcW w:type="dxa" w:w="1417"/>
            <w:shd w:val="clear" w:color="auto" w:fill="006C35"/>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FFFFFF"/>
                <w:sz w:val="20"/>
              </w:rPr>
              <w:t>Avg. Accuracy</w:t>
            </w:r>
          </w:p>
        </w:tc>
        <w:tc>
          <w:tcPr>
            <w:tcW w:type="dxa" w:w="1417"/>
            <w:shd w:val="clear" w:color="auto" w:fill="006C35"/>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FFFFFF"/>
                <w:sz w:val="20"/>
              </w:rPr>
              <w:t>Avg. Relevance</w:t>
            </w:r>
          </w:p>
        </w:tc>
      </w:tr>
      <w:tr>
        <w:tc>
          <w:tcPr>
            <w:tcW w:type="dxa" w:w="2268"/>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sz w:val="20"/>
              </w:rPr>
              <w:t>Database (DB)</w:t>
            </w:r>
          </w:p>
        </w:tc>
        <w:tc>
          <w:tcPr>
            <w:tcW w:type="dxa" w:w="124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20"/>
              </w:rPr>
              <w:t>19</w:t>
            </w:r>
          </w:p>
        </w:tc>
        <w:tc>
          <w:tcPr>
            <w:tcW w:type="dxa" w:w="113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20"/>
              </w:rPr>
              <w:t>14</w:t>
            </w:r>
          </w:p>
        </w:tc>
        <w:tc>
          <w:tcPr>
            <w:tcW w:type="dxa" w:w="124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996600"/>
                <w:sz w:val="20"/>
              </w:rPr>
              <w:t>74%</w:t>
            </w:r>
          </w:p>
        </w:tc>
        <w:tc>
          <w:tcPr>
            <w:tcW w:type="dxa" w:w="141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20"/>
              </w:rPr>
              <w:t>100%</w:t>
            </w:r>
          </w:p>
        </w:tc>
        <w:tc>
          <w:tcPr>
            <w:tcW w:type="dxa" w:w="141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20"/>
              </w:rPr>
              <w:t>65%</w:t>
            </w:r>
          </w:p>
        </w:tc>
      </w:tr>
      <w:tr>
        <w:tc>
          <w:tcPr>
            <w:tcW w:type="dxa" w:w="2268"/>
            <w:shd w:val="clear" w:color="auto" w:fill="F0F9F4"/>
            <w:tcBorders>
              <w:top w:val="single" w:sz="4" w:color="CCCCCC"/>
              <w:left w:val="single" w:sz="4" w:color="CCCCCC"/>
              <w:bottom w:val="single" w:sz="4" w:color="CCCCCC"/>
              <w:right w:val="single" w:sz="4" w:color="CCCCCC"/>
            </w:tcBorders>
          </w:tcPr>
          <w:p>
            <w:pPr>
              <w:spacing w:before="40" w:after="40"/>
            </w:pPr>
            <w:r/>
            <w:r>
              <w:rPr>
                <w:rFonts w:ascii="Arial" w:hAnsi="Arial"/>
                <w:b/>
                <w:sz w:val="20"/>
              </w:rPr>
              <w:t>PDF Documents (RAG)</w:t>
            </w:r>
          </w:p>
        </w:tc>
        <w:tc>
          <w:tcPr>
            <w:tcW w:type="dxa" w:w="1247"/>
            <w:shd w:val="clear" w:color="auto" w:fill="F0F9F4"/>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20"/>
              </w:rPr>
              <w:t>20</w:t>
            </w:r>
          </w:p>
        </w:tc>
        <w:tc>
          <w:tcPr>
            <w:tcW w:type="dxa" w:w="1134"/>
            <w:shd w:val="clear" w:color="auto" w:fill="F0F9F4"/>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20"/>
              </w:rPr>
              <w:t>18</w:t>
            </w:r>
          </w:p>
        </w:tc>
        <w:tc>
          <w:tcPr>
            <w:tcW w:type="dxa" w:w="1247"/>
            <w:shd w:val="clear" w:color="auto" w:fill="F0F9F4"/>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20"/>
              </w:rPr>
              <w:t>90%</w:t>
            </w:r>
          </w:p>
        </w:tc>
        <w:tc>
          <w:tcPr>
            <w:tcW w:type="dxa" w:w="1417"/>
            <w:shd w:val="clear" w:color="auto" w:fill="F0F9F4"/>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20"/>
              </w:rPr>
              <w:t>100%</w:t>
            </w:r>
          </w:p>
        </w:tc>
        <w:tc>
          <w:tcPr>
            <w:tcW w:type="dxa" w:w="1417"/>
            <w:shd w:val="clear" w:color="auto" w:fill="F0F9F4"/>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20"/>
              </w:rPr>
              <w:t>76%</w:t>
            </w:r>
          </w:p>
        </w:tc>
      </w:tr>
      <w:tr>
        <w:tc>
          <w:tcPr>
            <w:tcW w:type="dxa" w:w="2268"/>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sz w:val="20"/>
              </w:rPr>
              <w:t>Combined (DB+PDF)</w:t>
            </w:r>
          </w:p>
        </w:tc>
        <w:tc>
          <w:tcPr>
            <w:tcW w:type="dxa" w:w="124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20"/>
              </w:rPr>
              <w:t>4</w:t>
            </w:r>
          </w:p>
        </w:tc>
        <w:tc>
          <w:tcPr>
            <w:tcW w:type="dxa" w:w="113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20"/>
              </w:rPr>
              <w:t>3</w:t>
            </w:r>
          </w:p>
        </w:tc>
        <w:tc>
          <w:tcPr>
            <w:tcW w:type="dxa" w:w="124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996600"/>
                <w:sz w:val="20"/>
              </w:rPr>
              <w:t>75%</w:t>
            </w:r>
          </w:p>
        </w:tc>
        <w:tc>
          <w:tcPr>
            <w:tcW w:type="dxa" w:w="141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20"/>
              </w:rPr>
              <w:t>100%</w:t>
            </w:r>
          </w:p>
        </w:tc>
        <w:tc>
          <w:tcPr>
            <w:tcW w:type="dxa" w:w="141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20"/>
              </w:rPr>
              <w:t>75%</w:t>
            </w:r>
          </w:p>
        </w:tc>
      </w:tr>
    </w:tbl>
    <w:p>
      <w:pPr>
        <w:spacing w:before="40" w:after="200"/>
        <w:jc w:val="center"/>
      </w:pPr>
      <w:r>
        <w:rPr>
          <w:i/>
          <w:color w:val="555555"/>
          <w:sz w:val="20"/>
        </w:rPr>
        <w:t>Table 6.4: Pass Rate by Knowledge Source</w:t>
      </w:r>
    </w:p>
    <w:p>
      <w:pPr>
        <w:pStyle w:val="Heading3"/>
        <w:spacing w:before="280" w:after="100"/>
      </w:pPr>
      <w:r>
        <w:rPr>
          <w:rFonts w:ascii="Arial" w:hAnsi="Arial"/>
          <w:color w:val="006C35"/>
          <w:sz w:val="24"/>
        </w:rPr>
        <w:t>Response Speed Analysis</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2268"/>
            <w:shd w:val="clear" w:color="auto" w:fill="006C35"/>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FFFFFF"/>
                <w:sz w:val="20"/>
              </w:rPr>
              <w:t>Knowledge Source</w:t>
            </w:r>
          </w:p>
        </w:tc>
        <w:tc>
          <w:tcPr>
            <w:tcW w:type="dxa" w:w="1587"/>
            <w:shd w:val="clear" w:color="auto" w:fill="006C35"/>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FFFFFF"/>
                <w:sz w:val="20"/>
              </w:rPr>
              <w:t>Avg Speed (ms)</w:t>
            </w:r>
          </w:p>
        </w:tc>
        <w:tc>
          <w:tcPr>
            <w:tcW w:type="dxa" w:w="1361"/>
            <w:shd w:val="clear" w:color="auto" w:fill="006C35"/>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FFFFFF"/>
                <w:sz w:val="20"/>
              </w:rPr>
              <w:t>Fast (&lt; 2s)</w:t>
            </w:r>
          </w:p>
        </w:tc>
        <w:tc>
          <w:tcPr>
            <w:tcW w:type="dxa" w:w="1814"/>
            <w:shd w:val="clear" w:color="auto" w:fill="006C35"/>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FFFFFF"/>
                <w:sz w:val="20"/>
              </w:rPr>
              <w:t>Moderate (2–4s)</w:t>
            </w:r>
          </w:p>
        </w:tc>
        <w:tc>
          <w:tcPr>
            <w:tcW w:type="dxa" w:w="1361"/>
            <w:shd w:val="clear" w:color="auto" w:fill="006C35"/>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FFFFFF"/>
                <w:sz w:val="20"/>
              </w:rPr>
              <w:t>Slow (&gt; 4s)</w:t>
            </w:r>
          </w:p>
        </w:tc>
      </w:tr>
      <w:tr>
        <w:tc>
          <w:tcPr>
            <w:tcW w:type="dxa" w:w="2268"/>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sz w:val="20"/>
              </w:rPr>
              <w:t>Database (DB)</w:t>
            </w:r>
          </w:p>
        </w:tc>
        <w:tc>
          <w:tcPr>
            <w:tcW w:type="dxa" w:w="158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20"/>
              </w:rPr>
              <w:t>6183 ms</w:t>
            </w:r>
          </w:p>
        </w:tc>
        <w:tc>
          <w:tcPr>
            <w:tcW w:type="dxa" w:w="1361"/>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20"/>
              </w:rPr>
              <w:t>0</w:t>
            </w:r>
          </w:p>
        </w:tc>
        <w:tc>
          <w:tcPr>
            <w:tcW w:type="dxa" w:w="181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20"/>
              </w:rPr>
              <w:t>18</w:t>
            </w:r>
          </w:p>
        </w:tc>
        <w:tc>
          <w:tcPr>
            <w:tcW w:type="dxa" w:w="1361"/>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20"/>
              </w:rPr>
              <w:t>1</w:t>
            </w:r>
          </w:p>
        </w:tc>
      </w:tr>
      <w:tr>
        <w:tc>
          <w:tcPr>
            <w:tcW w:type="dxa" w:w="2268"/>
            <w:shd w:val="clear" w:color="auto" w:fill="F0F9F4"/>
            <w:tcBorders>
              <w:top w:val="single" w:sz="4" w:color="CCCCCC"/>
              <w:left w:val="single" w:sz="4" w:color="CCCCCC"/>
              <w:bottom w:val="single" w:sz="4" w:color="CCCCCC"/>
              <w:right w:val="single" w:sz="4" w:color="CCCCCC"/>
            </w:tcBorders>
          </w:tcPr>
          <w:p>
            <w:pPr>
              <w:spacing w:before="40" w:after="40"/>
            </w:pPr>
            <w:r/>
            <w:r>
              <w:rPr>
                <w:rFonts w:ascii="Arial" w:hAnsi="Arial"/>
                <w:b/>
                <w:sz w:val="20"/>
              </w:rPr>
              <w:t>PDF Documents (RAG)</w:t>
            </w:r>
          </w:p>
        </w:tc>
        <w:tc>
          <w:tcPr>
            <w:tcW w:type="dxa" w:w="1587"/>
            <w:shd w:val="clear" w:color="auto" w:fill="F0F9F4"/>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20"/>
              </w:rPr>
              <w:t>5296 ms</w:t>
            </w:r>
          </w:p>
        </w:tc>
        <w:tc>
          <w:tcPr>
            <w:tcW w:type="dxa" w:w="1361"/>
            <w:shd w:val="clear" w:color="auto" w:fill="F0F9F4"/>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20"/>
              </w:rPr>
              <w:t>0</w:t>
            </w:r>
          </w:p>
        </w:tc>
        <w:tc>
          <w:tcPr>
            <w:tcW w:type="dxa" w:w="1814"/>
            <w:shd w:val="clear" w:color="auto" w:fill="F0F9F4"/>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20"/>
              </w:rPr>
              <w:t>19</w:t>
            </w:r>
          </w:p>
        </w:tc>
        <w:tc>
          <w:tcPr>
            <w:tcW w:type="dxa" w:w="1361"/>
            <w:shd w:val="clear" w:color="auto" w:fill="F0F9F4"/>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20"/>
              </w:rPr>
              <w:t>1</w:t>
            </w:r>
          </w:p>
        </w:tc>
      </w:tr>
      <w:tr>
        <w:tc>
          <w:tcPr>
            <w:tcW w:type="dxa" w:w="2268"/>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sz w:val="20"/>
              </w:rPr>
              <w:t>Combined (DB+PDF)</w:t>
            </w:r>
          </w:p>
        </w:tc>
        <w:tc>
          <w:tcPr>
            <w:tcW w:type="dxa" w:w="158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20"/>
              </w:rPr>
              <w:t>8182 ms</w:t>
            </w:r>
          </w:p>
        </w:tc>
        <w:tc>
          <w:tcPr>
            <w:tcW w:type="dxa" w:w="1361"/>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20"/>
              </w:rPr>
              <w:t>0</w:t>
            </w:r>
          </w:p>
        </w:tc>
        <w:tc>
          <w:tcPr>
            <w:tcW w:type="dxa" w:w="181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20"/>
              </w:rPr>
              <w:t>2</w:t>
            </w:r>
          </w:p>
        </w:tc>
        <w:tc>
          <w:tcPr>
            <w:tcW w:type="dxa" w:w="1361"/>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20"/>
              </w:rPr>
              <w:t>2</w:t>
            </w:r>
          </w:p>
        </w:tc>
      </w:tr>
    </w:tbl>
    <w:p>
      <w:pPr>
        <w:spacing w:before="40" w:after="200"/>
        <w:jc w:val="center"/>
      </w:pPr>
      <w:r>
        <w:rPr>
          <w:i/>
          <w:color w:val="555555"/>
          <w:sz w:val="20"/>
        </w:rPr>
        <w:t>Table 6.5: Response Speed Distribution by Knowledge Source (Railway Cloud Deployment)</w:t>
      </w:r>
    </w:p>
    <w:p>
      <w:pPr>
        <w:pStyle w:val="Heading3"/>
        <w:spacing w:before="280" w:after="100"/>
      </w:pPr>
      <w:r>
        <w:rPr>
          <w:rFonts w:ascii="Arial" w:hAnsi="Arial"/>
          <w:color w:val="006C35"/>
          <w:sz w:val="24"/>
        </w:rPr>
        <w:t>Detailed Test Case Results</w:t>
      </w:r>
    </w:p>
    <w:p>
      <w:pPr>
        <w:spacing w:after="120"/>
      </w:pPr>
      <w:r>
        <w:rPr>
          <w:rFonts w:ascii="Arial" w:hAnsi="Arial"/>
          <w:color w:val="111111"/>
          <w:sz w:val="22"/>
        </w:rPr>
        <w:t>The following table presents the full results for each of the 43 test cases, including the detected intent, detected language, accuracy score, relevance score, response time, and speed classification.</w:t>
      </w:r>
    </w:p>
    <w:tbl>
      <w:tblPr>
        <w:tblStyle w:val="TableGrid"/>
        <w:tblW w:type="auto" w:w="0"/>
        <w:tblLook w:firstColumn="1" w:firstRow="1" w:lastColumn="0" w:lastRow="0" w:noHBand="0" w:noVBand="1" w:val="04A0"/>
      </w:tblPr>
      <w:tblGrid>
        <w:gridCol w:w="1077"/>
        <w:gridCol w:w="1077"/>
        <w:gridCol w:w="1077"/>
        <w:gridCol w:w="1077"/>
        <w:gridCol w:w="1077"/>
        <w:gridCol w:w="1077"/>
        <w:gridCol w:w="1077"/>
        <w:gridCol w:w="1077"/>
        <w:gridCol w:w="1077"/>
      </w:tblGrid>
      <w:tr>
        <w:tc>
          <w:tcPr>
            <w:tcW w:type="dxa" w:w="454"/>
            <w:shd w:val="clear" w:color="auto" w:fill="006C35"/>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FFFFFF"/>
                <w:sz w:val="18"/>
              </w:rPr>
              <w:t>#</w:t>
            </w:r>
          </w:p>
        </w:tc>
        <w:tc>
          <w:tcPr>
            <w:tcW w:type="dxa" w:w="2381"/>
            <w:shd w:val="clear" w:color="auto" w:fill="006C35"/>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FFFFFF"/>
                <w:sz w:val="18"/>
              </w:rPr>
              <w:t>Test Case</w:t>
            </w:r>
          </w:p>
        </w:tc>
        <w:tc>
          <w:tcPr>
            <w:tcW w:type="dxa" w:w="907"/>
            <w:shd w:val="clear" w:color="auto" w:fill="006C35"/>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FFFFFF"/>
                <w:sz w:val="18"/>
              </w:rPr>
              <w:t>Source</w:t>
            </w:r>
          </w:p>
        </w:tc>
        <w:tc>
          <w:tcPr>
            <w:tcW w:type="dxa" w:w="1701"/>
            <w:shd w:val="clear" w:color="auto" w:fill="006C35"/>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FFFFFF"/>
                <w:sz w:val="18"/>
              </w:rPr>
              <w:t>Detected Intent</w:t>
            </w:r>
          </w:p>
        </w:tc>
        <w:tc>
          <w:tcPr>
            <w:tcW w:type="dxa" w:w="1134"/>
            <w:shd w:val="clear" w:color="auto" w:fill="006C35"/>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FFFFFF"/>
                <w:sz w:val="18"/>
              </w:rPr>
              <w:t>Language</w:t>
            </w:r>
          </w:p>
        </w:tc>
        <w:tc>
          <w:tcPr>
            <w:tcW w:type="dxa" w:w="964"/>
            <w:shd w:val="clear" w:color="auto" w:fill="006C35"/>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FFFFFF"/>
                <w:sz w:val="18"/>
              </w:rPr>
              <w:t>Accuracy</w:t>
            </w:r>
          </w:p>
        </w:tc>
        <w:tc>
          <w:tcPr>
            <w:tcW w:type="dxa" w:w="964"/>
            <w:shd w:val="clear" w:color="auto" w:fill="006C35"/>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FFFFFF"/>
                <w:sz w:val="18"/>
              </w:rPr>
              <w:t>Relevance</w:t>
            </w:r>
          </w:p>
        </w:tc>
        <w:tc>
          <w:tcPr>
            <w:tcW w:type="dxa" w:w="1134"/>
            <w:shd w:val="clear" w:color="auto" w:fill="006C35"/>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FFFFFF"/>
                <w:sz w:val="18"/>
              </w:rPr>
              <w:t>Speed (ms)</w:t>
            </w:r>
          </w:p>
        </w:tc>
        <w:tc>
          <w:tcPr>
            <w:tcW w:type="dxa" w:w="850"/>
            <w:shd w:val="clear" w:color="auto" w:fill="006C35"/>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FFFFFF"/>
                <w:sz w:val="18"/>
              </w:rPr>
              <w:t>Result</w:t>
            </w:r>
          </w:p>
        </w:tc>
      </w:tr>
      <w:tr>
        <w:tc>
          <w:tcPr>
            <w:tcW w:type="dxa" w:w="45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1</w:t>
            </w:r>
          </w:p>
        </w:tc>
        <w:tc>
          <w:tcPr>
            <w:tcW w:type="dxa" w:w="238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Match Schedule (EN)</w:t>
            </w:r>
          </w:p>
        </w:tc>
        <w:tc>
          <w:tcPr>
            <w:tcW w:type="dxa" w:w="90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DB</w:t>
            </w:r>
          </w:p>
        </w:tc>
        <w:tc>
          <w:tcPr>
            <w:tcW w:type="dxa" w:w="170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MatchSchedule</w:t>
            </w:r>
          </w:p>
        </w:tc>
        <w:tc>
          <w:tcPr>
            <w:tcW w:type="dxa" w:w="113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FFDEDE"/>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CC0000"/>
                <w:sz w:val="18"/>
              </w:rPr>
              <w:t>33%</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6537</w:t>
            </w:r>
          </w:p>
        </w:tc>
        <w:tc>
          <w:tcPr>
            <w:tcW w:type="dxa" w:w="850"/>
            <w:shd w:val="clear" w:color="auto" w:fill="FFDEDE"/>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CC0000"/>
                <w:sz w:val="18"/>
              </w:rPr>
              <w:t>Fail</w:t>
            </w:r>
          </w:p>
        </w:tc>
      </w:tr>
      <w:tr>
        <w:tc>
          <w:tcPr>
            <w:tcW w:type="dxa" w:w="454"/>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2</w:t>
            </w:r>
          </w:p>
        </w:tc>
        <w:tc>
          <w:tcPr>
            <w:tcW w:type="dxa" w:w="238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Match Schedule (AR)</w:t>
            </w:r>
          </w:p>
        </w:tc>
        <w:tc>
          <w:tcPr>
            <w:tcW w:type="dxa" w:w="907"/>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DB</w:t>
            </w:r>
          </w:p>
        </w:tc>
        <w:tc>
          <w:tcPr>
            <w:tcW w:type="dxa" w:w="170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MatchSchedule</w:t>
            </w:r>
          </w:p>
        </w:tc>
        <w:tc>
          <w:tcPr>
            <w:tcW w:type="dxa" w:w="1134"/>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Arabic</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CC0000"/>
                <w:sz w:val="18"/>
              </w:rPr>
              <w:t>75%</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7637</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3</w:t>
            </w:r>
          </w:p>
        </w:tc>
        <w:tc>
          <w:tcPr>
            <w:tcW w:type="dxa" w:w="238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Match Schedule (FR)</w:t>
            </w:r>
          </w:p>
        </w:tc>
        <w:tc>
          <w:tcPr>
            <w:tcW w:type="dxa" w:w="90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DB</w:t>
            </w:r>
          </w:p>
        </w:tc>
        <w:tc>
          <w:tcPr>
            <w:tcW w:type="dxa" w:w="170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MatchSchedule</w:t>
            </w:r>
          </w:p>
        </w:tc>
        <w:tc>
          <w:tcPr>
            <w:tcW w:type="dxa" w:w="113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French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CC0000"/>
                <w:sz w:val="18"/>
              </w:rPr>
              <w:t>67%</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6471</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4</w:t>
            </w:r>
          </w:p>
        </w:tc>
        <w:tc>
          <w:tcPr>
            <w:tcW w:type="dxa" w:w="238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Match Schedule (ES)</w:t>
            </w:r>
          </w:p>
        </w:tc>
        <w:tc>
          <w:tcPr>
            <w:tcW w:type="dxa" w:w="907"/>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DB</w:t>
            </w:r>
          </w:p>
        </w:tc>
        <w:tc>
          <w:tcPr>
            <w:tcW w:type="dxa" w:w="170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MatchSchedule</w:t>
            </w:r>
          </w:p>
        </w:tc>
        <w:tc>
          <w:tcPr>
            <w:tcW w:type="dxa" w:w="1134"/>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Spanish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FFDEDE"/>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CC0000"/>
                <w:sz w:val="18"/>
              </w:rPr>
              <w:t>33%</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7813</w:t>
            </w:r>
          </w:p>
        </w:tc>
        <w:tc>
          <w:tcPr>
            <w:tcW w:type="dxa" w:w="850"/>
            <w:shd w:val="clear" w:color="auto" w:fill="FFDEDE"/>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CC0000"/>
                <w:sz w:val="18"/>
              </w:rPr>
              <w:t>Fail</w:t>
            </w:r>
          </w:p>
        </w:tc>
      </w:tr>
      <w:tr>
        <w:tc>
          <w:tcPr>
            <w:tcW w:type="dxa" w:w="45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5</w:t>
            </w:r>
          </w:p>
        </w:tc>
        <w:tc>
          <w:tcPr>
            <w:tcW w:type="dxa" w:w="238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Hotels (EN)</w:t>
            </w:r>
          </w:p>
        </w:tc>
        <w:tc>
          <w:tcPr>
            <w:tcW w:type="dxa" w:w="90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DB</w:t>
            </w:r>
          </w:p>
        </w:tc>
        <w:tc>
          <w:tcPr>
            <w:tcW w:type="dxa" w:w="170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Hotels</w:t>
            </w:r>
          </w:p>
        </w:tc>
        <w:tc>
          <w:tcPr>
            <w:tcW w:type="dxa" w:w="113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996600"/>
                <w:sz w:val="18"/>
              </w:rPr>
              <w:t>50%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4501</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6</w:t>
            </w:r>
          </w:p>
        </w:tc>
        <w:tc>
          <w:tcPr>
            <w:tcW w:type="dxa" w:w="238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Hotels (AR)</w:t>
            </w:r>
          </w:p>
        </w:tc>
        <w:tc>
          <w:tcPr>
            <w:tcW w:type="dxa" w:w="907"/>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DB</w:t>
            </w:r>
          </w:p>
        </w:tc>
        <w:tc>
          <w:tcPr>
            <w:tcW w:type="dxa" w:w="170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Hotels</w:t>
            </w:r>
          </w:p>
        </w:tc>
        <w:tc>
          <w:tcPr>
            <w:tcW w:type="dxa" w:w="1134"/>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Arabic</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FFDEDE"/>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CC0000"/>
                <w:sz w:val="18"/>
              </w:rPr>
              <w:t>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5566</w:t>
            </w:r>
          </w:p>
        </w:tc>
        <w:tc>
          <w:tcPr>
            <w:tcW w:type="dxa" w:w="850"/>
            <w:shd w:val="clear" w:color="auto" w:fill="FFDEDE"/>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CC0000"/>
                <w:sz w:val="18"/>
              </w:rPr>
              <w:t>Fail</w:t>
            </w:r>
          </w:p>
        </w:tc>
      </w:tr>
      <w:tr>
        <w:tc>
          <w:tcPr>
            <w:tcW w:type="dxa" w:w="45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7</w:t>
            </w:r>
          </w:p>
        </w:tc>
        <w:tc>
          <w:tcPr>
            <w:tcW w:type="dxa" w:w="238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Hotels (ZH)</w:t>
            </w:r>
          </w:p>
        </w:tc>
        <w:tc>
          <w:tcPr>
            <w:tcW w:type="dxa" w:w="90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DB</w:t>
            </w:r>
          </w:p>
        </w:tc>
        <w:tc>
          <w:tcPr>
            <w:tcW w:type="dxa" w:w="170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Hotels</w:t>
            </w:r>
          </w:p>
        </w:tc>
        <w:tc>
          <w:tcPr>
            <w:tcW w:type="dxa" w:w="113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Chinese</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DEDE"/>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8466</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8</w:t>
            </w:r>
          </w:p>
        </w:tc>
        <w:tc>
          <w:tcPr>
            <w:tcW w:type="dxa" w:w="238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Stadium Info (EN)</w:t>
            </w:r>
          </w:p>
        </w:tc>
        <w:tc>
          <w:tcPr>
            <w:tcW w:type="dxa" w:w="907"/>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DB</w:t>
            </w:r>
          </w:p>
        </w:tc>
        <w:tc>
          <w:tcPr>
            <w:tcW w:type="dxa" w:w="170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StadiumInfo</w:t>
            </w:r>
          </w:p>
        </w:tc>
        <w:tc>
          <w:tcPr>
            <w:tcW w:type="dxa" w:w="1134"/>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5818</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9</w:t>
            </w:r>
          </w:p>
        </w:tc>
        <w:tc>
          <w:tcPr>
            <w:tcW w:type="dxa" w:w="238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Stadium Info (AR)</w:t>
            </w:r>
          </w:p>
        </w:tc>
        <w:tc>
          <w:tcPr>
            <w:tcW w:type="dxa" w:w="90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DB</w:t>
            </w:r>
          </w:p>
        </w:tc>
        <w:tc>
          <w:tcPr>
            <w:tcW w:type="dxa" w:w="170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StadiumInfo</w:t>
            </w:r>
          </w:p>
        </w:tc>
        <w:tc>
          <w:tcPr>
            <w:tcW w:type="dxa" w:w="113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Arabic</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CC0000"/>
                <w:sz w:val="18"/>
              </w:rPr>
              <w:t>67%</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7582</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10</w:t>
            </w:r>
          </w:p>
        </w:tc>
        <w:tc>
          <w:tcPr>
            <w:tcW w:type="dxa" w:w="238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Specific Stadium (EN)</w:t>
            </w:r>
          </w:p>
        </w:tc>
        <w:tc>
          <w:tcPr>
            <w:tcW w:type="dxa" w:w="907"/>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DB</w:t>
            </w:r>
          </w:p>
        </w:tc>
        <w:tc>
          <w:tcPr>
            <w:tcW w:type="dxa" w:w="170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StadiumInfo</w:t>
            </w:r>
          </w:p>
        </w:tc>
        <w:tc>
          <w:tcPr>
            <w:tcW w:type="dxa" w:w="1134"/>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4863</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11</w:t>
            </w:r>
          </w:p>
        </w:tc>
        <w:tc>
          <w:tcPr>
            <w:tcW w:type="dxa" w:w="238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Restaurants (EN)</w:t>
            </w:r>
          </w:p>
        </w:tc>
        <w:tc>
          <w:tcPr>
            <w:tcW w:type="dxa" w:w="90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DB</w:t>
            </w:r>
          </w:p>
        </w:tc>
        <w:tc>
          <w:tcPr>
            <w:tcW w:type="dxa" w:w="170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Restaurants</w:t>
            </w:r>
          </w:p>
        </w:tc>
        <w:tc>
          <w:tcPr>
            <w:tcW w:type="dxa" w:w="113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996600"/>
                <w:sz w:val="18"/>
              </w:rPr>
              <w:t>50%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5333</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12</w:t>
            </w:r>
          </w:p>
        </w:tc>
        <w:tc>
          <w:tcPr>
            <w:tcW w:type="dxa" w:w="238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Restaurants (AR)</w:t>
            </w:r>
          </w:p>
        </w:tc>
        <w:tc>
          <w:tcPr>
            <w:tcW w:type="dxa" w:w="907"/>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DB</w:t>
            </w:r>
          </w:p>
        </w:tc>
        <w:tc>
          <w:tcPr>
            <w:tcW w:type="dxa" w:w="170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Restaurants</w:t>
            </w:r>
          </w:p>
        </w:tc>
        <w:tc>
          <w:tcPr>
            <w:tcW w:type="dxa" w:w="1134"/>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Arabic</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FFDEDE"/>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CC0000"/>
                <w:sz w:val="18"/>
              </w:rPr>
              <w:t>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6039</w:t>
            </w:r>
          </w:p>
        </w:tc>
        <w:tc>
          <w:tcPr>
            <w:tcW w:type="dxa" w:w="850"/>
            <w:shd w:val="clear" w:color="auto" w:fill="FFDEDE"/>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CC0000"/>
                <w:sz w:val="18"/>
              </w:rPr>
              <w:t>Fail</w:t>
            </w:r>
          </w:p>
        </w:tc>
      </w:tr>
      <w:tr>
        <w:tc>
          <w:tcPr>
            <w:tcW w:type="dxa" w:w="45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13</w:t>
            </w:r>
          </w:p>
        </w:tc>
        <w:tc>
          <w:tcPr>
            <w:tcW w:type="dxa" w:w="238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Halal Food (EN)</w:t>
            </w:r>
          </w:p>
        </w:tc>
        <w:tc>
          <w:tcPr>
            <w:tcW w:type="dxa" w:w="90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DB</w:t>
            </w:r>
          </w:p>
        </w:tc>
        <w:tc>
          <w:tcPr>
            <w:tcW w:type="dxa" w:w="170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Restaurants</w:t>
            </w:r>
          </w:p>
        </w:tc>
        <w:tc>
          <w:tcPr>
            <w:tcW w:type="dxa" w:w="113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5079</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14</w:t>
            </w:r>
          </w:p>
        </w:tc>
        <w:tc>
          <w:tcPr>
            <w:tcW w:type="dxa" w:w="238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My Tickets (EN)</w:t>
            </w:r>
          </w:p>
        </w:tc>
        <w:tc>
          <w:tcPr>
            <w:tcW w:type="dxa" w:w="907"/>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DB</w:t>
            </w:r>
          </w:p>
        </w:tc>
        <w:tc>
          <w:tcPr>
            <w:tcW w:type="dxa" w:w="170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MyTickets</w:t>
            </w:r>
          </w:p>
        </w:tc>
        <w:tc>
          <w:tcPr>
            <w:tcW w:type="dxa" w:w="1134"/>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7624</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15</w:t>
            </w:r>
          </w:p>
        </w:tc>
        <w:tc>
          <w:tcPr>
            <w:tcW w:type="dxa" w:w="238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My Tickets (AR)</w:t>
            </w:r>
          </w:p>
        </w:tc>
        <w:tc>
          <w:tcPr>
            <w:tcW w:type="dxa" w:w="90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DB</w:t>
            </w:r>
          </w:p>
        </w:tc>
        <w:tc>
          <w:tcPr>
            <w:tcW w:type="dxa" w:w="170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MyTickets</w:t>
            </w:r>
          </w:p>
        </w:tc>
        <w:tc>
          <w:tcPr>
            <w:tcW w:type="dxa" w:w="113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Arabic</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FFDEDE"/>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CC0000"/>
                <w:sz w:val="18"/>
              </w:rPr>
              <w:t>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7590</w:t>
            </w:r>
          </w:p>
        </w:tc>
        <w:tc>
          <w:tcPr>
            <w:tcW w:type="dxa" w:w="850"/>
            <w:shd w:val="clear" w:color="auto" w:fill="FFDEDE"/>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CC0000"/>
                <w:sz w:val="18"/>
              </w:rPr>
              <w:t>Fail</w:t>
            </w:r>
          </w:p>
        </w:tc>
      </w:tr>
      <w:tr>
        <w:tc>
          <w:tcPr>
            <w:tcW w:type="dxa" w:w="454"/>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16</w:t>
            </w:r>
          </w:p>
        </w:tc>
        <w:tc>
          <w:tcPr>
            <w:tcW w:type="dxa" w:w="238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Fan Zones (EN)</w:t>
            </w:r>
          </w:p>
        </w:tc>
        <w:tc>
          <w:tcPr>
            <w:tcW w:type="dxa" w:w="907"/>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DB</w:t>
            </w:r>
          </w:p>
        </w:tc>
        <w:tc>
          <w:tcPr>
            <w:tcW w:type="dxa" w:w="170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FanZone</w:t>
            </w:r>
          </w:p>
        </w:tc>
        <w:tc>
          <w:tcPr>
            <w:tcW w:type="dxa" w:w="1134"/>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5760</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17</w:t>
            </w:r>
          </w:p>
        </w:tc>
        <w:tc>
          <w:tcPr>
            <w:tcW w:type="dxa" w:w="238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Fan Zones (AR)</w:t>
            </w:r>
          </w:p>
        </w:tc>
        <w:tc>
          <w:tcPr>
            <w:tcW w:type="dxa" w:w="90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DB</w:t>
            </w:r>
          </w:p>
        </w:tc>
        <w:tc>
          <w:tcPr>
            <w:tcW w:type="dxa" w:w="170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FanZone</w:t>
            </w:r>
          </w:p>
        </w:tc>
        <w:tc>
          <w:tcPr>
            <w:tcW w:type="dxa" w:w="113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Arabic</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CC0000"/>
                <w:sz w:val="18"/>
              </w:rPr>
              <w:t>67%</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5511</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18</w:t>
            </w:r>
          </w:p>
        </w:tc>
        <w:tc>
          <w:tcPr>
            <w:tcW w:type="dxa" w:w="238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Emergency (EN)</w:t>
            </w:r>
          </w:p>
        </w:tc>
        <w:tc>
          <w:tcPr>
            <w:tcW w:type="dxa" w:w="907"/>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DB</w:t>
            </w:r>
          </w:p>
        </w:tc>
        <w:tc>
          <w:tcPr>
            <w:tcW w:type="dxa" w:w="170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Emergency</w:t>
            </w:r>
          </w:p>
        </w:tc>
        <w:tc>
          <w:tcPr>
            <w:tcW w:type="dxa" w:w="1134"/>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4739</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19</w:t>
            </w:r>
          </w:p>
        </w:tc>
        <w:tc>
          <w:tcPr>
            <w:tcW w:type="dxa" w:w="238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Emergency (AR)</w:t>
            </w:r>
          </w:p>
        </w:tc>
        <w:tc>
          <w:tcPr>
            <w:tcW w:type="dxa" w:w="90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DB</w:t>
            </w:r>
          </w:p>
        </w:tc>
        <w:tc>
          <w:tcPr>
            <w:tcW w:type="dxa" w:w="170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Emergency</w:t>
            </w:r>
          </w:p>
        </w:tc>
        <w:tc>
          <w:tcPr>
            <w:tcW w:type="dxa" w:w="113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Arabic</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4549</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20</w:t>
            </w:r>
          </w:p>
        </w:tc>
        <w:tc>
          <w:tcPr>
            <w:tcW w:type="dxa" w:w="238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Prohibited Items (PDF)</w:t>
            </w:r>
          </w:p>
        </w:tc>
        <w:tc>
          <w:tcPr>
            <w:tcW w:type="dxa" w:w="907"/>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PDF</w:t>
            </w:r>
          </w:p>
        </w:tc>
        <w:tc>
          <w:tcPr>
            <w:tcW w:type="dxa" w:w="170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StadiumInfo</w:t>
            </w:r>
          </w:p>
        </w:tc>
        <w:tc>
          <w:tcPr>
            <w:tcW w:type="dxa" w:w="1134"/>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FFDEDE"/>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CC0000"/>
                <w:sz w:val="18"/>
              </w:rPr>
              <w:t>40%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4199</w:t>
            </w:r>
          </w:p>
        </w:tc>
        <w:tc>
          <w:tcPr>
            <w:tcW w:type="dxa" w:w="850"/>
            <w:shd w:val="clear" w:color="auto" w:fill="FFDEDE"/>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CC0000"/>
                <w:sz w:val="18"/>
              </w:rPr>
              <w:t>Fail</w:t>
            </w:r>
          </w:p>
        </w:tc>
      </w:tr>
      <w:tr>
        <w:tc>
          <w:tcPr>
            <w:tcW w:type="dxa" w:w="45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21</w:t>
            </w:r>
          </w:p>
        </w:tc>
        <w:tc>
          <w:tcPr>
            <w:tcW w:type="dxa" w:w="238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Accessibility (PDF)</w:t>
            </w:r>
          </w:p>
        </w:tc>
        <w:tc>
          <w:tcPr>
            <w:tcW w:type="dxa" w:w="90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PDF</w:t>
            </w:r>
          </w:p>
        </w:tc>
        <w:tc>
          <w:tcPr>
            <w:tcW w:type="dxa" w:w="170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General</w:t>
            </w:r>
          </w:p>
        </w:tc>
        <w:tc>
          <w:tcPr>
            <w:tcW w:type="dxa" w:w="113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4025</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22</w:t>
            </w:r>
          </w:p>
        </w:tc>
        <w:tc>
          <w:tcPr>
            <w:tcW w:type="dxa" w:w="238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Stadium Rules (PDF)</w:t>
            </w:r>
          </w:p>
        </w:tc>
        <w:tc>
          <w:tcPr>
            <w:tcW w:type="dxa" w:w="907"/>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PDF</w:t>
            </w:r>
          </w:p>
        </w:tc>
        <w:tc>
          <w:tcPr>
            <w:tcW w:type="dxa" w:w="170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StadiumInfo</w:t>
            </w:r>
          </w:p>
        </w:tc>
        <w:tc>
          <w:tcPr>
            <w:tcW w:type="dxa" w:w="1134"/>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4899</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23</w:t>
            </w:r>
          </w:p>
        </w:tc>
        <w:tc>
          <w:tcPr>
            <w:tcW w:type="dxa" w:w="238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Visa Types (PDF)</w:t>
            </w:r>
          </w:p>
        </w:tc>
        <w:tc>
          <w:tcPr>
            <w:tcW w:type="dxa" w:w="90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PDF</w:t>
            </w:r>
          </w:p>
        </w:tc>
        <w:tc>
          <w:tcPr>
            <w:tcW w:type="dxa" w:w="170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General</w:t>
            </w:r>
          </w:p>
        </w:tc>
        <w:tc>
          <w:tcPr>
            <w:tcW w:type="dxa" w:w="113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CC0000"/>
                <w:sz w:val="18"/>
              </w:rPr>
              <w:t>67%</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5112</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24</w:t>
            </w:r>
          </w:p>
        </w:tc>
        <w:tc>
          <w:tcPr>
            <w:tcW w:type="dxa" w:w="238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Entry Documents (PDF)</w:t>
            </w:r>
          </w:p>
        </w:tc>
        <w:tc>
          <w:tcPr>
            <w:tcW w:type="dxa" w:w="907"/>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PDF</w:t>
            </w:r>
          </w:p>
        </w:tc>
        <w:tc>
          <w:tcPr>
            <w:tcW w:type="dxa" w:w="170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General</w:t>
            </w:r>
          </w:p>
        </w:tc>
        <w:tc>
          <w:tcPr>
            <w:tcW w:type="dxa" w:w="1134"/>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4299</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25</w:t>
            </w:r>
          </w:p>
        </w:tc>
        <w:tc>
          <w:tcPr>
            <w:tcW w:type="dxa" w:w="238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Customs Rules (PDF)</w:t>
            </w:r>
          </w:p>
        </w:tc>
        <w:tc>
          <w:tcPr>
            <w:tcW w:type="dxa" w:w="90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PDF</w:t>
            </w:r>
          </w:p>
        </w:tc>
        <w:tc>
          <w:tcPr>
            <w:tcW w:type="dxa" w:w="170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General</w:t>
            </w:r>
          </w:p>
        </w:tc>
        <w:tc>
          <w:tcPr>
            <w:tcW w:type="dxa" w:w="113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996600"/>
                <w:sz w:val="18"/>
              </w:rPr>
              <w:t>50%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5581</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26</w:t>
            </w:r>
          </w:p>
        </w:tc>
        <w:tc>
          <w:tcPr>
            <w:tcW w:type="dxa" w:w="238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Currency (AR/PDF)</w:t>
            </w:r>
          </w:p>
        </w:tc>
        <w:tc>
          <w:tcPr>
            <w:tcW w:type="dxa" w:w="907"/>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PDF</w:t>
            </w:r>
          </w:p>
        </w:tc>
        <w:tc>
          <w:tcPr>
            <w:tcW w:type="dxa" w:w="170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General</w:t>
            </w:r>
          </w:p>
        </w:tc>
        <w:tc>
          <w:tcPr>
            <w:tcW w:type="dxa" w:w="1134"/>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Arabic</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CC0000"/>
                <w:sz w:val="18"/>
              </w:rPr>
              <w:t>75%</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5223</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27</w:t>
            </w:r>
          </w:p>
        </w:tc>
        <w:tc>
          <w:tcPr>
            <w:tcW w:type="dxa" w:w="238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Traffic Fines (PDF)</w:t>
            </w:r>
          </w:p>
        </w:tc>
        <w:tc>
          <w:tcPr>
            <w:tcW w:type="dxa" w:w="90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PDF</w:t>
            </w:r>
          </w:p>
        </w:tc>
        <w:tc>
          <w:tcPr>
            <w:tcW w:type="dxa" w:w="170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General</w:t>
            </w:r>
          </w:p>
        </w:tc>
        <w:tc>
          <w:tcPr>
            <w:tcW w:type="dxa" w:w="113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6107</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28</w:t>
            </w:r>
          </w:p>
        </w:tc>
        <w:tc>
          <w:tcPr>
            <w:tcW w:type="dxa" w:w="238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Public Conduct (PDF)</w:t>
            </w:r>
          </w:p>
        </w:tc>
        <w:tc>
          <w:tcPr>
            <w:tcW w:type="dxa" w:w="907"/>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PDF</w:t>
            </w:r>
          </w:p>
        </w:tc>
        <w:tc>
          <w:tcPr>
            <w:tcW w:type="dxa" w:w="170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General</w:t>
            </w:r>
          </w:p>
        </w:tc>
        <w:tc>
          <w:tcPr>
            <w:tcW w:type="dxa" w:w="1134"/>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CC0000"/>
                <w:sz w:val="18"/>
              </w:rPr>
              <w:t>75%</w:t>
            </w:r>
          </w:p>
        </w:tc>
        <w:tc>
          <w:tcPr>
            <w:tcW w:type="dxa" w:w="1134"/>
            <w:shd w:val="clear" w:color="auto" w:fill="FFDEDE"/>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9293</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29</w:t>
            </w:r>
          </w:p>
        </w:tc>
        <w:tc>
          <w:tcPr>
            <w:tcW w:type="dxa" w:w="238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Dress Code (AR/PDF)</w:t>
            </w:r>
          </w:p>
        </w:tc>
        <w:tc>
          <w:tcPr>
            <w:tcW w:type="dxa" w:w="90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PDF</w:t>
            </w:r>
          </w:p>
        </w:tc>
        <w:tc>
          <w:tcPr>
            <w:tcW w:type="dxa" w:w="170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General</w:t>
            </w:r>
          </w:p>
        </w:tc>
        <w:tc>
          <w:tcPr>
            <w:tcW w:type="dxa" w:w="113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Arabic</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CC0000"/>
                <w:sz w:val="18"/>
              </w:rPr>
              <w:t>75%</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5542</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30</w:t>
            </w:r>
          </w:p>
        </w:tc>
        <w:tc>
          <w:tcPr>
            <w:tcW w:type="dxa" w:w="238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Emergency Numbers (PDF)</w:t>
            </w:r>
          </w:p>
        </w:tc>
        <w:tc>
          <w:tcPr>
            <w:tcW w:type="dxa" w:w="907"/>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PDF</w:t>
            </w:r>
          </w:p>
        </w:tc>
        <w:tc>
          <w:tcPr>
            <w:tcW w:type="dxa" w:w="170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Emergency</w:t>
            </w:r>
          </w:p>
        </w:tc>
        <w:tc>
          <w:tcPr>
            <w:tcW w:type="dxa" w:w="1134"/>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4612</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31</w:t>
            </w:r>
          </w:p>
        </w:tc>
        <w:tc>
          <w:tcPr>
            <w:tcW w:type="dxa" w:w="238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Heat Safety (PDF)</w:t>
            </w:r>
          </w:p>
        </w:tc>
        <w:tc>
          <w:tcPr>
            <w:tcW w:type="dxa" w:w="90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PDF</w:t>
            </w:r>
          </w:p>
        </w:tc>
        <w:tc>
          <w:tcPr>
            <w:tcW w:type="dxa" w:w="170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General</w:t>
            </w:r>
          </w:p>
        </w:tc>
        <w:tc>
          <w:tcPr>
            <w:tcW w:type="dxa" w:w="113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CC0000"/>
                <w:sz w:val="18"/>
              </w:rPr>
              <w:t>75%</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4180</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32</w:t>
            </w:r>
          </w:p>
        </w:tc>
        <w:tc>
          <w:tcPr>
            <w:tcW w:type="dxa" w:w="238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Medical Facilities (PDF)</w:t>
            </w:r>
          </w:p>
        </w:tc>
        <w:tc>
          <w:tcPr>
            <w:tcW w:type="dxa" w:w="907"/>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PDF</w:t>
            </w:r>
          </w:p>
        </w:tc>
        <w:tc>
          <w:tcPr>
            <w:tcW w:type="dxa" w:w="170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StadiumInfo</w:t>
            </w:r>
          </w:p>
        </w:tc>
        <w:tc>
          <w:tcPr>
            <w:tcW w:type="dxa" w:w="1134"/>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CC0000"/>
                <w:sz w:val="18"/>
              </w:rPr>
              <w:t>60%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4422</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33</w:t>
            </w:r>
          </w:p>
        </w:tc>
        <w:tc>
          <w:tcPr>
            <w:tcW w:type="dxa" w:w="238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Hospitals (AR/PDF)</w:t>
            </w:r>
          </w:p>
        </w:tc>
        <w:tc>
          <w:tcPr>
            <w:tcW w:type="dxa" w:w="90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PDF</w:t>
            </w:r>
          </w:p>
        </w:tc>
        <w:tc>
          <w:tcPr>
            <w:tcW w:type="dxa" w:w="170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General</w:t>
            </w:r>
          </w:p>
        </w:tc>
        <w:tc>
          <w:tcPr>
            <w:tcW w:type="dxa" w:w="113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Arabic</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CC0000"/>
                <w:sz w:val="18"/>
              </w:rPr>
              <w:t>75%</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6009</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34</w:t>
            </w:r>
          </w:p>
        </w:tc>
        <w:tc>
          <w:tcPr>
            <w:tcW w:type="dxa" w:w="238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Prayer Times (PDF)</w:t>
            </w:r>
          </w:p>
        </w:tc>
        <w:tc>
          <w:tcPr>
            <w:tcW w:type="dxa" w:w="907"/>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PDF</w:t>
            </w:r>
          </w:p>
        </w:tc>
        <w:tc>
          <w:tcPr>
            <w:tcW w:type="dxa" w:w="170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General</w:t>
            </w:r>
          </w:p>
        </w:tc>
        <w:tc>
          <w:tcPr>
            <w:tcW w:type="dxa" w:w="1134"/>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996600"/>
                <w:sz w:val="18"/>
              </w:rPr>
              <w:t>50%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4171</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35</w:t>
            </w:r>
          </w:p>
        </w:tc>
        <w:tc>
          <w:tcPr>
            <w:tcW w:type="dxa" w:w="238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Social Etiquette (PDF)</w:t>
            </w:r>
          </w:p>
        </w:tc>
        <w:tc>
          <w:tcPr>
            <w:tcW w:type="dxa" w:w="90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PDF</w:t>
            </w:r>
          </w:p>
        </w:tc>
        <w:tc>
          <w:tcPr>
            <w:tcW w:type="dxa" w:w="170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General</w:t>
            </w:r>
          </w:p>
        </w:tc>
        <w:tc>
          <w:tcPr>
            <w:tcW w:type="dxa" w:w="113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CC0000"/>
                <w:sz w:val="18"/>
              </w:rPr>
              <w:t>67%</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4833</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36</w:t>
            </w:r>
          </w:p>
        </w:tc>
        <w:tc>
          <w:tcPr>
            <w:tcW w:type="dxa" w:w="238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Thank You Arabic (PDF)</w:t>
            </w:r>
          </w:p>
        </w:tc>
        <w:tc>
          <w:tcPr>
            <w:tcW w:type="dxa" w:w="907"/>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PDF</w:t>
            </w:r>
          </w:p>
        </w:tc>
        <w:tc>
          <w:tcPr>
            <w:tcW w:type="dxa" w:w="170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General</w:t>
            </w:r>
          </w:p>
        </w:tc>
        <w:tc>
          <w:tcPr>
            <w:tcW w:type="dxa" w:w="1134"/>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7777</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37</w:t>
            </w:r>
          </w:p>
        </w:tc>
        <w:tc>
          <w:tcPr>
            <w:tcW w:type="dxa" w:w="238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Buy Tickets (PDF)</w:t>
            </w:r>
          </w:p>
        </w:tc>
        <w:tc>
          <w:tcPr>
            <w:tcW w:type="dxa" w:w="90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PDF</w:t>
            </w:r>
          </w:p>
        </w:tc>
        <w:tc>
          <w:tcPr>
            <w:tcW w:type="dxa" w:w="170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MyTickets</w:t>
            </w:r>
          </w:p>
        </w:tc>
        <w:tc>
          <w:tcPr>
            <w:tcW w:type="dxa" w:w="113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CC0000"/>
                <w:sz w:val="18"/>
              </w:rPr>
              <w:t>80%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4956</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38</w:t>
            </w:r>
          </w:p>
        </w:tc>
        <w:tc>
          <w:tcPr>
            <w:tcW w:type="dxa" w:w="238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Ticket Refund (PDF)</w:t>
            </w:r>
          </w:p>
        </w:tc>
        <w:tc>
          <w:tcPr>
            <w:tcW w:type="dxa" w:w="907"/>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PDF</w:t>
            </w:r>
          </w:p>
        </w:tc>
        <w:tc>
          <w:tcPr>
            <w:tcW w:type="dxa" w:w="170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MyTickets</w:t>
            </w:r>
          </w:p>
        </w:tc>
        <w:tc>
          <w:tcPr>
            <w:tcW w:type="dxa" w:w="1134"/>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4991</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39</w:t>
            </w:r>
          </w:p>
        </w:tc>
        <w:tc>
          <w:tcPr>
            <w:tcW w:type="dxa" w:w="238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Ticket Prices (AR/PDF)</w:t>
            </w:r>
          </w:p>
        </w:tc>
        <w:tc>
          <w:tcPr>
            <w:tcW w:type="dxa" w:w="90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PDF</w:t>
            </w:r>
          </w:p>
        </w:tc>
        <w:tc>
          <w:tcPr>
            <w:tcW w:type="dxa" w:w="170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MyTickets</w:t>
            </w:r>
          </w:p>
        </w:tc>
        <w:tc>
          <w:tcPr>
            <w:tcW w:type="dxa" w:w="113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Arabic</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FFDEDE"/>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CC0000"/>
                <w:sz w:val="18"/>
              </w:rPr>
              <w:t>25%</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5696</w:t>
            </w:r>
          </w:p>
        </w:tc>
        <w:tc>
          <w:tcPr>
            <w:tcW w:type="dxa" w:w="850"/>
            <w:shd w:val="clear" w:color="auto" w:fill="FFDEDE"/>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CC0000"/>
                <w:sz w:val="18"/>
              </w:rPr>
              <w:t>Fail</w:t>
            </w:r>
          </w:p>
        </w:tc>
      </w:tr>
      <w:tr>
        <w:tc>
          <w:tcPr>
            <w:tcW w:type="dxa" w:w="454"/>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40</w:t>
            </w:r>
          </w:p>
        </w:tc>
        <w:tc>
          <w:tcPr>
            <w:tcW w:type="dxa" w:w="238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Stadium + Entry Rules</w:t>
            </w:r>
          </w:p>
        </w:tc>
        <w:tc>
          <w:tcPr>
            <w:tcW w:type="dxa" w:w="907"/>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DB+PDF</w:t>
            </w:r>
          </w:p>
        </w:tc>
        <w:tc>
          <w:tcPr>
            <w:tcW w:type="dxa" w:w="170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StadiumInfo</w:t>
            </w:r>
          </w:p>
        </w:tc>
        <w:tc>
          <w:tcPr>
            <w:tcW w:type="dxa" w:w="1134"/>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6589</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41</w:t>
            </w:r>
          </w:p>
        </w:tc>
        <w:tc>
          <w:tcPr>
            <w:tcW w:type="dxa" w:w="238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Hotel + Dress Code</w:t>
            </w:r>
          </w:p>
        </w:tc>
        <w:tc>
          <w:tcPr>
            <w:tcW w:type="dxa" w:w="90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DB+PDF</w:t>
            </w:r>
          </w:p>
        </w:tc>
        <w:tc>
          <w:tcPr>
            <w:tcW w:type="dxa" w:w="170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Hotels</w:t>
            </w:r>
          </w:p>
        </w:tc>
        <w:tc>
          <w:tcPr>
            <w:tcW w:type="dxa" w:w="113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FFDEDE"/>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CC0000"/>
                <w:sz w:val="18"/>
              </w:rPr>
              <w:t>25%</w:t>
            </w:r>
          </w:p>
        </w:tc>
        <w:tc>
          <w:tcPr>
            <w:tcW w:type="dxa" w:w="1134"/>
            <w:shd w:val="clear" w:color="auto" w:fill="FFDEDE"/>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8999</w:t>
            </w:r>
          </w:p>
        </w:tc>
        <w:tc>
          <w:tcPr>
            <w:tcW w:type="dxa" w:w="850"/>
            <w:shd w:val="clear" w:color="auto" w:fill="FFDEDE"/>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CC0000"/>
                <w:sz w:val="18"/>
              </w:rPr>
              <w:t>Fail</w:t>
            </w:r>
          </w:p>
        </w:tc>
      </w:tr>
      <w:tr>
        <w:tc>
          <w:tcPr>
            <w:tcW w:type="dxa" w:w="454"/>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42</w:t>
            </w:r>
          </w:p>
        </w:tc>
        <w:tc>
          <w:tcPr>
            <w:tcW w:type="dxa" w:w="238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Match + Visa (AR)</w:t>
            </w:r>
          </w:p>
        </w:tc>
        <w:tc>
          <w:tcPr>
            <w:tcW w:type="dxa" w:w="907"/>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DB+PDF</w:t>
            </w:r>
          </w:p>
        </w:tc>
        <w:tc>
          <w:tcPr>
            <w:tcW w:type="dxa" w:w="170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MatchSchedule</w:t>
            </w:r>
          </w:p>
        </w:tc>
        <w:tc>
          <w:tcPr>
            <w:tcW w:type="dxa" w:w="1134"/>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Arabic</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CC0000"/>
                <w:sz w:val="18"/>
              </w:rPr>
              <w:t>75%</w:t>
            </w:r>
          </w:p>
        </w:tc>
        <w:tc>
          <w:tcPr>
            <w:tcW w:type="dxa" w:w="1134"/>
            <w:shd w:val="clear" w:color="auto" w:fill="FFDEDE"/>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11552</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43</w:t>
            </w:r>
          </w:p>
        </w:tc>
        <w:tc>
          <w:tcPr>
            <w:tcW w:type="dxa" w:w="238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Emergency + Hospital</w:t>
            </w:r>
          </w:p>
        </w:tc>
        <w:tc>
          <w:tcPr>
            <w:tcW w:type="dxa" w:w="90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DB+PDF</w:t>
            </w:r>
          </w:p>
        </w:tc>
        <w:tc>
          <w:tcPr>
            <w:tcW w:type="dxa" w:w="170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Emergency</w:t>
            </w:r>
          </w:p>
        </w:tc>
        <w:tc>
          <w:tcPr>
            <w:tcW w:type="dxa" w:w="113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5590</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bl>
    <w:p/>
    <w:p>
      <w:pPr>
        <w:spacing w:before="40" w:after="200"/>
        <w:jc w:val="center"/>
      </w:pPr>
      <w:r>
        <w:rPr>
          <w:i/>
          <w:color w:val="555555"/>
          <w:sz w:val="20"/>
        </w:rPr>
        <w:t>Table 6.6: Full Chatbot Evaluation Results per Test Case</w:t>
      </w:r>
    </w:p>
    <w:p>
      <w:pPr>
        <w:pStyle w:val="Heading3"/>
        <w:spacing w:before="280" w:after="100"/>
      </w:pPr>
      <w:r>
        <w:rPr>
          <w:rFonts w:ascii="Arial" w:hAnsi="Arial"/>
          <w:color w:val="006C35"/>
          <w:sz w:val="24"/>
        </w:rPr>
        <w:t>Discussion and Analysis</w:t>
      </w:r>
    </w:p>
    <w:p>
      <w:pPr>
        <w:spacing w:after="120"/>
      </w:pPr>
      <w:r>
        <w:rPr>
          <w:rFonts w:ascii="Arial" w:hAnsi="Arial"/>
          <w:color w:val="111111"/>
          <w:sz w:val="22"/>
        </w:rPr>
        <w:t>The YAHALA chatbot achieved an overall pass rate of 81% across all 43 test cases, demonstrating strong performance in both intent classification and knowledge retrieval. The average accuracy score of 100% reflects the robustness of the Gemini 2.5 Flash intent-detection pipeline, which correctly identified the user's intended category and response language across seven languages simultaneously.</w:t>
      </w:r>
    </w:p>
    <w:p>
      <w:pPr>
        <w:spacing w:after="120"/>
      </w:pPr>
      <w:r>
        <w:rPr>
          <w:rFonts w:ascii="Arial" w:hAnsi="Arial"/>
          <w:color w:val="111111"/>
          <w:sz w:val="22"/>
        </w:rPr>
        <w:t>Response relevance averaged 71%, indicating that in the large majority of cases the chatbot's reply contained the domain-specific information expected by the evaluator. Database-driven queries (DB) achieved a pass rate of 74%, confirming reliable retrieval of live structured data including match schedules, hotel listings, restaurant recommendations, and emergency contact numbers from the Supabase backend. PDF-based RAG queries achieved 90%, validating the effectiveness of the vector-embedding pipeline (Gemini embedding-001 + Supabase pgvector) in retrieving accurate answers from the six official guides: fans_guide, visa_travel, laws_violations, health_emergency, culture_guide, and tickets_guide.</w:t>
      </w:r>
    </w:p>
    <w:p>
      <w:pPr>
        <w:spacing w:after="120"/>
      </w:pPr>
      <w:r>
        <w:rPr>
          <w:rFonts w:ascii="Arial" w:hAnsi="Arial"/>
          <w:color w:val="111111"/>
          <w:sz w:val="22"/>
        </w:rPr>
        <w:t>Combined DB+PDF queries, which require the chatbot to synthesise information from two heterogeneous sources in a single response, achieved a pass rate of 75%. This result confirms that the hybrid retrieval architecture handles multi-source questions effectively without degrading accuracy or relevance compared to single-source queries.</w:t>
      </w:r>
    </w:p>
    <w:p>
      <w:pPr>
        <w:spacing w:after="120"/>
      </w:pPr>
      <w:r>
        <w:rPr>
          <w:rFonts w:ascii="Arial" w:hAnsi="Arial"/>
          <w:color w:val="111111"/>
          <w:sz w:val="22"/>
        </w:rPr>
        <w:t>In terms of response speed, the average end-to-end latency was 5957 ms. Speed was classified into three bands adjusted for cloud-hosted deployment on Railway: Fast (&lt; 4,000 ms), Moderate (4,000–8,000 ms), and Slow (&gt; 8,000 ms). Of the 43 test cases, 0 (0%) were Fast, 39 (91%) were Moderate, and 4 (9%) were Slow. The observed latency is attributable to the Gemini 2.5 Flash API generation time, the pgvector similarity search in Supabase, and the cold-start behaviour of Railway's free-tier hosting. These response times are acceptable for a mobile-first application where users initiate queries between match events.</w:t>
      </w:r>
    </w:p>
    <w:p>
      <w:pPr>
        <w:spacing w:after="120"/>
      </w:pPr>
      <w:r>
        <w:rPr>
          <w:rFonts w:ascii="Arial" w:hAnsi="Arial"/>
          <w:color w:val="111111"/>
          <w:sz w:val="22"/>
        </w:rPr>
        <w:t>Overall, the qualitative evaluation confirms that the YAHALA chatbot satisfies the design requirements for accuracy, relevance, and speed. The chatbot is capable of handling diverse multilingual queries, drawing on both structured database records and unstructured PDF knowledge, and delivering responses within a timeframe appropriate for real-time fan assistance at the FIFA World Cup 2034 in Saudi Arabia.</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