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C83A6" w14:textId="77777777" w:rsidR="007D72C2" w:rsidRPr="00A537D1" w:rsidRDefault="00A537D1">
      <w:pPr>
        <w:pStyle w:val="Title"/>
        <w:jc w:val="center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>Business Summary Report: Predictive Insights for Collections Strategy</w:t>
      </w:r>
    </w:p>
    <w:p w14:paraId="2F4337BF" w14:textId="77777777" w:rsidR="007D72C2" w:rsidRPr="00A537D1" w:rsidRDefault="00A537D1">
      <w:pPr>
        <w:pStyle w:val="Heading1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>1. Summary of Predictive Insights</w:t>
      </w:r>
    </w:p>
    <w:p w14:paraId="047D1B40" w14:textId="28AC3D20" w:rsidR="008520D9" w:rsidRPr="008520D9" w:rsidRDefault="008520D9" w:rsidP="008520D9">
      <w:pPr>
        <w:rPr>
          <w:rFonts w:ascii="Arial" w:hAnsi="Arial" w:cs="Arial"/>
          <w:color w:val="000000" w:themeColor="text1"/>
          <w:lang w:val="en-IN"/>
        </w:rPr>
      </w:pPr>
      <w:r w:rsidRPr="008520D9">
        <w:rPr>
          <w:rFonts w:ascii="Arial" w:hAnsi="Arial" w:cs="Arial"/>
          <w:color w:val="000000" w:themeColor="text1"/>
          <w:lang w:val="en-IN"/>
        </w:rPr>
        <w:t xml:space="preserve">Based on the </w:t>
      </w:r>
      <w:r w:rsidR="00001B3F" w:rsidRPr="008520D9">
        <w:rPr>
          <w:rFonts w:ascii="Arial" w:hAnsi="Arial" w:cs="Arial"/>
          <w:color w:val="000000" w:themeColor="text1"/>
          <w:lang w:val="en-IN"/>
        </w:rPr>
        <w:t>EDA and</w:t>
      </w:r>
      <w:r w:rsidRPr="008520D9">
        <w:rPr>
          <w:rFonts w:ascii="Arial" w:hAnsi="Arial" w:cs="Arial"/>
          <w:color w:val="000000" w:themeColor="text1"/>
          <w:lang w:val="en-IN"/>
        </w:rPr>
        <w:t xml:space="preserve"> predictive mode</w:t>
      </w:r>
      <w:r>
        <w:rPr>
          <w:rFonts w:ascii="Arial" w:hAnsi="Arial" w:cs="Arial"/>
          <w:color w:val="000000" w:themeColor="text1"/>
          <w:lang w:val="en-IN"/>
        </w:rPr>
        <w:t>l</w:t>
      </w:r>
      <w:r w:rsidRPr="008520D9">
        <w:rPr>
          <w:rFonts w:ascii="Arial" w:hAnsi="Arial" w:cs="Arial"/>
          <w:color w:val="000000" w:themeColor="text1"/>
          <w:lang w:val="en-IN"/>
        </w:rPr>
        <w:t>ling approach, the following key findings were identified:</w:t>
      </w:r>
    </w:p>
    <w:p w14:paraId="4E8B09D7" w14:textId="77777777" w:rsidR="008520D9" w:rsidRPr="008520D9" w:rsidRDefault="008520D9" w:rsidP="008520D9">
      <w:pPr>
        <w:numPr>
          <w:ilvl w:val="0"/>
          <w:numId w:val="10"/>
        </w:numPr>
        <w:rPr>
          <w:rFonts w:ascii="Arial" w:hAnsi="Arial" w:cs="Arial"/>
          <w:color w:val="000000" w:themeColor="text1"/>
          <w:lang w:val="en-IN"/>
        </w:rPr>
      </w:pPr>
      <w:r w:rsidRPr="008520D9">
        <w:rPr>
          <w:rFonts w:ascii="Arial" w:hAnsi="Arial" w:cs="Arial"/>
          <w:b/>
          <w:color w:val="000000" w:themeColor="text1"/>
          <w:lang w:val="en-IN"/>
        </w:rPr>
        <w:t>High delinquency risk is strongly associated with missed payments.</w:t>
      </w:r>
      <w:r w:rsidRPr="008520D9">
        <w:rPr>
          <w:rFonts w:ascii="Arial" w:hAnsi="Arial" w:cs="Arial"/>
          <w:color w:val="000000" w:themeColor="text1"/>
          <w:lang w:val="en-IN"/>
        </w:rPr>
        <w:t xml:space="preserve"> Customers with a history of multiple missed payments are the most likely to default.</w:t>
      </w:r>
    </w:p>
    <w:p w14:paraId="50978634" w14:textId="42275605" w:rsidR="00A537D1" w:rsidRDefault="008520D9" w:rsidP="00001B3F">
      <w:pPr>
        <w:numPr>
          <w:ilvl w:val="0"/>
          <w:numId w:val="10"/>
        </w:numPr>
        <w:rPr>
          <w:rFonts w:ascii="Arial" w:hAnsi="Arial" w:cs="Arial"/>
          <w:color w:val="000000" w:themeColor="text1"/>
          <w:lang w:val="en-IN"/>
        </w:rPr>
      </w:pPr>
      <w:r w:rsidRPr="008520D9">
        <w:rPr>
          <w:rFonts w:ascii="Arial" w:hAnsi="Arial" w:cs="Arial"/>
          <w:b/>
          <w:color w:val="000000" w:themeColor="text1"/>
          <w:lang w:val="en-IN"/>
        </w:rPr>
        <w:t>High credit utilization and high debt-to-income ratios significantly increase delinquency risk.</w:t>
      </w:r>
      <w:r w:rsidRPr="008520D9">
        <w:rPr>
          <w:rFonts w:ascii="Arial" w:hAnsi="Arial" w:cs="Arial"/>
          <w:color w:val="000000" w:themeColor="text1"/>
          <w:lang w:val="en-IN"/>
        </w:rPr>
        <w:t xml:space="preserve"> Customers using a larger portion of their credit limit or having high debt relative to income show greater repayment challenges.</w:t>
      </w:r>
    </w:p>
    <w:p w14:paraId="3844B0AA" w14:textId="5F384A12" w:rsidR="00001B3F" w:rsidRPr="00001B3F" w:rsidRDefault="00001B3F" w:rsidP="00001B3F">
      <w:pPr>
        <w:pStyle w:val="NormalWeb"/>
        <w:numPr>
          <w:ilvl w:val="0"/>
          <w:numId w:val="10"/>
        </w:numPr>
        <w:rPr>
          <w:rFonts w:ascii="Arial" w:eastAsiaTheme="minorEastAsia" w:hAnsi="Arial" w:cs="Arial"/>
          <w:color w:val="000000" w:themeColor="text1"/>
          <w:sz w:val="22"/>
          <w:szCs w:val="22"/>
          <w:lang w:eastAsia="en-US"/>
        </w:rPr>
      </w:pPr>
      <w:r w:rsidRPr="00001B3F">
        <w:rPr>
          <w:rFonts w:ascii="Arial" w:eastAsiaTheme="minorEastAsia" w:hAnsi="Arial" w:cs="Arial"/>
          <w:b/>
          <w:bCs/>
          <w:color w:val="000000" w:themeColor="text1"/>
          <w:sz w:val="22"/>
          <w:szCs w:val="22"/>
          <w:lang w:eastAsia="en-US"/>
        </w:rPr>
        <w:t>Low income and low credit score customers form the most vulnerable segment.</w:t>
      </w:r>
      <w:r w:rsidRPr="00001B3F">
        <w:rPr>
          <w:rFonts w:ascii="Arial" w:eastAsiaTheme="minorEastAsia" w:hAnsi="Arial" w:cs="Arial"/>
          <w:color w:val="000000" w:themeColor="text1"/>
          <w:sz w:val="22"/>
          <w:szCs w:val="22"/>
          <w:lang w:eastAsia="en-US"/>
        </w:rPr>
        <w:t xml:space="preserve"> These customers have limited repayment capacity and poor credit behavio</w:t>
      </w:r>
      <w:r w:rsidRPr="00001B3F">
        <w:rPr>
          <w:rFonts w:ascii="Arial" w:eastAsiaTheme="minorEastAsia" w:hAnsi="Arial" w:cs="Arial"/>
          <w:color w:val="000000" w:themeColor="text1"/>
          <w:sz w:val="22"/>
          <w:szCs w:val="22"/>
          <w:lang w:eastAsia="en-US"/>
        </w:rPr>
        <w:t>u</w:t>
      </w:r>
      <w:r w:rsidRPr="00001B3F">
        <w:rPr>
          <w:rFonts w:ascii="Arial" w:eastAsiaTheme="minorEastAsia" w:hAnsi="Arial" w:cs="Arial"/>
          <w:color w:val="000000" w:themeColor="text1"/>
          <w:sz w:val="22"/>
          <w:szCs w:val="22"/>
          <w:lang w:eastAsia="en-US"/>
        </w:rPr>
        <w:t>r.</w:t>
      </w:r>
    </w:p>
    <w:p w14:paraId="72833B3F" w14:textId="3EC566E8" w:rsidR="007D72C2" w:rsidRDefault="00A537D1">
      <w:pPr>
        <w:pStyle w:val="Heading1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>2</w:t>
      </w:r>
      <w:r w:rsidR="00937FC6">
        <w:rPr>
          <w:rFonts w:ascii="Arial" w:hAnsi="Arial" w:cs="Arial"/>
          <w:color w:val="000000" w:themeColor="text1"/>
        </w:rPr>
        <w:t xml:space="preserve">. </w:t>
      </w:r>
      <w:r w:rsidR="00937FC6" w:rsidRPr="00937FC6">
        <w:rPr>
          <w:rFonts w:ascii="Arial" w:hAnsi="Arial" w:cs="Arial"/>
          <w:color w:val="000000" w:themeColor="text1"/>
        </w:rPr>
        <w:t>Recommendation Framework (Based on Insight 2 – High Credit Utilization &amp; Debt-to-Income Ratio)</w:t>
      </w:r>
    </w:p>
    <w:p w14:paraId="00E6D87E" w14:textId="77777777" w:rsidR="00937FC6" w:rsidRPr="00937FC6" w:rsidRDefault="00937FC6" w:rsidP="00937FC6">
      <w:pPr>
        <w:rPr>
          <w:lang w:val="en-IN"/>
        </w:rPr>
      </w:pPr>
      <w:r w:rsidRPr="00937FC6">
        <w:rPr>
          <w:b/>
          <w:bCs/>
          <w:lang w:val="en-IN"/>
        </w:rPr>
        <w:t>Restated Insight:</w:t>
      </w:r>
      <w:r w:rsidRPr="00937FC6">
        <w:rPr>
          <w:lang w:val="en-IN"/>
        </w:rPr>
        <w:br/>
      </w:r>
      <w:r w:rsidRPr="00937FC6">
        <w:rPr>
          <w:rFonts w:ascii="Arial" w:hAnsi="Arial" w:cs="Arial"/>
          <w:color w:val="000000" w:themeColor="text1"/>
          <w:lang w:val="en-IN"/>
        </w:rPr>
        <w:t>Customers with</w:t>
      </w:r>
      <w:r w:rsidRPr="00937FC6">
        <w:rPr>
          <w:lang w:val="en-IN"/>
        </w:rPr>
        <w:t xml:space="preserve"> </w:t>
      </w:r>
      <w:r w:rsidRPr="00937FC6">
        <w:rPr>
          <w:rFonts w:ascii="Arial" w:hAnsi="Arial" w:cs="Arial"/>
          <w:b/>
          <w:bCs/>
          <w:color w:val="000000" w:themeColor="text1"/>
          <w:lang w:val="en-IN"/>
        </w:rPr>
        <w:t>credit utilization above 70%</w:t>
      </w:r>
      <w:r w:rsidRPr="00937FC6">
        <w:rPr>
          <w:lang w:val="en-IN"/>
        </w:rPr>
        <w:t xml:space="preserve"> </w:t>
      </w:r>
      <w:r w:rsidRPr="00937FC6">
        <w:rPr>
          <w:rFonts w:ascii="Arial" w:hAnsi="Arial" w:cs="Arial"/>
          <w:color w:val="000000" w:themeColor="text1"/>
          <w:lang w:val="en-IN"/>
        </w:rPr>
        <w:t>and</w:t>
      </w:r>
      <w:r w:rsidRPr="00937FC6">
        <w:rPr>
          <w:lang w:val="en-IN"/>
        </w:rPr>
        <w:t xml:space="preserve"> </w:t>
      </w:r>
      <w:r w:rsidRPr="00937FC6">
        <w:rPr>
          <w:rFonts w:ascii="Arial" w:hAnsi="Arial" w:cs="Arial"/>
          <w:b/>
          <w:bCs/>
          <w:color w:val="000000" w:themeColor="text1"/>
          <w:lang w:val="en-IN"/>
        </w:rPr>
        <w:t>debt-to-income ratio greater than 0.5</w:t>
      </w:r>
      <w:r w:rsidRPr="00937FC6">
        <w:rPr>
          <w:lang w:val="en-IN"/>
        </w:rPr>
        <w:t xml:space="preserve"> </w:t>
      </w:r>
      <w:r w:rsidRPr="00937FC6">
        <w:rPr>
          <w:rFonts w:ascii="Arial" w:hAnsi="Arial" w:cs="Arial"/>
          <w:color w:val="000000" w:themeColor="text1"/>
          <w:lang w:val="en-IN"/>
        </w:rPr>
        <w:t>are significantly more likely to become delinquent.</w:t>
      </w:r>
    </w:p>
    <w:p w14:paraId="330C151E" w14:textId="77777777" w:rsidR="00937FC6" w:rsidRPr="00937FC6" w:rsidRDefault="00937FC6" w:rsidP="00937FC6">
      <w:pPr>
        <w:rPr>
          <w:rFonts w:ascii="Arial" w:hAnsi="Arial" w:cs="Arial"/>
          <w:color w:val="000000" w:themeColor="text1"/>
          <w:lang w:val="en-IN"/>
        </w:rPr>
      </w:pPr>
      <w:r w:rsidRPr="00937FC6">
        <w:rPr>
          <w:rFonts w:ascii="Arial" w:hAnsi="Arial" w:cs="Arial"/>
          <w:b/>
          <w:bCs/>
          <w:color w:val="000000" w:themeColor="text1"/>
          <w:lang w:val="en-IN"/>
        </w:rPr>
        <w:t>Proposed Recommendation:</w:t>
      </w:r>
      <w:r w:rsidRPr="00937FC6">
        <w:rPr>
          <w:lang w:val="en-IN"/>
        </w:rPr>
        <w:br/>
      </w:r>
      <w:r w:rsidRPr="00937FC6">
        <w:rPr>
          <w:rFonts w:ascii="Arial" w:hAnsi="Arial" w:cs="Arial"/>
          <w:color w:val="000000" w:themeColor="text1"/>
          <w:lang w:val="en-IN"/>
        </w:rPr>
        <w:t xml:space="preserve">Introduce a </w:t>
      </w:r>
      <w:r w:rsidRPr="00937FC6">
        <w:rPr>
          <w:rFonts w:ascii="Arial" w:hAnsi="Arial" w:cs="Arial"/>
          <w:b/>
          <w:bCs/>
          <w:color w:val="000000" w:themeColor="text1"/>
          <w:lang w:val="en-IN"/>
        </w:rPr>
        <w:t>Credit Relief Plan</w:t>
      </w:r>
      <w:r w:rsidRPr="00937FC6">
        <w:rPr>
          <w:rFonts w:ascii="Arial" w:hAnsi="Arial" w:cs="Arial"/>
          <w:color w:val="000000" w:themeColor="text1"/>
          <w:lang w:val="en-IN"/>
        </w:rPr>
        <w:t xml:space="preserve"> for high-utilization customers, offering temporary spending limit adjustments and structured repayment options to ease repayment pressure.</w:t>
      </w:r>
    </w:p>
    <w:p w14:paraId="7192F457" w14:textId="77777777" w:rsidR="00937FC6" w:rsidRPr="00937FC6" w:rsidRDefault="00937FC6" w:rsidP="00937FC6">
      <w:pPr>
        <w:numPr>
          <w:ilvl w:val="0"/>
          <w:numId w:val="11"/>
        </w:numPr>
        <w:rPr>
          <w:rFonts w:ascii="Arial" w:hAnsi="Arial" w:cs="Arial"/>
          <w:color w:val="000000" w:themeColor="text1"/>
          <w:lang w:val="en-IN"/>
        </w:rPr>
      </w:pPr>
      <w:r w:rsidRPr="00937FC6">
        <w:rPr>
          <w:rFonts w:ascii="Arial" w:hAnsi="Arial" w:cs="Arial"/>
          <w:b/>
          <w:bCs/>
          <w:color w:val="000000" w:themeColor="text1"/>
          <w:lang w:val="en-IN"/>
        </w:rPr>
        <w:t>Specific</w:t>
      </w:r>
      <w:r w:rsidRPr="00937FC6">
        <w:rPr>
          <w:rFonts w:ascii="Arial" w:hAnsi="Arial" w:cs="Arial"/>
          <w:color w:val="000000" w:themeColor="text1"/>
          <w:lang w:val="en-IN"/>
        </w:rPr>
        <w:t>: Use the predictive model to flag customers with utilization &gt;70% and high debt ratio, and offer them repayment support and temporary credit limit controls.</w:t>
      </w:r>
    </w:p>
    <w:p w14:paraId="2DB4AE25" w14:textId="77777777" w:rsidR="00937FC6" w:rsidRPr="00937FC6" w:rsidRDefault="00937FC6" w:rsidP="00937FC6">
      <w:pPr>
        <w:numPr>
          <w:ilvl w:val="0"/>
          <w:numId w:val="11"/>
        </w:numPr>
        <w:rPr>
          <w:rFonts w:ascii="Arial" w:hAnsi="Arial" w:cs="Arial"/>
          <w:color w:val="000000" w:themeColor="text1"/>
          <w:lang w:val="en-IN"/>
        </w:rPr>
      </w:pPr>
      <w:r w:rsidRPr="00937FC6">
        <w:rPr>
          <w:rFonts w:ascii="Arial" w:hAnsi="Arial" w:cs="Arial"/>
          <w:b/>
          <w:bCs/>
          <w:color w:val="000000" w:themeColor="text1"/>
          <w:lang w:val="en-IN"/>
        </w:rPr>
        <w:t>Measurable</w:t>
      </w:r>
      <w:r w:rsidRPr="00937FC6">
        <w:rPr>
          <w:rFonts w:ascii="Arial" w:hAnsi="Arial" w:cs="Arial"/>
          <w:color w:val="000000" w:themeColor="text1"/>
          <w:lang w:val="en-IN"/>
        </w:rPr>
        <w:t xml:space="preserve">: Target a </w:t>
      </w:r>
      <w:r w:rsidRPr="00937FC6">
        <w:rPr>
          <w:rFonts w:ascii="Arial" w:hAnsi="Arial" w:cs="Arial"/>
          <w:b/>
          <w:bCs/>
          <w:color w:val="000000" w:themeColor="text1"/>
          <w:lang w:val="en-IN"/>
        </w:rPr>
        <w:t>15% reduction in delinquency rate</w:t>
      </w:r>
      <w:r w:rsidRPr="00937FC6">
        <w:rPr>
          <w:rFonts w:ascii="Arial" w:hAnsi="Arial" w:cs="Arial"/>
          <w:color w:val="000000" w:themeColor="text1"/>
          <w:lang w:val="en-IN"/>
        </w:rPr>
        <w:t xml:space="preserve"> in this segment within 3 months.</w:t>
      </w:r>
    </w:p>
    <w:p w14:paraId="07899F55" w14:textId="77777777" w:rsidR="00937FC6" w:rsidRPr="00937FC6" w:rsidRDefault="00937FC6" w:rsidP="00937FC6">
      <w:pPr>
        <w:numPr>
          <w:ilvl w:val="0"/>
          <w:numId w:val="11"/>
        </w:numPr>
        <w:rPr>
          <w:lang w:val="en-IN"/>
        </w:rPr>
      </w:pPr>
      <w:r w:rsidRPr="00937FC6">
        <w:rPr>
          <w:rFonts w:ascii="Arial" w:hAnsi="Arial" w:cs="Arial"/>
          <w:b/>
          <w:bCs/>
          <w:color w:val="000000" w:themeColor="text1"/>
          <w:lang w:val="en-IN"/>
        </w:rPr>
        <w:t>Actionable</w:t>
      </w:r>
      <w:r w:rsidRPr="00937FC6">
        <w:rPr>
          <w:b/>
          <w:bCs/>
          <w:lang w:val="en-IN"/>
        </w:rPr>
        <w:t>:</w:t>
      </w:r>
      <w:r w:rsidRPr="00937FC6">
        <w:rPr>
          <w:lang w:val="en-IN"/>
        </w:rPr>
        <w:t xml:space="preserve"> </w:t>
      </w:r>
      <w:r w:rsidRPr="00937FC6">
        <w:rPr>
          <w:rFonts w:ascii="Arial" w:hAnsi="Arial" w:cs="Arial"/>
          <w:color w:val="000000" w:themeColor="text1"/>
          <w:lang w:val="en-IN"/>
        </w:rPr>
        <w:t>Deploy automated alerts for these customers and provide customer service representatives with pre-approved repayment plan options.</w:t>
      </w:r>
    </w:p>
    <w:p w14:paraId="45B223D8" w14:textId="77777777" w:rsidR="00937FC6" w:rsidRPr="00937FC6" w:rsidRDefault="00937FC6" w:rsidP="00937FC6">
      <w:pPr>
        <w:numPr>
          <w:ilvl w:val="0"/>
          <w:numId w:val="11"/>
        </w:numPr>
        <w:rPr>
          <w:lang w:val="en-IN"/>
        </w:rPr>
      </w:pPr>
      <w:r w:rsidRPr="00937FC6">
        <w:rPr>
          <w:rFonts w:ascii="Arial" w:hAnsi="Arial" w:cs="Arial"/>
          <w:b/>
          <w:bCs/>
          <w:color w:val="000000" w:themeColor="text1"/>
          <w:lang w:val="en-IN"/>
        </w:rPr>
        <w:lastRenderedPageBreak/>
        <w:t>Relevant:</w:t>
      </w:r>
      <w:r w:rsidRPr="00937FC6">
        <w:rPr>
          <w:lang w:val="en-IN"/>
        </w:rPr>
        <w:t xml:space="preserve"> </w:t>
      </w:r>
      <w:r w:rsidRPr="00937FC6">
        <w:rPr>
          <w:rFonts w:ascii="Arial" w:hAnsi="Arial" w:cs="Arial"/>
          <w:color w:val="000000" w:themeColor="text1"/>
          <w:lang w:val="en-IN"/>
        </w:rPr>
        <w:t xml:space="preserve">This intervention directly addresses one of the strongest predictors of delinquency, aligning with </w:t>
      </w:r>
      <w:r w:rsidRPr="00937FC6">
        <w:rPr>
          <w:rFonts w:ascii="Arial" w:hAnsi="Arial" w:cs="Arial"/>
          <w:b/>
          <w:bCs/>
          <w:color w:val="000000" w:themeColor="text1"/>
          <w:lang w:val="en-IN"/>
        </w:rPr>
        <w:t>Geldium’s goal</w:t>
      </w:r>
      <w:r w:rsidRPr="00937FC6">
        <w:rPr>
          <w:rFonts w:ascii="Arial" w:hAnsi="Arial" w:cs="Arial"/>
          <w:color w:val="000000" w:themeColor="text1"/>
          <w:lang w:val="en-IN"/>
        </w:rPr>
        <w:t xml:space="preserve"> of reducing defaults through ethical, data-driven actions.</w:t>
      </w:r>
    </w:p>
    <w:p w14:paraId="5E15F680" w14:textId="77777777" w:rsidR="00937FC6" w:rsidRPr="00937FC6" w:rsidRDefault="00937FC6" w:rsidP="00937FC6">
      <w:pPr>
        <w:numPr>
          <w:ilvl w:val="0"/>
          <w:numId w:val="11"/>
        </w:numPr>
        <w:rPr>
          <w:rFonts w:ascii="Arial" w:hAnsi="Arial" w:cs="Arial"/>
          <w:color w:val="000000" w:themeColor="text1"/>
          <w:lang w:val="en-IN"/>
        </w:rPr>
      </w:pPr>
      <w:r w:rsidRPr="00937FC6">
        <w:rPr>
          <w:rFonts w:ascii="Arial" w:hAnsi="Arial" w:cs="Arial"/>
          <w:b/>
          <w:bCs/>
          <w:color w:val="000000" w:themeColor="text1"/>
          <w:lang w:val="en-IN"/>
        </w:rPr>
        <w:t>Time-bound:</w:t>
      </w:r>
      <w:r w:rsidRPr="00937FC6">
        <w:rPr>
          <w:rFonts w:ascii="Arial" w:hAnsi="Arial" w:cs="Arial"/>
          <w:color w:val="000000" w:themeColor="text1"/>
          <w:lang w:val="en-IN"/>
        </w:rPr>
        <w:t xml:space="preserve"> Launch the pilot program in </w:t>
      </w:r>
      <w:r w:rsidRPr="00937FC6">
        <w:rPr>
          <w:rFonts w:ascii="Arial" w:hAnsi="Arial" w:cs="Arial"/>
          <w:b/>
          <w:bCs/>
          <w:color w:val="000000" w:themeColor="text1"/>
          <w:lang w:val="en-IN"/>
        </w:rPr>
        <w:t>1 month</w:t>
      </w:r>
      <w:r w:rsidRPr="00937FC6">
        <w:rPr>
          <w:rFonts w:ascii="Arial" w:hAnsi="Arial" w:cs="Arial"/>
          <w:color w:val="000000" w:themeColor="text1"/>
          <w:lang w:val="en-IN"/>
        </w:rPr>
        <w:t xml:space="preserve">, review results at </w:t>
      </w:r>
      <w:r w:rsidRPr="00937FC6">
        <w:rPr>
          <w:rFonts w:ascii="Arial" w:hAnsi="Arial" w:cs="Arial"/>
          <w:b/>
          <w:bCs/>
          <w:color w:val="000000" w:themeColor="text1"/>
          <w:lang w:val="en-IN"/>
        </w:rPr>
        <w:t>90 days</w:t>
      </w:r>
      <w:r w:rsidRPr="00937FC6">
        <w:rPr>
          <w:rFonts w:ascii="Arial" w:hAnsi="Arial" w:cs="Arial"/>
          <w:color w:val="000000" w:themeColor="text1"/>
          <w:lang w:val="en-IN"/>
        </w:rPr>
        <w:t>, and expand if effective.</w:t>
      </w:r>
    </w:p>
    <w:p w14:paraId="4B9A4111" w14:textId="38DE233C" w:rsidR="00937FC6" w:rsidRPr="00937FC6" w:rsidRDefault="00937FC6" w:rsidP="00937FC6">
      <w:pPr>
        <w:rPr>
          <w:lang w:val="en-IN"/>
        </w:rPr>
      </w:pPr>
      <w:r w:rsidRPr="00937FC6">
        <w:rPr>
          <w:rFonts w:ascii="Arial" w:hAnsi="Arial" w:cs="Arial"/>
          <w:b/>
          <w:bCs/>
          <w:color w:val="000000" w:themeColor="text1"/>
          <w:lang w:val="en-IN"/>
        </w:rPr>
        <w:t>Justification and Business Rationale:</w:t>
      </w:r>
      <w:r w:rsidRPr="00937FC6">
        <w:rPr>
          <w:lang w:val="en-IN"/>
        </w:rPr>
        <w:br/>
      </w:r>
      <w:r w:rsidRPr="00937FC6">
        <w:rPr>
          <w:rFonts w:ascii="Arial" w:hAnsi="Arial" w:cs="Arial"/>
          <w:color w:val="000000" w:themeColor="text1"/>
          <w:lang w:val="en-IN"/>
        </w:rPr>
        <w:t>High credit utilization and high debt levels are strong indicators of financial stress. Proactively providing repayment support reduces defaults, preserves customer relationships, and shows responsible lending practices. This approach balances</w:t>
      </w:r>
      <w:r w:rsidRPr="00937FC6">
        <w:rPr>
          <w:lang w:val="en-IN"/>
        </w:rPr>
        <w:t xml:space="preserve"> </w:t>
      </w:r>
      <w:r w:rsidRPr="00937FC6">
        <w:rPr>
          <w:rFonts w:ascii="Arial" w:hAnsi="Arial" w:cs="Arial"/>
          <w:b/>
          <w:bCs/>
          <w:color w:val="000000" w:themeColor="text1"/>
          <w:lang w:val="en-IN"/>
        </w:rPr>
        <w:t>business goals (reducing losses)</w:t>
      </w:r>
      <w:r w:rsidRPr="00937FC6">
        <w:rPr>
          <w:rFonts w:ascii="Arial" w:hAnsi="Arial" w:cs="Arial"/>
          <w:color w:val="000000" w:themeColor="text1"/>
          <w:lang w:val="en-IN"/>
        </w:rPr>
        <w:t xml:space="preserve"> with</w:t>
      </w:r>
      <w:r w:rsidRPr="00937FC6">
        <w:rPr>
          <w:lang w:val="en-IN"/>
        </w:rPr>
        <w:t xml:space="preserve"> </w:t>
      </w:r>
      <w:r w:rsidRPr="00937FC6">
        <w:rPr>
          <w:rFonts w:ascii="Arial" w:hAnsi="Arial" w:cs="Arial"/>
          <w:b/>
          <w:bCs/>
          <w:color w:val="000000" w:themeColor="text1"/>
          <w:lang w:val="en-IN"/>
        </w:rPr>
        <w:t>customer well-being and regulatory compliance.</w:t>
      </w:r>
    </w:p>
    <w:p w14:paraId="08E6A272" w14:textId="77777777" w:rsidR="007D72C2" w:rsidRPr="00A537D1" w:rsidRDefault="00A537D1">
      <w:pPr>
        <w:pStyle w:val="Heading1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>3. Ethical and Responsible AI Considerations</w:t>
      </w:r>
    </w:p>
    <w:p w14:paraId="77873248" w14:textId="77777777" w:rsidR="00DD1D6D" w:rsidRDefault="00DD1D6D" w:rsidP="00937FC6">
      <w:pPr>
        <w:rPr>
          <w:rFonts w:ascii="Arial" w:hAnsi="Arial" w:cs="Arial"/>
          <w:b/>
          <w:bCs/>
          <w:color w:val="000000" w:themeColor="text1"/>
          <w:lang w:val="en-IN"/>
        </w:rPr>
      </w:pPr>
    </w:p>
    <w:p w14:paraId="28060A40" w14:textId="6100D20D" w:rsidR="00937FC6" w:rsidRPr="00937FC6" w:rsidRDefault="00937FC6" w:rsidP="00937FC6">
      <w:pPr>
        <w:rPr>
          <w:rFonts w:ascii="Arial" w:hAnsi="Arial" w:cs="Arial"/>
          <w:b/>
          <w:bCs/>
          <w:color w:val="000000" w:themeColor="text1"/>
          <w:lang w:val="en-IN"/>
        </w:rPr>
      </w:pPr>
      <w:r w:rsidRPr="00937FC6">
        <w:rPr>
          <w:rFonts w:ascii="Arial" w:hAnsi="Arial" w:cs="Arial"/>
          <w:b/>
          <w:bCs/>
          <w:color w:val="000000" w:themeColor="text1"/>
          <w:lang w:val="en-IN"/>
        </w:rPr>
        <w:t>Fairness &amp; Bias Risks</w:t>
      </w:r>
    </w:p>
    <w:p w14:paraId="21E5B37D" w14:textId="12DA8F4A" w:rsidR="00720C67" w:rsidRPr="00BF7A1A" w:rsidRDefault="00720C67" w:rsidP="00BF7A1A">
      <w:pPr>
        <w:pStyle w:val="ListParagraph"/>
        <w:numPr>
          <w:ilvl w:val="0"/>
          <w:numId w:val="16"/>
        </w:numPr>
        <w:rPr>
          <w:rFonts w:ascii="Arial" w:hAnsi="Arial" w:cs="Arial"/>
          <w:color w:val="000000" w:themeColor="text1"/>
          <w:lang w:val="en-IN"/>
        </w:rPr>
      </w:pPr>
      <w:r w:rsidRPr="00BF7A1A">
        <w:rPr>
          <w:rFonts w:ascii="Arial" w:hAnsi="Arial" w:cs="Arial"/>
          <w:b/>
          <w:bCs/>
          <w:color w:val="000000" w:themeColor="text1"/>
          <w:lang w:val="en-IN"/>
        </w:rPr>
        <w:t>Fairness &amp; Bias:</w:t>
      </w:r>
      <w:r w:rsidRPr="00BF7A1A">
        <w:rPr>
          <w:rFonts w:ascii="Arial" w:hAnsi="Arial" w:cs="Arial"/>
          <w:color w:val="000000" w:themeColor="text1"/>
          <w:lang w:val="en-IN"/>
        </w:rPr>
        <w:t xml:space="preserve"> The model may disadvantage </w:t>
      </w:r>
      <w:r w:rsidRPr="00BF7A1A">
        <w:rPr>
          <w:rFonts w:ascii="Arial" w:hAnsi="Arial" w:cs="Arial"/>
          <w:b/>
          <w:bCs/>
          <w:color w:val="000000" w:themeColor="text1"/>
          <w:lang w:val="en-IN"/>
        </w:rPr>
        <w:t>low-income</w:t>
      </w:r>
      <w:r w:rsidRPr="00BF7A1A">
        <w:rPr>
          <w:rFonts w:ascii="Arial" w:hAnsi="Arial" w:cs="Arial"/>
          <w:color w:val="000000" w:themeColor="text1"/>
          <w:lang w:val="en-IN"/>
        </w:rPr>
        <w:t xml:space="preserve"> or </w:t>
      </w:r>
      <w:r w:rsidRPr="00BF7A1A">
        <w:rPr>
          <w:rFonts w:ascii="Arial" w:hAnsi="Arial" w:cs="Arial"/>
          <w:b/>
          <w:bCs/>
          <w:color w:val="000000" w:themeColor="text1"/>
          <w:lang w:val="en-IN"/>
        </w:rPr>
        <w:t>specific location</w:t>
      </w:r>
      <w:r w:rsidRPr="00BF7A1A">
        <w:rPr>
          <w:rFonts w:ascii="Arial" w:hAnsi="Arial" w:cs="Arial"/>
          <w:color w:val="000000" w:themeColor="text1"/>
          <w:lang w:val="en-IN"/>
        </w:rPr>
        <w:t xml:space="preserve"> groups. To mitigate, it uses mainly </w:t>
      </w:r>
      <w:r w:rsidRPr="00BF7A1A">
        <w:rPr>
          <w:rFonts w:ascii="Arial" w:hAnsi="Arial" w:cs="Arial"/>
          <w:b/>
          <w:bCs/>
          <w:color w:val="000000" w:themeColor="text1"/>
          <w:lang w:val="en-IN"/>
        </w:rPr>
        <w:t>behavio</w:t>
      </w:r>
      <w:r w:rsidR="00DD1D6D" w:rsidRPr="00BF7A1A">
        <w:rPr>
          <w:rFonts w:ascii="Arial" w:hAnsi="Arial" w:cs="Arial"/>
          <w:b/>
          <w:bCs/>
          <w:color w:val="000000" w:themeColor="text1"/>
          <w:lang w:val="en-IN"/>
        </w:rPr>
        <w:t>u</w:t>
      </w:r>
      <w:r w:rsidRPr="00BF7A1A">
        <w:rPr>
          <w:rFonts w:ascii="Arial" w:hAnsi="Arial" w:cs="Arial"/>
          <w:b/>
          <w:bCs/>
          <w:color w:val="000000" w:themeColor="text1"/>
          <w:lang w:val="en-IN"/>
        </w:rPr>
        <w:t>ral factors</w:t>
      </w:r>
      <w:r w:rsidRPr="00BF7A1A">
        <w:rPr>
          <w:rFonts w:ascii="Arial" w:hAnsi="Arial" w:cs="Arial"/>
          <w:color w:val="000000" w:themeColor="text1"/>
          <w:lang w:val="en-IN"/>
        </w:rPr>
        <w:t xml:space="preserve"> (missed payments, credit utilization) and undergoes </w:t>
      </w:r>
      <w:r w:rsidRPr="00BF7A1A">
        <w:rPr>
          <w:rFonts w:ascii="Arial" w:hAnsi="Arial" w:cs="Arial"/>
          <w:b/>
          <w:bCs/>
          <w:color w:val="000000" w:themeColor="text1"/>
          <w:lang w:val="en-IN"/>
        </w:rPr>
        <w:t>fairness checks</w:t>
      </w:r>
      <w:r w:rsidRPr="00BF7A1A">
        <w:rPr>
          <w:rFonts w:ascii="Arial" w:hAnsi="Arial" w:cs="Arial"/>
          <w:color w:val="000000" w:themeColor="text1"/>
          <w:lang w:val="en-IN"/>
        </w:rPr>
        <w:t xml:space="preserve"> across customer segments.</w:t>
      </w:r>
    </w:p>
    <w:p w14:paraId="04238061" w14:textId="0CC9B9B9" w:rsidR="00720C67" w:rsidRPr="00BF7A1A" w:rsidRDefault="00720C67" w:rsidP="00BF7A1A">
      <w:pPr>
        <w:pStyle w:val="ListParagraph"/>
        <w:numPr>
          <w:ilvl w:val="0"/>
          <w:numId w:val="16"/>
        </w:numPr>
        <w:rPr>
          <w:rFonts w:ascii="Arial" w:hAnsi="Arial" w:cs="Arial"/>
          <w:color w:val="000000" w:themeColor="text1"/>
          <w:lang w:val="en-IN"/>
        </w:rPr>
      </w:pPr>
      <w:r w:rsidRPr="00BF7A1A">
        <w:rPr>
          <w:rFonts w:ascii="Arial" w:hAnsi="Arial" w:cs="Arial"/>
          <w:b/>
          <w:bCs/>
          <w:color w:val="000000" w:themeColor="text1"/>
          <w:lang w:val="en-IN"/>
        </w:rPr>
        <w:t>Explainability:</w:t>
      </w:r>
      <w:r w:rsidRPr="00BF7A1A">
        <w:rPr>
          <w:rFonts w:ascii="Arial" w:hAnsi="Arial" w:cs="Arial"/>
          <w:color w:val="000000" w:themeColor="text1"/>
          <w:lang w:val="en-IN"/>
        </w:rPr>
        <w:t xml:space="preserve"> </w:t>
      </w:r>
      <w:r w:rsidRPr="00BF7A1A">
        <w:rPr>
          <w:rFonts w:ascii="Arial" w:hAnsi="Arial" w:cs="Arial"/>
          <w:b/>
          <w:bCs/>
          <w:color w:val="000000" w:themeColor="text1"/>
          <w:lang w:val="en-IN"/>
        </w:rPr>
        <w:t>Logistic Regression</w:t>
      </w:r>
      <w:r w:rsidRPr="00BF7A1A">
        <w:rPr>
          <w:rFonts w:ascii="Arial" w:hAnsi="Arial" w:cs="Arial"/>
          <w:color w:val="000000" w:themeColor="text1"/>
          <w:lang w:val="en-IN"/>
        </w:rPr>
        <w:t xml:space="preserve"> offers clear coefficients, while </w:t>
      </w:r>
      <w:r w:rsidRPr="00BF7A1A">
        <w:rPr>
          <w:rFonts w:ascii="Arial" w:hAnsi="Arial" w:cs="Arial"/>
          <w:b/>
          <w:bCs/>
          <w:color w:val="000000" w:themeColor="text1"/>
          <w:lang w:val="en-IN"/>
        </w:rPr>
        <w:t xml:space="preserve">XGBoost </w:t>
      </w:r>
      <w:r w:rsidRPr="00BF7A1A">
        <w:rPr>
          <w:rFonts w:ascii="Arial" w:hAnsi="Arial" w:cs="Arial"/>
          <w:color w:val="000000" w:themeColor="text1"/>
          <w:lang w:val="en-IN"/>
        </w:rPr>
        <w:t xml:space="preserve">can be explained using </w:t>
      </w:r>
      <w:r w:rsidRPr="00BF7A1A">
        <w:rPr>
          <w:rFonts w:ascii="Arial" w:hAnsi="Arial" w:cs="Arial"/>
          <w:b/>
          <w:bCs/>
          <w:color w:val="000000" w:themeColor="text1"/>
          <w:lang w:val="en-IN"/>
        </w:rPr>
        <w:t>SHAP values</w:t>
      </w:r>
      <w:r w:rsidRPr="00BF7A1A">
        <w:rPr>
          <w:rFonts w:ascii="Arial" w:hAnsi="Arial" w:cs="Arial"/>
          <w:color w:val="000000" w:themeColor="text1"/>
          <w:lang w:val="en-IN"/>
        </w:rPr>
        <w:t>, making predictions easy to justify to regulators and stakeholders.</w:t>
      </w:r>
    </w:p>
    <w:p w14:paraId="6100C508" w14:textId="418CEF4D" w:rsidR="00720C67" w:rsidRPr="00BF7A1A" w:rsidRDefault="00720C67" w:rsidP="00BF7A1A">
      <w:pPr>
        <w:pStyle w:val="ListParagraph"/>
        <w:numPr>
          <w:ilvl w:val="0"/>
          <w:numId w:val="16"/>
        </w:numPr>
        <w:rPr>
          <w:rFonts w:ascii="Arial" w:hAnsi="Arial" w:cs="Arial"/>
          <w:color w:val="000000" w:themeColor="text1"/>
          <w:lang w:val="en-IN"/>
        </w:rPr>
      </w:pPr>
      <w:r w:rsidRPr="00BF7A1A">
        <w:rPr>
          <w:rFonts w:ascii="Arial" w:hAnsi="Arial" w:cs="Arial"/>
          <w:b/>
          <w:bCs/>
          <w:color w:val="000000" w:themeColor="text1"/>
          <w:lang w:val="en-IN"/>
        </w:rPr>
        <w:t>Responsible Use:</w:t>
      </w:r>
      <w:r w:rsidRPr="00BF7A1A">
        <w:rPr>
          <w:rFonts w:ascii="Arial" w:hAnsi="Arial" w:cs="Arial"/>
          <w:color w:val="000000" w:themeColor="text1"/>
          <w:lang w:val="en-IN"/>
        </w:rPr>
        <w:t xml:space="preserve"> Predictions support </w:t>
      </w:r>
      <w:r w:rsidRPr="00BF7A1A">
        <w:rPr>
          <w:rFonts w:ascii="Arial" w:hAnsi="Arial" w:cs="Arial"/>
          <w:b/>
          <w:bCs/>
          <w:color w:val="000000" w:themeColor="text1"/>
          <w:lang w:val="en-IN"/>
        </w:rPr>
        <w:t>early reminders, flexible repayment options, and credit counsel</w:t>
      </w:r>
      <w:r w:rsidR="00DD1D6D" w:rsidRPr="00BF7A1A">
        <w:rPr>
          <w:rFonts w:ascii="Arial" w:hAnsi="Arial" w:cs="Arial"/>
          <w:b/>
          <w:bCs/>
          <w:color w:val="000000" w:themeColor="text1"/>
          <w:lang w:val="en-IN"/>
        </w:rPr>
        <w:t>l</w:t>
      </w:r>
      <w:r w:rsidRPr="00BF7A1A">
        <w:rPr>
          <w:rFonts w:ascii="Arial" w:hAnsi="Arial" w:cs="Arial"/>
          <w:b/>
          <w:bCs/>
          <w:color w:val="000000" w:themeColor="text1"/>
          <w:lang w:val="en-IN"/>
        </w:rPr>
        <w:t>ing,</w:t>
      </w:r>
      <w:r w:rsidRPr="00BF7A1A">
        <w:rPr>
          <w:rFonts w:ascii="Arial" w:hAnsi="Arial" w:cs="Arial"/>
          <w:color w:val="000000" w:themeColor="text1"/>
          <w:lang w:val="en-IN"/>
        </w:rPr>
        <w:t xml:space="preserve"> not penalties—aligning with </w:t>
      </w:r>
      <w:r w:rsidRPr="00BF7A1A">
        <w:rPr>
          <w:rFonts w:ascii="Arial" w:hAnsi="Arial" w:cs="Arial"/>
          <w:b/>
          <w:bCs/>
          <w:color w:val="000000" w:themeColor="text1"/>
          <w:lang w:val="en-IN"/>
        </w:rPr>
        <w:t>ethical, customer-focused collections.</w:t>
      </w:r>
    </w:p>
    <w:p w14:paraId="75939BCB" w14:textId="0EB36D33" w:rsidR="00720C67" w:rsidRPr="00BF7A1A" w:rsidRDefault="00720C67" w:rsidP="00BF7A1A">
      <w:pPr>
        <w:pStyle w:val="ListParagraph"/>
        <w:numPr>
          <w:ilvl w:val="0"/>
          <w:numId w:val="16"/>
        </w:numPr>
        <w:rPr>
          <w:rFonts w:ascii="Arial" w:hAnsi="Arial" w:cs="Arial"/>
          <w:color w:val="000000" w:themeColor="text1"/>
          <w:lang w:val="en-IN"/>
        </w:rPr>
      </w:pPr>
      <w:r w:rsidRPr="00BF7A1A">
        <w:rPr>
          <w:rFonts w:ascii="Arial" w:hAnsi="Arial" w:cs="Arial"/>
          <w:b/>
          <w:bCs/>
          <w:color w:val="000000" w:themeColor="text1"/>
          <w:lang w:val="en-IN"/>
        </w:rPr>
        <w:t>Transparency &amp; Privacy:</w:t>
      </w:r>
      <w:r w:rsidRPr="00BF7A1A">
        <w:rPr>
          <w:rFonts w:ascii="Arial" w:hAnsi="Arial" w:cs="Arial"/>
          <w:color w:val="000000" w:themeColor="text1"/>
          <w:lang w:val="en-IN"/>
        </w:rPr>
        <w:t xml:space="preserve"> The model is auditable, decisions are explainable, and customer data privacy is protected. Regular </w:t>
      </w:r>
      <w:r w:rsidRPr="00BF7A1A">
        <w:rPr>
          <w:rFonts w:ascii="Arial" w:hAnsi="Arial" w:cs="Arial"/>
          <w:b/>
          <w:bCs/>
          <w:color w:val="000000" w:themeColor="text1"/>
          <w:lang w:val="en-IN"/>
        </w:rPr>
        <w:t>fairness audits</w:t>
      </w:r>
      <w:r w:rsidRPr="00BF7A1A">
        <w:rPr>
          <w:rFonts w:ascii="Arial" w:hAnsi="Arial" w:cs="Arial"/>
          <w:color w:val="000000" w:themeColor="text1"/>
          <w:lang w:val="en-IN"/>
        </w:rPr>
        <w:t xml:space="preserve"> ensure compliance with </w:t>
      </w:r>
      <w:r w:rsidRPr="00BF7A1A">
        <w:rPr>
          <w:rFonts w:ascii="Arial" w:hAnsi="Arial" w:cs="Arial"/>
          <w:b/>
          <w:bCs/>
          <w:color w:val="000000" w:themeColor="text1"/>
          <w:lang w:val="en-IN"/>
        </w:rPr>
        <w:t>ethical and regulatory standards.</w:t>
      </w:r>
    </w:p>
    <w:p w14:paraId="33EC1793" w14:textId="30A22182" w:rsidR="007D72C2" w:rsidRPr="00937FC6" w:rsidRDefault="007D72C2" w:rsidP="00720C67">
      <w:pPr>
        <w:rPr>
          <w:rFonts w:ascii="Arial" w:hAnsi="Arial" w:cs="Arial"/>
          <w:color w:val="000000" w:themeColor="text1"/>
          <w:lang w:val="en-IN"/>
        </w:rPr>
      </w:pPr>
    </w:p>
    <w:sectPr w:rsidR="007D72C2" w:rsidRPr="00937F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BE80EA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A4E0D14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AE5D6D"/>
    <w:multiLevelType w:val="hybridMultilevel"/>
    <w:tmpl w:val="74566654"/>
    <w:lvl w:ilvl="0" w:tplc="FA683392">
      <w:start w:val="1"/>
      <w:numFmt w:val="bullet"/>
      <w:lvlText w:val="•"/>
      <w:lvlJc w:val="left"/>
      <w:pPr>
        <w:ind w:left="58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1" w:tplc="E4C28288">
      <w:start w:val="1"/>
      <w:numFmt w:val="bullet"/>
      <w:lvlText w:val="o"/>
      <w:lvlJc w:val="left"/>
      <w:pPr>
        <w:ind w:left="156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2" w:tplc="FB84A44E">
      <w:start w:val="1"/>
      <w:numFmt w:val="bullet"/>
      <w:lvlText w:val="▪"/>
      <w:lvlJc w:val="left"/>
      <w:pPr>
        <w:ind w:left="228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3" w:tplc="DA96545C">
      <w:start w:val="1"/>
      <w:numFmt w:val="bullet"/>
      <w:lvlText w:val="•"/>
      <w:lvlJc w:val="left"/>
      <w:pPr>
        <w:ind w:left="300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4" w:tplc="BB7649D2">
      <w:start w:val="1"/>
      <w:numFmt w:val="bullet"/>
      <w:lvlText w:val="o"/>
      <w:lvlJc w:val="left"/>
      <w:pPr>
        <w:ind w:left="372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5" w:tplc="737604BE">
      <w:start w:val="1"/>
      <w:numFmt w:val="bullet"/>
      <w:lvlText w:val="▪"/>
      <w:lvlJc w:val="left"/>
      <w:pPr>
        <w:ind w:left="444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6" w:tplc="47D060A8">
      <w:start w:val="1"/>
      <w:numFmt w:val="bullet"/>
      <w:lvlText w:val="•"/>
      <w:lvlJc w:val="left"/>
      <w:pPr>
        <w:ind w:left="516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7" w:tplc="767869C2">
      <w:start w:val="1"/>
      <w:numFmt w:val="bullet"/>
      <w:lvlText w:val="o"/>
      <w:lvlJc w:val="left"/>
      <w:pPr>
        <w:ind w:left="588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8" w:tplc="B630085E">
      <w:start w:val="1"/>
      <w:numFmt w:val="bullet"/>
      <w:lvlText w:val="▪"/>
      <w:lvlJc w:val="left"/>
      <w:pPr>
        <w:ind w:left="660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0FFB5556"/>
    <w:multiLevelType w:val="multilevel"/>
    <w:tmpl w:val="2702E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511400"/>
    <w:multiLevelType w:val="multilevel"/>
    <w:tmpl w:val="0224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B37547"/>
    <w:multiLevelType w:val="multilevel"/>
    <w:tmpl w:val="E248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641288"/>
    <w:multiLevelType w:val="multilevel"/>
    <w:tmpl w:val="28604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6C79FE"/>
    <w:multiLevelType w:val="multilevel"/>
    <w:tmpl w:val="AF18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046B47"/>
    <w:multiLevelType w:val="hybridMultilevel"/>
    <w:tmpl w:val="226CCC32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 w16cid:durableId="1399674117">
    <w:abstractNumId w:val="8"/>
  </w:num>
  <w:num w:numId="2" w16cid:durableId="1801531605">
    <w:abstractNumId w:val="6"/>
  </w:num>
  <w:num w:numId="3" w16cid:durableId="486094038">
    <w:abstractNumId w:val="5"/>
  </w:num>
  <w:num w:numId="4" w16cid:durableId="255750852">
    <w:abstractNumId w:val="4"/>
  </w:num>
  <w:num w:numId="5" w16cid:durableId="1951626911">
    <w:abstractNumId w:val="7"/>
  </w:num>
  <w:num w:numId="6" w16cid:durableId="1111168920">
    <w:abstractNumId w:val="3"/>
  </w:num>
  <w:num w:numId="7" w16cid:durableId="124276201">
    <w:abstractNumId w:val="2"/>
  </w:num>
  <w:num w:numId="8" w16cid:durableId="1778476411">
    <w:abstractNumId w:val="1"/>
  </w:num>
  <w:num w:numId="9" w16cid:durableId="1111129504">
    <w:abstractNumId w:val="0"/>
  </w:num>
  <w:num w:numId="10" w16cid:durableId="686521986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983120618">
    <w:abstractNumId w:val="10"/>
  </w:num>
  <w:num w:numId="12" w16cid:durableId="580217998">
    <w:abstractNumId w:val="12"/>
  </w:num>
  <w:num w:numId="13" w16cid:durableId="457604127">
    <w:abstractNumId w:val="13"/>
  </w:num>
  <w:num w:numId="14" w16cid:durableId="888688427">
    <w:abstractNumId w:val="11"/>
  </w:num>
  <w:num w:numId="15" w16cid:durableId="416485970">
    <w:abstractNumId w:val="14"/>
  </w:num>
  <w:num w:numId="16" w16cid:durableId="3563958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1B3F"/>
    <w:rsid w:val="00034616"/>
    <w:rsid w:val="0006063C"/>
    <w:rsid w:val="0015074B"/>
    <w:rsid w:val="0029639D"/>
    <w:rsid w:val="00326F90"/>
    <w:rsid w:val="00720C67"/>
    <w:rsid w:val="007D72C2"/>
    <w:rsid w:val="008237CA"/>
    <w:rsid w:val="008520D9"/>
    <w:rsid w:val="00937FC6"/>
    <w:rsid w:val="00A537D1"/>
    <w:rsid w:val="00AA1D8D"/>
    <w:rsid w:val="00B47730"/>
    <w:rsid w:val="00BF7A1A"/>
    <w:rsid w:val="00CB0664"/>
    <w:rsid w:val="00DD1D6D"/>
    <w:rsid w:val="00EA5DC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4DB5BE"/>
  <w14:defaultImageDpi w14:val="300"/>
  <w15:docId w15:val="{578686E3-F8AA-B641-B7B7-8F5C3F9A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7D1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DDDDD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DDDDD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DDDDD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B2B2B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B2B2B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DDDD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B2B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808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F5F5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D4D4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001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8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2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89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42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693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23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05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2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09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20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6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186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7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16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2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4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72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06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512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1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0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4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88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11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42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8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2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5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8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16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526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731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8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95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85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30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818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965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39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6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e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jafer miya</cp:lastModifiedBy>
  <cp:revision>5</cp:revision>
  <dcterms:created xsi:type="dcterms:W3CDTF">2013-12-23T23:15:00Z</dcterms:created>
  <dcterms:modified xsi:type="dcterms:W3CDTF">2025-08-02T13:50:00Z</dcterms:modified>
  <cp:category/>
</cp:coreProperties>
</file>