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NanoAMR-Pipeline — Person 2 Update</w:t>
      </w:r>
    </w:p>
    <w:p>
      <w:pPr>
        <w:spacing w:after="40"/>
      </w:pPr>
      <w:r>
        <w:rPr>
          <w:sz w:val="22"/>
          <w:szCs w:val="22"/>
        </w:rPr>
        <w:t xml:space="preserve">Alignment &amp; Assembly Division  •  Status: </w:t>
      </w:r>
      <w:r>
        <w:rPr>
          <w:b/>
          <w:bCs/>
          <w:color w:val="2E7D32"/>
          <w:sz w:val="22"/>
          <w:szCs w:val="22"/>
        </w:rPr>
        <w:t xml:space="preserve">COMPLETE</w:t>
      </w:r>
    </w:p>
    <w:p>
      <w:pPr>
        <w:pBdr>
          <w:bottom w:val="single" w:color="CCCCCC" w:sz="6" w:space="8"/>
        </w:pBdr>
        <w:spacing w:after="300"/>
      </w:pPr>
      <w:r>
        <w:rPr>
          <w:i/>
          <w:iCs/>
          <w:sz w:val="22"/>
          <w:szCs w:val="22"/>
        </w:rPr>
        <w:t xml:space="preserve">Date: 15 August 2026</w:t>
      </w:r>
    </w:p>
    <w:p>
      <w:pPr>
        <w:pStyle w:val="Heading1"/>
        <w:spacing w:after="150" w:before="300"/>
      </w:pPr>
      <w:r>
        <w:t xml:space="preserve">1. What Person 2 Was Supposed to Do (Original Plan)</w:t>
      </w:r>
    </w:p>
    <w:p>
      <w:pPr>
        <w:spacing w:after="160"/>
      </w:pPr>
      <w:r>
        <w:t xml:space="preserve">The original plan for Person 2 was: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Receive basecalled FASTQ reads per isolate from Person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Align reads to a reference S. aureus genome using minimap2 (map-ont preset).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 and index the resulting alignments for downstream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alignment QC metrics (mapping rate, coverage) per isolate.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 off sorted, indexed BAM files to SV calling (Sniffles2), and an assembled/consensus genome to resistance gene detection (ABRicate/RGI).</w:t>
      </w:r>
    </w:p>
    <w:p>
      <w:pPr>
        <w:pStyle w:val="Heading2"/>
        <w:spacing w:after="120" w:before="240"/>
      </w:pPr>
      <w:r>
        <w:t xml:space="preserve">⚠ What Changed and Why</w:t>
      </w:r>
    </w:p>
    <w:p>
      <w:pPr>
        <w:pStyle w:val="Heading1"/>
        <w:spacing w:after="150" w:before="300"/>
      </w:pPr>
      <w:r>
        <w:t xml:space="preserve">2. What Actually Changed</w:t>
      </w:r>
    </w:p>
    <w:p>
      <w:pPr>
        <w:spacing w:after="160"/>
      </w:pPr>
      <w:r>
        <w:t xml:space="preserve">Midway through this stage, the team's dataset scaled from 3 isolates to 23 (SA_01–SA_23), including a second chemistry batch (SA_19–SA_23, newer/higher-quality runs). The pipeline logic didn't change, but three practical adjustments were needed to handle it correctly: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 genome acquisition: downloaded directly from NCBI's FTP mirror (GCF_000013425.1, S. aureus NCTC 8325, ASM1342v1) rather than via the NCBI “datasets” CLI, which wasn't available in the working environment.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Consensus generation method: Person 3's resistance-gene detection stage needs an assembled/consensus genome per isolate, not just a BAM. The system's default samtools (1.13) doesn't support the fast native “samtools consensus” command (added in samtools 1.15), and the bcftools mpileup/call fallback proved unworkable on long, noisy nanopore reads (43+ minutes per isolate and still incomplete, due to base-alignment-quality realignment behavior not suited to long-read data). Resolved by installing a current samtools (&gt;=1.19) via micromamba, which brought per-isolate consensus generation down to 13–232 seconds.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 novo assembly (Flye) was not run. A reference-guided consensus FASTA (via samtools consensus) was used instead as the input for resistance gene detection — standard practice for a well-characterized reference organism, and far faster at 23-isolate scale.</w:t>
      </w:r>
    </w:p>
    <w:p>
      <w:pPr>
        <w:spacing w:after="160"/>
      </w:pPr>
      <w:r>
        <w:t xml:space="preserve">None of this affects the project's core research question. If anything, the larger dataset (23 isolates instead of 3, across two chemistry batches) gives a substantially stronger basis for the quality-vs-confidence comparison than originally planned.</w:t>
      </w:r>
    </w:p>
    <w:p>
      <w:pPr>
        <w:pStyle w:val="Heading2"/>
        <w:spacing w:after="120" w:before="240"/>
      </w:pPr>
      <w:r>
        <w:t xml:space="preserve">✅ What Was Actually Done</w:t>
      </w:r>
    </w:p>
    <w:p>
      <w:pPr>
        <w:pStyle w:val="Heading1"/>
        <w:spacing w:after="150" w:before="300"/>
      </w:pPr>
      <w:r>
        <w:t xml:space="preserve">3. What Person 2 Actually Did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Downloaded the S. aureus reference genome (GCF_000013425.1, NCTC 8325, ASM1342v1) from NCBI's FTP mirror.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Aligned all 23 isolates' FASTQ files to the reference using minimap2 (map-ont preset).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Sorted and indexed each alignment using samtools sort / samtools index.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alignment QC (samtools flagstat, mean depth) on all 23 isolates.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Installed a current samtools via micromamba to enable fast, native consensus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a reference-guided consensus FASTA per isolate for the resistance-gene detection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every BAM (samtools quickcheck) and every consensus FASTA (non-empty, valid FASTA header) — all 23 confirmed intact.</w:t>
      </w:r>
    </w:p>
    <w:p>
      <w:pPr>
        <w:pStyle w:val="Heading1"/>
        <w:spacing w:after="150" w:before="300"/>
      </w:pPr>
      <w:r>
        <w:t xml:space="preserve">4. QC Results Summary — Alignment (All 23 Isolates)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rPr>
          <w:tblHeader/>
        </w:trPr>
        <w:tc>
          <w:tcPr>
            <w:tcW w:type="dxa" w:w="3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Isolate</w:t>
            </w:r>
          </w:p>
        </w:tc>
        <w:tc>
          <w:tcPr>
            <w:tcW w:type="dxa" w:w="2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Mapped %</w:t>
            </w:r>
          </w:p>
        </w:tc>
        <w:tc>
          <w:tcPr>
            <w:tcW w:type="dxa" w:w="2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Mean Coverage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SA_01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93.66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108.7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93.49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120.2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SA_03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94.63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150.6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89.53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111.0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SA_05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89.62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141.1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91.83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169.2</w:t>
            </w:r>
          </w:p>
        </w:tc>
      </w:tr>
      <w:tr>
        <w:tc>
          <w:tcPr>
            <w:tcW w:type="dxa" w:w="32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SA_07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79.67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115.7</w:t>
            </w:r>
          </w:p>
        </w:tc>
      </w:tr>
      <w:tr>
        <w:tc>
          <w:tcPr>
            <w:tcW w:type="dxa" w:w="32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SA_08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80.23</w:t>
            </w:r>
          </w:p>
        </w:tc>
        <w:tc>
          <w:tcPr>
            <w:tcW w:type="dxa" w:w="28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116.7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SA_09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89.34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175.8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91.83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204.3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SA_11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92.82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220.1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95.21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181.6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SA_13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94.76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193.6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90.48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127.0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SA_15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93.44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174.9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95.10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178.8</w:t>
            </w:r>
          </w:p>
        </w:tc>
      </w:tr>
      <w:tr>
        <w:tc>
          <w:tcPr>
            <w:tcW w:type="dxa" w:w="3200"/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SA_17</w:t>
            </w:r>
          </w:p>
        </w:tc>
        <w:tc>
          <w:tcPr>
            <w:tcW w:type="dxa" w:w="2800"/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96.47</w:t>
            </w:r>
          </w:p>
        </w:tc>
        <w:tc>
          <w:tcPr>
            <w:tcW w:type="dxa" w:w="2800"/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33.6</w:t>
            </w:r>
          </w:p>
        </w:tc>
      </w:tr>
      <w:tr>
        <w:tc>
          <w:tcPr>
            <w:tcW w:type="dxa" w:w="32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SA_18</w:t>
            </w:r>
          </w:p>
        </w:tc>
        <w:tc>
          <w:tcPr>
            <w:tcW w:type="dxa" w:w="28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77.87</w:t>
            </w:r>
          </w:p>
        </w:tc>
        <w:tc>
          <w:tcPr>
            <w:tcW w:type="dxa" w:w="28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127.1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SA_19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97.37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122.4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SA_20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95.00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290.5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SA_21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97.50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128.6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SA_22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66.7</w:t>
            </w:r>
          </w:p>
        </w:tc>
      </w:tr>
      <w:t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SA_23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93.64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71.6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Group averages: SA_01–SA_18 (original chemistry batch) average 90.55% mapped, 147.2x coverage. SA_19–SA_23 (newer chemistry batch) average 95.56% mapped, 135.9x coverage — a clean ~5-point mapping-rate gap that independently confirms Person 1's basecalling-level quality grouping, now backed by actual alignment behavior.</w:t>
      </w:r>
    </w:p>
    <w:p>
      <w:pPr>
        <w:spacing w:after="160"/>
      </w:pPr>
      <w:r>
        <w:rPr>
          <w:b/>
          <w:bCs/>
        </w:rPr>
        <w:t xml:space="preserve">Three findings worth flagging specifically, not just reading off the table: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SA_17 (highlighted): lowest coverage of all 23 (33.6x) but highest mapping rate (96.47%) — consistent with Person 1's flag of low total input bases for this isolate. Mapping quality itself is not the issue; input read depth 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SA_18 (highlighted): lowest mapping rate of all 23 (77.87%), with otherwise unremarkable coverage (127.1x). This is a new finding, not previously flagged — worth investigating further (e.g. its minimap2 log) before treating it as a routine data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SA_07 / SA_08 (highlighted): both noticeably lower mapping rates (~80%) than their peers within the same chemistry batch, without an obvious explanation like SA_17's low read count. Worth a closer look alongside SA_18.</w:t>
      </w:r>
    </w:p>
    <w:p>
      <w:pPr>
        <w:pStyle w:val="Heading1"/>
        <w:spacing w:after="150" w:before="300"/>
      </w:pPr>
      <w:r>
        <w:t xml:space="preserve">5. Deliverables — What You're Receiving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600"/>
      </w:tblGrid>
      <w:tr>
        <w:trPr>
          <w:tblHeader/>
        </w:trPr>
        <w:tc>
          <w:tcPr>
            <w:tcW w:type="dxa" w:w="36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For</w:t>
            </w:r>
          </w:p>
        </w:tc>
        <w:tc>
          <w:tcPr>
            <w:tcW w:type="dxa" w:w="26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23× SA_XX.sorted.bam + .bai</w:t>
            </w:r>
          </w:p>
        </w:tc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 calling (Sniffles2)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alignments/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23× SA_XX_alignment_qc.txt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/ Person 4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alignment_qc/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alignment_qc_summary.csv</w:t>
            </w:r>
          </w:p>
        </w:tc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4 (quality comparison)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root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23× SA_XX_consensus.fasta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3 (ABRicate/RGI)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consensus/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S_aureus_ref.fasta</w:t>
            </w:r>
          </w:p>
        </w:tc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team (reference)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reference/</w:t>
            </w:r>
          </w:p>
        </w:tc>
      </w:tr>
    </w:tbl>
    <w:p>
      <w:pPr>
        <w:pStyle w:val="Heading1"/>
        <w:spacing w:after="150" w:before="300"/>
      </w:pPr>
      <w:r>
        <w:t xml:space="preserve">6. Impact on Other Team Members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3300"/>
      </w:tblGrid>
      <w:tr>
        <w:trPr>
          <w:tblHeader/>
        </w:trPr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47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3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3</w:t>
            </w:r>
          </w:p>
        </w:tc>
        <w:tc>
          <w:tcPr>
            <w:tcW w:type="dxa" w:w="4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23 reference-guided consensus FASTAs (not de novo Flye assemblies) as ABRicate/RGI input, plus 23 sorted/indexed BAMs.</w:t>
            </w:r>
          </w:p>
        </w:tc>
        <w:tc>
          <w:tcPr>
            <w:tcW w:type="dxa" w:w="3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consensus/SA_XX_consensus.fasta as the assembled-genome input. Confirm this format works for your ABRicate/RGI setup.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4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for the quality-vs-confidence comparison is now 23 isolates across two chemistry batches, not 3 — a substantially stronger basis for the isolate×gene sample-size argument.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alignment_qc_summary.csv alongside Person 1's read-quality metrics. SA_17/SA_18/SA_07/SA_08 are worth treating as specific case studies, not just table rows.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i/>
          <w:iCs/>
        </w:rPr>
        <w:t xml:space="preserve">The project's core research question — does upstream sequencing quality affect downstream AMR prediction confidence — is now supported by alignment-level evidence (mapping rate, coverage) across 23 isolates that independently agrees with Person 1's basecalling-level read-quality metrics.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2026-08-15T13:15:11.542Z</dcterms:created>
  <dcterms:modified xsi:type="dcterms:W3CDTF">2026-08-15T13:15:11.557Z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