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29FBC" w14:textId="77777777" w:rsidR="00E934DB" w:rsidRDefault="00E934DB" w:rsidP="00E934DB">
      <w:pPr>
        <w:rPr>
          <w:b/>
          <w:bCs/>
        </w:rPr>
      </w:pPr>
      <w:r w:rsidRPr="00E934DB">
        <w:rPr>
          <w:b/>
          <w:bCs/>
        </w:rPr>
        <w:t>Exploratory Data Analysis (EDA) Report: Cryptocurrency Volatility Prediction</w:t>
      </w:r>
    </w:p>
    <w:p w14:paraId="12F64718" w14:textId="77777777" w:rsidR="00E934DB" w:rsidRPr="00E934DB" w:rsidRDefault="00E934DB" w:rsidP="00E934DB">
      <w:pPr>
        <w:rPr>
          <w:b/>
          <w:bCs/>
        </w:rPr>
      </w:pPr>
    </w:p>
    <w:p w14:paraId="4096F8F1" w14:textId="25E66638" w:rsidR="00E934DB" w:rsidRPr="00E934DB" w:rsidRDefault="00E934DB" w:rsidP="00E934DB">
      <w:pPr>
        <w:rPr>
          <w:b/>
          <w:bCs/>
          <w:i/>
          <w:iCs/>
          <w:u w:val="single"/>
        </w:rPr>
      </w:pPr>
      <w:r w:rsidRPr="00E934DB">
        <w:rPr>
          <w:b/>
          <w:bCs/>
          <w:i/>
          <w:iCs/>
          <w:u w:val="single"/>
        </w:rPr>
        <w:t>1. Project Objective and Data Source</w:t>
      </w:r>
      <w:r w:rsidRPr="00E934DB">
        <w:rPr>
          <w:b/>
          <w:bCs/>
          <w:i/>
          <w:iCs/>
          <w:u w:val="single"/>
        </w:rPr>
        <w:t>:</w:t>
      </w:r>
    </w:p>
    <w:p w14:paraId="7AD902F3" w14:textId="77777777" w:rsidR="00E934DB" w:rsidRPr="00E934DB" w:rsidRDefault="00E934DB" w:rsidP="00E934DB">
      <w:r w:rsidRPr="00E934DB">
        <w:t>The objective of this project is to develop a machine learning model capable of predicting short-term cryptocurrency volatility. This EDA provides a preliminary understanding of the dataset used for model development.</w:t>
      </w:r>
    </w:p>
    <w:p w14:paraId="72531677" w14:textId="77777777" w:rsidR="00E934DB" w:rsidRPr="00E934DB" w:rsidRDefault="00E934DB" w:rsidP="00E934DB">
      <w:r w:rsidRPr="00E934DB">
        <w:rPr>
          <w:b/>
          <w:bCs/>
        </w:rPr>
        <w:t>Dataset:</w:t>
      </w:r>
      <w:r w:rsidRPr="00E934DB">
        <w:t xml:space="preserve"> Cryptocurrency Historical Prices Dataset (Daily records for 50+ cryptocurrencies including OHLC, Volume, and Market Cap).</w:t>
      </w:r>
    </w:p>
    <w:p w14:paraId="7891CC89" w14:textId="3064CBAD" w:rsidR="00E934DB" w:rsidRPr="00E934DB" w:rsidRDefault="00E934DB" w:rsidP="00E934DB">
      <w:pPr>
        <w:rPr>
          <w:b/>
          <w:bCs/>
          <w:i/>
          <w:iCs/>
          <w:u w:val="single"/>
        </w:rPr>
      </w:pPr>
      <w:r w:rsidRPr="00E934DB">
        <w:rPr>
          <w:b/>
          <w:bCs/>
          <w:i/>
          <w:iCs/>
          <w:u w:val="single"/>
        </w:rPr>
        <w:t>2. Dataset Overview and Summary Statistics</w:t>
      </w:r>
      <w:r w:rsidRPr="00E934DB">
        <w:rPr>
          <w:b/>
          <w:bCs/>
          <w:i/>
          <w:iCs/>
          <w:u w:val="single"/>
        </w:rPr>
        <w:t>:</w:t>
      </w:r>
    </w:p>
    <w:p w14:paraId="0C60A6F9" w14:textId="77777777" w:rsidR="00E934DB" w:rsidRPr="00E934DB" w:rsidRDefault="00E934DB" w:rsidP="00E934DB">
      <w:r w:rsidRPr="00E934DB">
        <w:t>The dataset is a time-series panel data structure, combining daily records across multiple cryptocurrency symbols (e.g., BTC, ETH, ADA).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0"/>
        <w:gridCol w:w="1008"/>
        <w:gridCol w:w="3131"/>
        <w:gridCol w:w="3361"/>
      </w:tblGrid>
      <w:tr w:rsidR="00E934DB" w:rsidRPr="00E934DB" w14:paraId="2AA4BDEF" w14:textId="77777777" w:rsidTr="00E934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25407" w14:textId="77777777" w:rsidR="00E934DB" w:rsidRPr="00E934DB" w:rsidRDefault="00E934DB" w:rsidP="00E934DB">
            <w:pPr>
              <w:rPr>
                <w:b/>
                <w:bCs/>
              </w:rPr>
            </w:pPr>
            <w:r w:rsidRPr="00E934DB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58E8BE0" w14:textId="77777777" w:rsidR="00E934DB" w:rsidRPr="00E934DB" w:rsidRDefault="00E934DB" w:rsidP="00E934DB">
            <w:pPr>
              <w:rPr>
                <w:b/>
                <w:bCs/>
              </w:rPr>
            </w:pPr>
            <w:r w:rsidRPr="00E934DB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5898E99D" w14:textId="77777777" w:rsidR="00E934DB" w:rsidRPr="00E934DB" w:rsidRDefault="00E934DB" w:rsidP="00E934DB">
            <w:pPr>
              <w:rPr>
                <w:b/>
                <w:bCs/>
              </w:rPr>
            </w:pPr>
            <w:r w:rsidRPr="00E934DB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D4712AF" w14:textId="77777777" w:rsidR="00E934DB" w:rsidRPr="00E934DB" w:rsidRDefault="00E934DB" w:rsidP="00E934DB">
            <w:pPr>
              <w:rPr>
                <w:b/>
                <w:bCs/>
              </w:rPr>
            </w:pPr>
            <w:r w:rsidRPr="00E934DB">
              <w:rPr>
                <w:b/>
                <w:bCs/>
              </w:rPr>
              <w:t>Key Insight (Simulated)</w:t>
            </w:r>
          </w:p>
        </w:tc>
      </w:tr>
      <w:tr w:rsidR="00E934DB" w:rsidRPr="00E934DB" w14:paraId="6765CCE7" w14:textId="77777777" w:rsidTr="00E934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74521" w14:textId="77777777" w:rsidR="00E934DB" w:rsidRPr="00E934DB" w:rsidRDefault="00E934DB" w:rsidP="00E934DB">
            <w:r w:rsidRPr="00E934DB">
              <w:t>Date</w:t>
            </w:r>
          </w:p>
        </w:tc>
        <w:tc>
          <w:tcPr>
            <w:tcW w:w="0" w:type="auto"/>
            <w:vAlign w:val="center"/>
            <w:hideMark/>
          </w:tcPr>
          <w:p w14:paraId="50C3CB85" w14:textId="77777777" w:rsidR="00E934DB" w:rsidRPr="00E934DB" w:rsidRDefault="00E934DB" w:rsidP="00E934DB">
            <w:r w:rsidRPr="00E934DB">
              <w:t>Datetime</w:t>
            </w:r>
          </w:p>
        </w:tc>
        <w:tc>
          <w:tcPr>
            <w:tcW w:w="0" w:type="auto"/>
            <w:vAlign w:val="center"/>
            <w:hideMark/>
          </w:tcPr>
          <w:p w14:paraId="02638091" w14:textId="77777777" w:rsidR="00E934DB" w:rsidRPr="00E934DB" w:rsidRDefault="00E934DB" w:rsidP="00E934DB">
            <w:r w:rsidRPr="00E934DB">
              <w:t>The day of the record.</w:t>
            </w:r>
          </w:p>
        </w:tc>
        <w:tc>
          <w:tcPr>
            <w:tcW w:w="0" w:type="auto"/>
            <w:vAlign w:val="center"/>
            <w:hideMark/>
          </w:tcPr>
          <w:p w14:paraId="3E47E696" w14:textId="77777777" w:rsidR="00E934DB" w:rsidRPr="00E934DB" w:rsidRDefault="00E934DB" w:rsidP="00E934DB">
            <w:r w:rsidRPr="00E934DB">
              <w:t>Essential for time-series analysis and feature creation.</w:t>
            </w:r>
          </w:p>
        </w:tc>
      </w:tr>
      <w:tr w:rsidR="00E934DB" w:rsidRPr="00E934DB" w14:paraId="644E70BC" w14:textId="77777777" w:rsidTr="00E934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2A48A" w14:textId="77777777" w:rsidR="00E934DB" w:rsidRPr="00E934DB" w:rsidRDefault="00E934DB" w:rsidP="00E934DB">
            <w:r w:rsidRPr="00E934DB">
              <w:t>Symbol</w:t>
            </w:r>
          </w:p>
        </w:tc>
        <w:tc>
          <w:tcPr>
            <w:tcW w:w="0" w:type="auto"/>
            <w:vAlign w:val="center"/>
            <w:hideMark/>
          </w:tcPr>
          <w:p w14:paraId="141F2E2F" w14:textId="77777777" w:rsidR="00E934DB" w:rsidRPr="00E934DB" w:rsidRDefault="00E934DB" w:rsidP="00E934DB">
            <w:r w:rsidRPr="00E934DB">
              <w:t>Object</w:t>
            </w:r>
          </w:p>
        </w:tc>
        <w:tc>
          <w:tcPr>
            <w:tcW w:w="0" w:type="auto"/>
            <w:vAlign w:val="center"/>
            <w:hideMark/>
          </w:tcPr>
          <w:p w14:paraId="0B3B71B5" w14:textId="77777777" w:rsidR="00E934DB" w:rsidRPr="00E934DB" w:rsidRDefault="00E934DB" w:rsidP="00E934DB">
            <w:r w:rsidRPr="00E934DB">
              <w:t>Cryptocurrency identifier.</w:t>
            </w:r>
          </w:p>
        </w:tc>
        <w:tc>
          <w:tcPr>
            <w:tcW w:w="0" w:type="auto"/>
            <w:vAlign w:val="center"/>
            <w:hideMark/>
          </w:tcPr>
          <w:p w14:paraId="0285DBD0" w14:textId="77777777" w:rsidR="00E934DB" w:rsidRPr="00E934DB" w:rsidRDefault="00E934DB" w:rsidP="00E934DB">
            <w:r w:rsidRPr="00E934DB">
              <w:t>Categorical variable, requires one-hot encoding for modeling.</w:t>
            </w:r>
          </w:p>
        </w:tc>
      </w:tr>
      <w:tr w:rsidR="00E934DB" w:rsidRPr="00E934DB" w14:paraId="4A78C325" w14:textId="77777777" w:rsidTr="00E934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7C2A7" w14:textId="77777777" w:rsidR="00E934DB" w:rsidRPr="00E934DB" w:rsidRDefault="00E934DB" w:rsidP="00E934DB">
            <w:r w:rsidRPr="00E934DB">
              <w:t>Open, High, Low, Close</w:t>
            </w:r>
          </w:p>
        </w:tc>
        <w:tc>
          <w:tcPr>
            <w:tcW w:w="0" w:type="auto"/>
            <w:vAlign w:val="center"/>
            <w:hideMark/>
          </w:tcPr>
          <w:p w14:paraId="4C034FCB" w14:textId="77777777" w:rsidR="00E934DB" w:rsidRPr="00E934DB" w:rsidRDefault="00E934DB" w:rsidP="00E934DB">
            <w:r w:rsidRPr="00E934DB">
              <w:t>Float</w:t>
            </w:r>
          </w:p>
        </w:tc>
        <w:tc>
          <w:tcPr>
            <w:tcW w:w="0" w:type="auto"/>
            <w:vAlign w:val="center"/>
            <w:hideMark/>
          </w:tcPr>
          <w:p w14:paraId="3618F165" w14:textId="77777777" w:rsidR="00E934DB" w:rsidRPr="00E934DB" w:rsidRDefault="00E934DB" w:rsidP="00E934DB">
            <w:r w:rsidRPr="00E934DB">
              <w:t>Standard price metrics.</w:t>
            </w:r>
          </w:p>
        </w:tc>
        <w:tc>
          <w:tcPr>
            <w:tcW w:w="0" w:type="auto"/>
            <w:vAlign w:val="center"/>
            <w:hideMark/>
          </w:tcPr>
          <w:p w14:paraId="75F17094" w14:textId="77777777" w:rsidR="00E934DB" w:rsidRPr="00E934DB" w:rsidRDefault="00E934DB" w:rsidP="00E934DB">
            <w:r w:rsidRPr="00E934DB">
              <w:t>Show strong correlation, primarily used for calculating returns and indicators.</w:t>
            </w:r>
          </w:p>
        </w:tc>
      </w:tr>
      <w:tr w:rsidR="00E934DB" w:rsidRPr="00E934DB" w14:paraId="3072DA76" w14:textId="77777777" w:rsidTr="00E934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33324" w14:textId="77777777" w:rsidR="00E934DB" w:rsidRPr="00E934DB" w:rsidRDefault="00E934DB" w:rsidP="00E934DB">
            <w:r w:rsidRPr="00E934DB">
              <w:t>Volume</w:t>
            </w:r>
          </w:p>
        </w:tc>
        <w:tc>
          <w:tcPr>
            <w:tcW w:w="0" w:type="auto"/>
            <w:vAlign w:val="center"/>
            <w:hideMark/>
          </w:tcPr>
          <w:p w14:paraId="482DB79B" w14:textId="77777777" w:rsidR="00E934DB" w:rsidRPr="00E934DB" w:rsidRDefault="00E934DB" w:rsidP="00E934DB">
            <w:r w:rsidRPr="00E934DB">
              <w:t>Float</w:t>
            </w:r>
          </w:p>
        </w:tc>
        <w:tc>
          <w:tcPr>
            <w:tcW w:w="0" w:type="auto"/>
            <w:vAlign w:val="center"/>
            <w:hideMark/>
          </w:tcPr>
          <w:p w14:paraId="1CE992BF" w14:textId="77777777" w:rsidR="00E934DB" w:rsidRPr="00E934DB" w:rsidRDefault="00E934DB" w:rsidP="00E934DB">
            <w:r w:rsidRPr="00E934DB">
              <w:t>Daily trading volume.</w:t>
            </w:r>
          </w:p>
        </w:tc>
        <w:tc>
          <w:tcPr>
            <w:tcW w:w="0" w:type="auto"/>
            <w:vAlign w:val="center"/>
            <w:hideMark/>
          </w:tcPr>
          <w:p w14:paraId="47AF7045" w14:textId="77777777" w:rsidR="00E934DB" w:rsidRPr="00E934DB" w:rsidRDefault="00E934DB" w:rsidP="00E934DB">
            <w:r w:rsidRPr="00E934DB">
              <w:t>Highly skewed; requires scaling (e.g., log transform or standardization).</w:t>
            </w:r>
          </w:p>
        </w:tc>
      </w:tr>
      <w:tr w:rsidR="00E934DB" w:rsidRPr="00E934DB" w14:paraId="083BD194" w14:textId="77777777" w:rsidTr="00E934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3C113" w14:textId="77777777" w:rsidR="00E934DB" w:rsidRPr="00E934DB" w:rsidRDefault="00E934DB" w:rsidP="00E934DB">
            <w:r w:rsidRPr="00E934DB">
              <w:t>Market Cap</w:t>
            </w:r>
          </w:p>
        </w:tc>
        <w:tc>
          <w:tcPr>
            <w:tcW w:w="0" w:type="auto"/>
            <w:vAlign w:val="center"/>
            <w:hideMark/>
          </w:tcPr>
          <w:p w14:paraId="7982D86E" w14:textId="77777777" w:rsidR="00E934DB" w:rsidRPr="00E934DB" w:rsidRDefault="00E934DB" w:rsidP="00E934DB">
            <w:r w:rsidRPr="00E934DB">
              <w:t>Float</w:t>
            </w:r>
          </w:p>
        </w:tc>
        <w:tc>
          <w:tcPr>
            <w:tcW w:w="0" w:type="auto"/>
            <w:vAlign w:val="center"/>
            <w:hideMark/>
          </w:tcPr>
          <w:p w14:paraId="2BB5EEB2" w14:textId="77777777" w:rsidR="00E934DB" w:rsidRPr="00E934DB" w:rsidRDefault="00E934DB" w:rsidP="00E934DB">
            <w:r w:rsidRPr="00E934DB">
              <w:t>Total market capitalization.</w:t>
            </w:r>
          </w:p>
        </w:tc>
        <w:tc>
          <w:tcPr>
            <w:tcW w:w="0" w:type="auto"/>
            <w:vAlign w:val="center"/>
            <w:hideMark/>
          </w:tcPr>
          <w:p w14:paraId="7D92EA84" w14:textId="77777777" w:rsidR="00E934DB" w:rsidRPr="00E934DB" w:rsidRDefault="00E934DB" w:rsidP="00E934DB">
            <w:r w:rsidRPr="00E934DB">
              <w:t>Directly proportional to price; used in liquidity ratio calculation.</w:t>
            </w:r>
          </w:p>
        </w:tc>
      </w:tr>
      <w:tr w:rsidR="00E934DB" w:rsidRPr="00E934DB" w14:paraId="5DB5DE4B" w14:textId="77777777" w:rsidTr="00E934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3C58C" w14:textId="77777777" w:rsidR="00E934DB" w:rsidRPr="00E934DB" w:rsidRDefault="00E934DB" w:rsidP="00E934DB">
            <w:proofErr w:type="spellStart"/>
            <w:r w:rsidRPr="00E934DB">
              <w:t>Daily_Return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1E8133" w14:textId="77777777" w:rsidR="00E934DB" w:rsidRPr="00E934DB" w:rsidRDefault="00E934DB" w:rsidP="00E934DB">
            <w:r w:rsidRPr="00E934DB">
              <w:t>Float</w:t>
            </w:r>
          </w:p>
        </w:tc>
        <w:tc>
          <w:tcPr>
            <w:tcW w:w="0" w:type="auto"/>
            <w:vAlign w:val="center"/>
            <w:hideMark/>
          </w:tcPr>
          <w:p w14:paraId="574F4663" w14:textId="77777777" w:rsidR="00E934DB" w:rsidRPr="00E934DB" w:rsidRDefault="00E934DB" w:rsidP="00E934DB">
            <w:r w:rsidRPr="00E934DB">
              <w:t>Percentage change in daily closing price.</w:t>
            </w:r>
          </w:p>
        </w:tc>
        <w:tc>
          <w:tcPr>
            <w:tcW w:w="0" w:type="auto"/>
            <w:vAlign w:val="center"/>
            <w:hideMark/>
          </w:tcPr>
          <w:p w14:paraId="174C1B09" w14:textId="77777777" w:rsidR="00E934DB" w:rsidRPr="00E934DB" w:rsidRDefault="00E934DB" w:rsidP="00E934DB">
            <w:r w:rsidRPr="00E934DB">
              <w:t>The basis for the target variable (Volatility).</w:t>
            </w:r>
          </w:p>
        </w:tc>
      </w:tr>
      <w:tr w:rsidR="00E934DB" w:rsidRPr="00E934DB" w14:paraId="247F971D" w14:textId="77777777" w:rsidTr="00E934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DBBAA" w14:textId="77777777" w:rsidR="00E934DB" w:rsidRPr="00E934DB" w:rsidRDefault="00E934DB" w:rsidP="00E934DB">
            <w:proofErr w:type="spellStart"/>
            <w:r w:rsidRPr="00E934DB">
              <w:lastRenderedPageBreak/>
              <w:t>Volatility_Target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B52920" w14:textId="77777777" w:rsidR="00E934DB" w:rsidRPr="00E934DB" w:rsidRDefault="00E934DB" w:rsidP="00E934DB">
            <w:r w:rsidRPr="00E934DB">
              <w:t>Float</w:t>
            </w:r>
          </w:p>
        </w:tc>
        <w:tc>
          <w:tcPr>
            <w:tcW w:w="0" w:type="auto"/>
            <w:vAlign w:val="center"/>
            <w:hideMark/>
          </w:tcPr>
          <w:p w14:paraId="40F7653A" w14:textId="77777777" w:rsidR="00E934DB" w:rsidRPr="00E934DB" w:rsidRDefault="00E934DB" w:rsidP="00E934DB">
            <w:r w:rsidRPr="00E934DB">
              <w:t>Annualized 7-Day Rolling Standard Deviation of Returns (Target Variable).</w:t>
            </w:r>
          </w:p>
        </w:tc>
        <w:tc>
          <w:tcPr>
            <w:tcW w:w="0" w:type="auto"/>
            <w:vAlign w:val="center"/>
            <w:hideMark/>
          </w:tcPr>
          <w:p w14:paraId="6DF3292D" w14:textId="77777777" w:rsidR="00E934DB" w:rsidRPr="00E934DB" w:rsidRDefault="00E934DB" w:rsidP="00E934DB">
            <w:r w:rsidRPr="00E934DB">
              <w:t>The distribution is typically log-normal (right-skewed).</w:t>
            </w:r>
          </w:p>
        </w:tc>
      </w:tr>
    </w:tbl>
    <w:p w14:paraId="78702B2A" w14:textId="5E5F338E" w:rsidR="00E934DB" w:rsidRPr="00E934DB" w:rsidRDefault="00E934DB" w:rsidP="00E934DB">
      <w:pPr>
        <w:rPr>
          <w:b/>
          <w:bCs/>
          <w:i/>
          <w:iCs/>
          <w:u w:val="single"/>
        </w:rPr>
      </w:pPr>
      <w:r w:rsidRPr="00E934DB">
        <w:rPr>
          <w:b/>
          <w:bCs/>
          <w:i/>
          <w:iCs/>
          <w:u w:val="single"/>
        </w:rPr>
        <w:t>3. Data Quality and Preprocessing Notes</w:t>
      </w:r>
      <w:r w:rsidRPr="00E934DB">
        <w:rPr>
          <w:b/>
          <w:bCs/>
          <w:i/>
          <w:iCs/>
          <w:u w:val="single"/>
        </w:rPr>
        <w:t>:</w:t>
      </w:r>
    </w:p>
    <w:p w14:paraId="0234E66B" w14:textId="6DAE9A37" w:rsidR="00E934DB" w:rsidRPr="00E934DB" w:rsidRDefault="00E934DB" w:rsidP="00E934DB">
      <w:pPr>
        <w:numPr>
          <w:ilvl w:val="0"/>
          <w:numId w:val="1"/>
        </w:numPr>
      </w:pPr>
      <w:r w:rsidRPr="00E934DB">
        <w:rPr>
          <w:b/>
          <w:bCs/>
        </w:rPr>
        <w:t>Missing Values:</w:t>
      </w:r>
      <w:r w:rsidRPr="00E934DB">
        <w:t xml:space="preserve"> Sparse missing values were observed, primarily in the Volume and Market Cap columns. These were handled using </w:t>
      </w:r>
      <w:r w:rsidRPr="00E934DB">
        <w:rPr>
          <w:b/>
          <w:bCs/>
        </w:rPr>
        <w:t>Forward Fill (</w:t>
      </w:r>
      <w:proofErr w:type="spellStart"/>
      <w:r w:rsidRPr="00E934DB">
        <w:rPr>
          <w:b/>
          <w:bCs/>
        </w:rPr>
        <w:t>ffill</w:t>
      </w:r>
      <w:proofErr w:type="spellEnd"/>
      <w:r w:rsidRPr="00E934DB">
        <w:rPr>
          <w:b/>
          <w:bCs/>
        </w:rPr>
        <w:t>)</w:t>
      </w:r>
      <w:r w:rsidRPr="00E934DB">
        <w:t xml:space="preserve"> within each Symbol group to maintain time-series integrity.</w:t>
      </w:r>
    </w:p>
    <w:p w14:paraId="42784999" w14:textId="77777777" w:rsidR="00E934DB" w:rsidRPr="00E934DB" w:rsidRDefault="00E934DB" w:rsidP="00E934DB">
      <w:pPr>
        <w:numPr>
          <w:ilvl w:val="0"/>
          <w:numId w:val="1"/>
        </w:numPr>
      </w:pPr>
      <w:r w:rsidRPr="00E934DB">
        <w:rPr>
          <w:b/>
          <w:bCs/>
        </w:rPr>
        <w:t>Missing Target Values:</w:t>
      </w:r>
      <w:r w:rsidRPr="00E934DB">
        <w:t xml:space="preserve"> Missing values were generated in the </w:t>
      </w:r>
      <w:proofErr w:type="spellStart"/>
      <w:r w:rsidRPr="00E934DB">
        <w:t>Volatility_Target</w:t>
      </w:r>
      <w:proofErr w:type="spellEnd"/>
      <w:r w:rsidRPr="00E934DB">
        <w:t xml:space="preserve"> column at the beginning of each cryptocurrency's time series due to the 7-day rolling window calculation. These rows were safely dropped as they cannot contribute to supervised learning.</w:t>
      </w:r>
    </w:p>
    <w:p w14:paraId="1BAC4B4D" w14:textId="77777777" w:rsidR="00E934DB" w:rsidRPr="00E934DB" w:rsidRDefault="00E934DB" w:rsidP="00E934DB">
      <w:pPr>
        <w:numPr>
          <w:ilvl w:val="0"/>
          <w:numId w:val="1"/>
        </w:numPr>
      </w:pPr>
      <w:r w:rsidRPr="00E934DB">
        <w:rPr>
          <w:b/>
          <w:bCs/>
        </w:rPr>
        <w:t>Data Consistency:</w:t>
      </w:r>
      <w:r w:rsidRPr="00E934DB">
        <w:t xml:space="preserve"> All features were standardized (prices, volume, market cap) or scaled (ratios, returns) prior to model training to prevent features with large magnitude from dominating the model's objective function.</w:t>
      </w:r>
    </w:p>
    <w:p w14:paraId="3BD195DA" w14:textId="0549A6EE" w:rsidR="00E934DB" w:rsidRPr="00E934DB" w:rsidRDefault="00E934DB" w:rsidP="00E934DB">
      <w:pPr>
        <w:rPr>
          <w:b/>
          <w:bCs/>
          <w:i/>
          <w:iCs/>
          <w:u w:val="single"/>
        </w:rPr>
      </w:pPr>
      <w:r w:rsidRPr="00E934DB">
        <w:rPr>
          <w:b/>
          <w:bCs/>
          <w:i/>
          <w:iCs/>
          <w:u w:val="single"/>
        </w:rPr>
        <w:t>4. Key Visualizations and Trends</w:t>
      </w:r>
      <w:r w:rsidRPr="00E934DB">
        <w:rPr>
          <w:b/>
          <w:bCs/>
          <w:i/>
          <w:iCs/>
          <w:u w:val="single"/>
        </w:rPr>
        <w:t>:</w:t>
      </w:r>
    </w:p>
    <w:p w14:paraId="726E8D9B" w14:textId="28315831" w:rsidR="00E934DB" w:rsidRPr="00E934DB" w:rsidRDefault="00E934DB" w:rsidP="00E934DB">
      <w:r>
        <w:t>The</w:t>
      </w:r>
      <w:r w:rsidRPr="00E934DB">
        <w:t xml:space="preserve"> following describes the key plots generated during the EDA phase:</w:t>
      </w:r>
    </w:p>
    <w:p w14:paraId="163B631B" w14:textId="779A3D74" w:rsidR="00E934DB" w:rsidRPr="00E934DB" w:rsidRDefault="00E934DB" w:rsidP="00E934DB">
      <w:pPr>
        <w:rPr>
          <w:b/>
          <w:bCs/>
        </w:rPr>
      </w:pPr>
      <w:r w:rsidRPr="00E934DB">
        <w:rPr>
          <w:b/>
          <w:bCs/>
        </w:rPr>
        <w:t>Price and Volatility</w:t>
      </w:r>
    </w:p>
    <w:p w14:paraId="7F55B695" w14:textId="77777777" w:rsidR="00E934DB" w:rsidRPr="00E934DB" w:rsidRDefault="00E934DB" w:rsidP="00E934DB">
      <w:pPr>
        <w:numPr>
          <w:ilvl w:val="0"/>
          <w:numId w:val="2"/>
        </w:numPr>
      </w:pPr>
      <w:r w:rsidRPr="00E934DB">
        <w:rPr>
          <w:b/>
          <w:bCs/>
        </w:rPr>
        <w:t>Observation:</w:t>
      </w:r>
      <w:r w:rsidRPr="00E934DB">
        <w:t xml:space="preserve"> A line plot of the Close price for the top cryptocurrencies (BTC, ETH) shows clear bull and bear cycles, indicating non-stationary data.</w:t>
      </w:r>
    </w:p>
    <w:p w14:paraId="164A5FAD" w14:textId="77777777" w:rsidR="00E934DB" w:rsidRPr="00E934DB" w:rsidRDefault="00E934DB" w:rsidP="00E934DB">
      <w:pPr>
        <w:numPr>
          <w:ilvl w:val="0"/>
          <w:numId w:val="2"/>
        </w:numPr>
      </w:pPr>
      <w:r w:rsidRPr="00E934DB">
        <w:rPr>
          <w:b/>
          <w:bCs/>
        </w:rPr>
        <w:t>Insight:</w:t>
      </w:r>
      <w:r w:rsidRPr="00E934DB">
        <w:t xml:space="preserve"> Volatility is highly correlated with price movements, often spiking during rapid price growth or sharp declines (market crashes). The target variable, </w:t>
      </w:r>
      <w:proofErr w:type="spellStart"/>
      <w:r w:rsidRPr="00E934DB">
        <w:t>Volatility_Target</w:t>
      </w:r>
      <w:proofErr w:type="spellEnd"/>
      <w:r w:rsidRPr="00E934DB">
        <w:t>, is also highly clustered in periods of market stress.</w:t>
      </w:r>
    </w:p>
    <w:p w14:paraId="3E4538E7" w14:textId="00CAA191" w:rsidR="00E934DB" w:rsidRPr="00E934DB" w:rsidRDefault="00E934DB" w:rsidP="00E934DB">
      <w:pPr>
        <w:rPr>
          <w:b/>
          <w:bCs/>
        </w:rPr>
      </w:pPr>
      <w:r w:rsidRPr="00E934DB">
        <w:rPr>
          <w:b/>
          <w:bCs/>
        </w:rPr>
        <w:t xml:space="preserve"> Distribution of the Target Variable (</w:t>
      </w:r>
      <w:proofErr w:type="spellStart"/>
      <w:r w:rsidRPr="00E934DB">
        <w:rPr>
          <w:b/>
          <w:bCs/>
        </w:rPr>
        <w:t>Volatility_Target</w:t>
      </w:r>
      <w:proofErr w:type="spellEnd"/>
      <w:r w:rsidRPr="00E934DB">
        <w:rPr>
          <w:b/>
          <w:bCs/>
        </w:rPr>
        <w:t>)</w:t>
      </w:r>
      <w:r>
        <w:rPr>
          <w:b/>
          <w:bCs/>
        </w:rPr>
        <w:t>:</w:t>
      </w:r>
    </w:p>
    <w:p w14:paraId="00A4D395" w14:textId="77777777" w:rsidR="00E934DB" w:rsidRPr="00E934DB" w:rsidRDefault="00E934DB" w:rsidP="00E934DB">
      <w:pPr>
        <w:numPr>
          <w:ilvl w:val="0"/>
          <w:numId w:val="3"/>
        </w:numPr>
      </w:pPr>
      <w:r w:rsidRPr="00E934DB">
        <w:rPr>
          <w:b/>
          <w:bCs/>
        </w:rPr>
        <w:t>Observation:</w:t>
      </w:r>
      <w:r w:rsidRPr="00E934DB">
        <w:t xml:space="preserve"> A histogram of the annualized 7-Day Rolling Volatility is </w:t>
      </w:r>
      <w:r w:rsidRPr="00E934DB">
        <w:rPr>
          <w:b/>
          <w:bCs/>
        </w:rPr>
        <w:t>right-skewed</w:t>
      </w:r>
      <w:r w:rsidRPr="00E934DB">
        <w:t xml:space="preserve"> (Log-Normal distribution).</w:t>
      </w:r>
    </w:p>
    <w:p w14:paraId="4E55B08D" w14:textId="77777777" w:rsidR="00E934DB" w:rsidRPr="00E934DB" w:rsidRDefault="00E934DB" w:rsidP="00E934DB">
      <w:pPr>
        <w:numPr>
          <w:ilvl w:val="0"/>
          <w:numId w:val="3"/>
        </w:numPr>
      </w:pPr>
      <w:r w:rsidRPr="00E934DB">
        <w:rPr>
          <w:b/>
          <w:bCs/>
        </w:rPr>
        <w:t>Insight:</w:t>
      </w:r>
      <w:r w:rsidRPr="00E934DB">
        <w:t xml:space="preserve"> Low volatility periods are far more common than high volatility spikes. This suggests that the model must be robust enough to predict rare, high-volatility events, potentially requiring custom loss functions or oversampling techniques to handle class imbalance (if volatility were bucketed into classes).</w:t>
      </w:r>
    </w:p>
    <w:p w14:paraId="18CEE032" w14:textId="3CFAE908" w:rsidR="00E934DB" w:rsidRPr="00E934DB" w:rsidRDefault="00E934DB" w:rsidP="00E934DB">
      <w:pPr>
        <w:rPr>
          <w:b/>
          <w:bCs/>
        </w:rPr>
      </w:pPr>
      <w:r w:rsidRPr="00E934DB">
        <w:rPr>
          <w:b/>
          <w:bCs/>
        </w:rPr>
        <w:t xml:space="preserve"> Features vs. Volatility</w:t>
      </w:r>
      <w:r>
        <w:rPr>
          <w:b/>
          <w:bCs/>
        </w:rPr>
        <w:t>:</w:t>
      </w:r>
    </w:p>
    <w:p w14:paraId="537BAE1D" w14:textId="383C2D15" w:rsidR="00E934DB" w:rsidRPr="00E934DB" w:rsidRDefault="00E934DB" w:rsidP="00E934DB">
      <w:pPr>
        <w:numPr>
          <w:ilvl w:val="1"/>
          <w:numId w:val="4"/>
        </w:numPr>
      </w:pPr>
      <w:r w:rsidRPr="00E934DB">
        <w:rPr>
          <w:b/>
          <w:bCs/>
        </w:rPr>
        <w:lastRenderedPageBreak/>
        <w:t>Strong Positive Correlation:</w:t>
      </w:r>
      <w:r w:rsidRPr="00E934DB">
        <w:t xml:space="preserve"> ATR_14 (Average True Range) and </w:t>
      </w:r>
      <w:proofErr w:type="spellStart"/>
      <w:r w:rsidRPr="00E934DB">
        <w:t>BB_Bandwidth</w:t>
      </w:r>
      <w:proofErr w:type="spellEnd"/>
      <w:r w:rsidRPr="00E934DB">
        <w:t xml:space="preserve"> (Bollinger Bandwidth) show the highest positive correlation with </w:t>
      </w:r>
      <w:proofErr w:type="spellStart"/>
      <w:r w:rsidRPr="00E934DB">
        <w:t>Volatility_</w:t>
      </w:r>
      <w:proofErr w:type="gramStart"/>
      <w:r w:rsidRPr="00E934DB">
        <w:t>Target</w:t>
      </w:r>
      <w:proofErr w:type="spellEnd"/>
      <w:r w:rsidRPr="00E934DB">
        <w:t xml:space="preserve"> .</w:t>
      </w:r>
      <w:proofErr w:type="gramEnd"/>
      <w:r w:rsidRPr="00E934DB">
        <w:t xml:space="preserve"> This confirms that technical indicators designed to measure market range/dispersion are excellent predictors of future volatility.</w:t>
      </w:r>
    </w:p>
    <w:p w14:paraId="4AD3611B" w14:textId="006E108D" w:rsidR="00E934DB" w:rsidRPr="00E934DB" w:rsidRDefault="00E934DB" w:rsidP="00E934DB">
      <w:pPr>
        <w:numPr>
          <w:ilvl w:val="1"/>
          <w:numId w:val="4"/>
        </w:numPr>
      </w:pPr>
      <w:r w:rsidRPr="00E934DB">
        <w:rPr>
          <w:b/>
          <w:bCs/>
        </w:rPr>
        <w:t>Moderate Positive Correlation:</w:t>
      </w:r>
      <w:r w:rsidRPr="00E934DB">
        <w:t xml:space="preserve"> Absolute value of Daily_Return_Lag</w:t>
      </w:r>
      <w:proofErr w:type="gramStart"/>
      <w:r w:rsidRPr="00E934DB">
        <w:t>1  shows</w:t>
      </w:r>
      <w:proofErr w:type="gramEnd"/>
      <w:r w:rsidRPr="00E934DB">
        <w:t xml:space="preserve"> a moderate positive correlation supporting the </w:t>
      </w:r>
      <w:r w:rsidRPr="00E934DB">
        <w:rPr>
          <w:b/>
          <w:bCs/>
        </w:rPr>
        <w:t>volatility clustering</w:t>
      </w:r>
      <w:r w:rsidRPr="00E934DB">
        <w:t xml:space="preserve"> phenomenon (high volatility tends to be followed by high volatility).</w:t>
      </w:r>
    </w:p>
    <w:p w14:paraId="2A412918" w14:textId="77777777" w:rsidR="00E934DB" w:rsidRPr="00E934DB" w:rsidRDefault="00E934DB" w:rsidP="00E934DB">
      <w:pPr>
        <w:numPr>
          <w:ilvl w:val="1"/>
          <w:numId w:val="4"/>
        </w:numPr>
      </w:pPr>
      <w:r w:rsidRPr="00E934DB">
        <w:rPr>
          <w:b/>
          <w:bCs/>
        </w:rPr>
        <w:t>Weak Correlation:</w:t>
      </w:r>
      <w:r w:rsidRPr="00E934DB">
        <w:t xml:space="preserve"> Raw Volume and Market Cap show weak correlation, but the derived feature, </w:t>
      </w:r>
      <w:proofErr w:type="spellStart"/>
      <w:r w:rsidRPr="00E934DB">
        <w:t>Liquidity_Ratio</w:t>
      </w:r>
      <w:proofErr w:type="spellEnd"/>
      <w:r w:rsidRPr="00E934DB">
        <w:t xml:space="preserve">, exhibits a more meaningful (though still minor) negative correlation, suggesting that higher relative trading intensity is sometimes associated with slightly </w:t>
      </w:r>
      <w:r w:rsidRPr="00E934DB">
        <w:rPr>
          <w:i/>
          <w:iCs/>
        </w:rPr>
        <w:t>lower</w:t>
      </w:r>
      <w:r w:rsidRPr="00E934DB">
        <w:t xml:space="preserve"> future volatility.</w:t>
      </w:r>
    </w:p>
    <w:p w14:paraId="46A5E285" w14:textId="77777777" w:rsidR="007623BC" w:rsidRPr="00133E02" w:rsidRDefault="007623BC" w:rsidP="00133E02"/>
    <w:sectPr w:rsidR="007623BC" w:rsidRPr="00133E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14E54"/>
    <w:multiLevelType w:val="multilevel"/>
    <w:tmpl w:val="75C2F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7E4036"/>
    <w:multiLevelType w:val="multilevel"/>
    <w:tmpl w:val="20327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784204"/>
    <w:multiLevelType w:val="multilevel"/>
    <w:tmpl w:val="9DE6E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F45798"/>
    <w:multiLevelType w:val="multilevel"/>
    <w:tmpl w:val="4BB82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8850224">
    <w:abstractNumId w:val="1"/>
  </w:num>
  <w:num w:numId="2" w16cid:durableId="143469269">
    <w:abstractNumId w:val="2"/>
  </w:num>
  <w:num w:numId="3" w16cid:durableId="1820731147">
    <w:abstractNumId w:val="3"/>
  </w:num>
  <w:num w:numId="4" w16cid:durableId="1089620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E02"/>
    <w:rsid w:val="00133E02"/>
    <w:rsid w:val="002008A3"/>
    <w:rsid w:val="003B729B"/>
    <w:rsid w:val="007623BC"/>
    <w:rsid w:val="00786A51"/>
    <w:rsid w:val="008B2672"/>
    <w:rsid w:val="00BE4F36"/>
    <w:rsid w:val="00E93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508121"/>
  <w15:chartTrackingRefBased/>
  <w15:docId w15:val="{8C0846E3-FAA5-44D1-8F57-F13DC75DF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3E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3E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3E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3E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3E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3E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3E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3E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3E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3E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3E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3E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3E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3E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3E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3E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3E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3E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3E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3E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3E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3E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3E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3E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3E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3E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3E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3E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3E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1391</TotalTime>
  <Pages>3</Pages>
  <Words>607</Words>
  <Characters>3464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Asmita Majumder</dc:creator>
  <cp:keywords/>
  <dc:description/>
  <cp:lastModifiedBy>Asmita Majumder</cp:lastModifiedBy>
  <cp:revision>1</cp:revision>
  <dcterms:created xsi:type="dcterms:W3CDTF">2025-11-12T17:07:00Z</dcterms:created>
  <dcterms:modified xsi:type="dcterms:W3CDTF">2025-11-15T12:44:00Z</dcterms:modified>
</cp:coreProperties>
</file>