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Arial" w:cs="Arial" w:eastAsia="Arial" w:hAnsi="Arial"/>
          <w:b/>
          <w:bCs/>
          <w:color w:val="E8650A"/>
          <w:sz w:val="72"/>
          <w:szCs w:val="72"/>
        </w:rPr>
        <w:t xml:space="preserve">AMAZON SALES</w:t>
      </w:r>
    </w:p>
    <w:p>
      <w:pPr>
        <w:spacing w:after="200" w:before="0"/>
        <w:jc w:val="center"/>
      </w:pPr>
      <w:r>
        <w:rPr>
          <w:rFonts w:ascii="Arial" w:cs="Arial" w:eastAsia="Arial" w:hAnsi="Arial"/>
          <w:b/>
          <w:bCs/>
          <w:color w:val="1A1A2E"/>
          <w:sz w:val="48"/>
          <w:szCs w:val="48"/>
        </w:rPr>
        <w:t xml:space="preserve">Data Analysis Report</w:t>
      </w:r>
    </w:p>
    <w:p>
      <w:pPr>
        <w:pBdr>
          <w:bottom w:val="single" w:color="E8650A" w:sz="12" w:space="6"/>
        </w:pBdr>
        <w:spacing w:after="300" w:before="0"/>
        <w:jc w:val="center"/>
      </w:pPr>
      <w:r>
        <w:rPr>
          <w:rFonts w:ascii="Arial" w:cs="Arial" w:eastAsia="Arial" w:hAnsi="Arial"/>
          <w:i/>
          <w:iCs/>
          <w:color w:val="555555"/>
          <w:sz w:val="28"/>
          <w:szCs w:val="28"/>
        </w:rPr>
        <w:t xml:space="preserve">Python Exploratory Data Analysis &amp; Visualization</w:t>
      </w:r>
    </w:p>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FFF8F2" w:val="clear"/>
            <w:tcMar>
              <w:top w:type="dxa" w:w="120"/>
              <w:left w:type="dxa" w:w="200"/>
              <w:bottom w:type="dxa" w:w="120"/>
              <w:right w:type="dxa" w:w="200"/>
            </w:tcMar>
          </w:tcPr>
          <w:p>
            <w:pPr>
              <w:jc w:val="center"/>
            </w:pPr>
            <w:r>
              <w:rPr>
                <w:rFonts w:ascii="Arial" w:cs="Arial" w:eastAsia="Arial" w:hAnsi="Arial"/>
                <w:b/>
                <w:bCs/>
                <w:color w:val="1A1A2E"/>
                <w:sz w:val="22"/>
                <w:szCs w:val="22"/>
              </w:rPr>
              <w:t xml:space="preserve">Prepared by: Asmitha Chapa</w:t>
            </w:r>
          </w:p>
        </w:tc>
        <w:tc>
          <w:tcPr>
            <w:tcW w:type="dxa" w:w="3000"/>
            <w:tcBorders>
              <w:top w:val="none" w:color="FFFFFF" w:sz="0"/>
              <w:left w:val="none" w:color="FFFFFF" w:sz="0"/>
              <w:bottom w:val="none" w:color="FFFFFF" w:sz="0"/>
              <w:right w:val="none" w:color="FFFFFF" w:sz="0"/>
            </w:tcBorders>
            <w:shd w:fill="FFF8F2" w:val="clear"/>
            <w:tcMar>
              <w:top w:type="dxa" w:w="120"/>
              <w:left w:type="dxa" w:w="200"/>
              <w:bottom w:type="dxa" w:w="120"/>
              <w:right w:type="dxa" w:w="200"/>
            </w:tcMar>
          </w:tcPr>
          <w:p>
            <w:pPr>
              <w:jc w:val="center"/>
            </w:pPr>
            <w:r>
              <w:rPr>
                <w:rFonts w:ascii="Arial" w:cs="Arial" w:eastAsia="Arial" w:hAnsi="Arial"/>
                <w:b/>
                <w:bCs/>
                <w:color w:val="1A1A2E"/>
                <w:sz w:val="22"/>
                <w:szCs w:val="22"/>
              </w:rPr>
              <w:t xml:space="preserve">Date: April 2026</w:t>
            </w:r>
          </w:p>
        </w:tc>
      </w:tr>
    </w:tbl>
    <w:p>
      <w:r>
        <w:br w:type="page"/>
      </w:r>
    </w:p>
    <w:p>
      <w:pPr>
        <w:pStyle w:val="Heading1"/>
        <w:pBdr>
          <w:bottom w:val="single" w:color="E8650A" w:sz="8" w:space="4"/>
        </w:pBdr>
        <w:spacing w:after="160" w:before="320"/>
      </w:pPr>
      <w:r>
        <w:rPr>
          <w:rFonts w:ascii="Arial" w:cs="Arial" w:eastAsia="Arial" w:hAnsi="Arial"/>
          <w:b/>
          <w:bCs/>
          <w:color w:val="1A1A2E"/>
          <w:sz w:val="32"/>
          <w:szCs w:val="32"/>
        </w:rPr>
        <w:t xml:space="preserve">1. Executive Summary</w:t>
      </w:r>
    </w:p>
    <w:p>
      <w:pPr>
        <w:spacing w:after="80" w:before="60"/>
      </w:pPr>
      <w:r>
        <w:rPr>
          <w:rFonts w:ascii="Arial" w:cs="Arial" w:eastAsia="Arial" w:hAnsi="Arial"/>
          <w:color w:val="2C2C2C"/>
          <w:sz w:val="22"/>
          <w:szCs w:val="22"/>
        </w:rPr>
        <w:t xml:space="preserve">This report provides a comprehensive analysis of the Python-based exploratory data analysis (EDA) notebook for the Amazon Sales dataset. The notebook encompasses data ingestion, preprocessing, database integration, and seven distinct visualizations built using Pandas, Matplotlib, Seaborn, and NumPy.</w:t>
      </w:r>
    </w:p>
    <w:p>
      <w:pPr>
        <w:spacing w:after="0" w:before="80"/>
      </w:pPr>
      <w:r>
        <w:t xml:space="preserve"/>
      </w:r>
    </w:p>
    <w:p>
      <w:pPr>
        <w:spacing w:after="80" w:before="60"/>
      </w:pPr>
      <w:r>
        <w:rPr>
          <w:rFonts w:ascii="Arial" w:cs="Arial" w:eastAsia="Arial" w:hAnsi="Arial"/>
          <w:color w:val="2C2C2C"/>
          <w:sz w:val="22"/>
          <w:szCs w:val="22"/>
        </w:rPr>
        <w:t xml:space="preserve">The analysis targets an Amazon product listing dataset (amazon.csv) that spans product pricing, discount structures, customer ratings, and category distribution. A total of 6 core visualizations are created after thorough data cleaning, with the cleaned data subsequently pushed to a MySQL database for downstream BI consumption.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Attribute</w:t>
            </w:r>
          </w:p>
        </w:tc>
        <w:tc>
          <w:tcPr>
            <w:tcW w:type="dxa" w:w="468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Dataset</w:t>
            </w:r>
          </w:p>
        </w:tc>
        <w:tc>
          <w:tcPr>
            <w:tcW w:type="dxa" w:w="468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Amazon Product Listings (amazon.csv)</w:t>
            </w:r>
          </w:p>
        </w:tc>
      </w:tr>
      <w:tr>
        <w:tc>
          <w:tcPr>
            <w:tcW w:type="dxa" w:w="468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Libraries Used</w:t>
            </w:r>
          </w:p>
        </w:tc>
        <w:tc>
          <w:tcPr>
            <w:tcW w:type="dxa" w:w="468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Pandas, Matplotlib, Seaborn, NumPy, SQLAlchemy</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Total Visualizations</w:t>
            </w:r>
          </w:p>
        </w:tc>
        <w:tc>
          <w:tcPr>
            <w:tcW w:type="dxa" w:w="468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6 Charts</w:t>
            </w:r>
          </w:p>
        </w:tc>
      </w:tr>
      <w:tr>
        <w:tc>
          <w:tcPr>
            <w:tcW w:type="dxa" w:w="468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Chart Types</w:t>
            </w:r>
          </w:p>
        </w:tc>
        <w:tc>
          <w:tcPr>
            <w:tcW w:type="dxa" w:w="468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Histogram, Bar Chart, Scatter Plot</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Database Integration</w:t>
            </w:r>
          </w:p>
        </w:tc>
        <w:tc>
          <w:tcPr>
            <w:tcW w:type="dxa" w:w="468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MySQL via SQLAlchemy / PyMySQL</w:t>
            </w:r>
          </w:p>
        </w:tc>
      </w:tr>
      <w:tr>
        <w:tc>
          <w:tcPr>
            <w:tcW w:type="dxa" w:w="468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Primary Metrics</w:t>
            </w:r>
          </w:p>
        </w:tc>
        <w:tc>
          <w:tcPr>
            <w:tcW w:type="dxa" w:w="468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Rating, Discount %, Actual Price, Rating Count, Main Category</w:t>
            </w:r>
          </w:p>
        </w:tc>
      </w:tr>
      <w:tr>
        <w:tc>
          <w:tcPr>
            <w:tcW w:type="dxa" w:w="468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Data Cleaning Steps</w:t>
            </w:r>
          </w:p>
        </w:tc>
        <w:tc>
          <w:tcPr>
            <w:tcW w:type="dxa" w:w="468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Type conversion, null imputation, duplicate removal, currency stripping</w:t>
            </w:r>
          </w:p>
        </w:tc>
      </w:tr>
    </w:tbl>
    <w:p>
      <w:pPr>
        <w:spacing w:after="0" w:before="200"/>
      </w:pPr>
      <w:r>
        <w:t xml:space="preserve"/>
      </w:r>
    </w:p>
    <w:p>
      <w:r>
        <w:br w:type="page"/>
      </w:r>
    </w:p>
    <w:p>
      <w:pPr>
        <w:pStyle w:val="Heading1"/>
        <w:pBdr>
          <w:bottom w:val="single" w:color="E8650A" w:sz="8" w:space="4"/>
        </w:pBdr>
        <w:spacing w:after="160" w:before="320"/>
      </w:pPr>
      <w:r>
        <w:rPr>
          <w:rFonts w:ascii="Arial" w:cs="Arial" w:eastAsia="Arial" w:hAnsi="Arial"/>
          <w:b/>
          <w:bCs/>
          <w:color w:val="1A1A2E"/>
          <w:sz w:val="32"/>
          <w:szCs w:val="32"/>
        </w:rPr>
        <w:t xml:space="preserve">2. Dataset &amp; Data Model</w:t>
      </w:r>
    </w:p>
    <w:p>
      <w:pPr>
        <w:spacing w:after="80" w:before="60"/>
      </w:pPr>
      <w:r>
        <w:rPr>
          <w:rFonts w:ascii="Arial" w:cs="Arial" w:eastAsia="Arial" w:hAnsi="Arial"/>
          <w:color w:val="2C2C2C"/>
          <w:sz w:val="22"/>
          <w:szCs w:val="22"/>
        </w:rPr>
        <w:t xml:space="preserve">The primary dataset is amazon.csv, which represents Amazon product listings with pricing, discount, rating, and category information. The following columns are referenced across the notebook's transformations and visualizations.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Column</w:t>
            </w:r>
          </w:p>
        </w:tc>
        <w:tc>
          <w:tcPr>
            <w:tcW w:type="dxa" w:w="300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Data Type</w:t>
            </w:r>
          </w:p>
        </w:tc>
        <w:tc>
          <w:tcPr>
            <w:tcW w:type="dxa" w:w="416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product_id</w:t>
            </w:r>
          </w:p>
        </w:tc>
        <w:tc>
          <w:tcPr>
            <w:tcW w:type="dxa" w:w="30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String / Object</w:t>
            </w:r>
          </w:p>
        </w:tc>
        <w:tc>
          <w:tcPr>
            <w:tcW w:type="dxa" w:w="4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Unique product identifier</w:t>
            </w:r>
          </w:p>
        </w:tc>
      </w:tr>
      <w:tr>
        <w:tc>
          <w:tcPr>
            <w:tcW w:type="dxa" w:w="22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product_name</w:t>
            </w:r>
          </w:p>
        </w:tc>
        <w:tc>
          <w:tcPr>
            <w:tcW w:type="dxa" w:w="30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String / Object</w:t>
            </w:r>
          </w:p>
        </w:tc>
        <w:tc>
          <w:tcPr>
            <w:tcW w:type="dxa" w:w="41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Full product name</w:t>
            </w:r>
          </w:p>
        </w:tc>
      </w:tr>
      <w:tr>
        <w:tc>
          <w:tcPr>
            <w:tcW w:type="dxa" w:w="22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category</w:t>
            </w:r>
          </w:p>
        </w:tc>
        <w:tc>
          <w:tcPr>
            <w:tcW w:type="dxa" w:w="30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String / Object</w:t>
            </w:r>
          </w:p>
        </w:tc>
        <w:tc>
          <w:tcPr>
            <w:tcW w:type="dxa" w:w="4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Pipe-delimited category hierarchy (e.g. Electronics|Mobiles)</w:t>
            </w:r>
          </w:p>
        </w:tc>
      </w:tr>
      <w:tr>
        <w:tc>
          <w:tcPr>
            <w:tcW w:type="dxa" w:w="22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main_category</w:t>
            </w:r>
          </w:p>
        </w:tc>
        <w:tc>
          <w:tcPr>
            <w:tcW w:type="dxa" w:w="30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Derived (String)</w:t>
            </w:r>
          </w:p>
        </w:tc>
        <w:tc>
          <w:tcPr>
            <w:tcW w:type="dxa" w:w="41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Top-level category extracted from category column</w:t>
            </w:r>
          </w:p>
        </w:tc>
      </w:tr>
      <w:tr>
        <w:tc>
          <w:tcPr>
            <w:tcW w:type="dxa" w:w="22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actual_price</w:t>
            </w:r>
          </w:p>
        </w:tc>
        <w:tc>
          <w:tcPr>
            <w:tcW w:type="dxa" w:w="30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Float (cleaned)</w:t>
            </w:r>
          </w:p>
        </w:tc>
        <w:tc>
          <w:tcPr>
            <w:tcW w:type="dxa" w:w="4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Original listed price in INR; stripped of ₹ and commas</w:t>
            </w:r>
          </w:p>
        </w:tc>
      </w:tr>
      <w:tr>
        <w:tc>
          <w:tcPr>
            <w:tcW w:type="dxa" w:w="22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discounted_price</w:t>
            </w:r>
          </w:p>
        </w:tc>
        <w:tc>
          <w:tcPr>
            <w:tcW w:type="dxa" w:w="30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Float (cleaned)</w:t>
            </w:r>
          </w:p>
        </w:tc>
        <w:tc>
          <w:tcPr>
            <w:tcW w:type="dxa" w:w="41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Sale price after discount, cleaned similarly</w:t>
            </w:r>
          </w:p>
        </w:tc>
      </w:tr>
      <w:tr>
        <w:tc>
          <w:tcPr>
            <w:tcW w:type="dxa" w:w="22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discount_percentage</w:t>
            </w:r>
          </w:p>
        </w:tc>
        <w:tc>
          <w:tcPr>
            <w:tcW w:type="dxa" w:w="30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Float (cleaned)</w:t>
            </w:r>
          </w:p>
        </w:tc>
        <w:tc>
          <w:tcPr>
            <w:tcW w:type="dxa" w:w="4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Percentage discount; stripped of % symbol</w:t>
            </w:r>
          </w:p>
        </w:tc>
      </w:tr>
      <w:tr>
        <w:tc>
          <w:tcPr>
            <w:tcW w:type="dxa" w:w="22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discount_pct</w:t>
            </w:r>
          </w:p>
        </w:tc>
        <w:tc>
          <w:tcPr>
            <w:tcW w:type="dxa" w:w="30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Derived (Float)</w:t>
            </w:r>
          </w:p>
        </w:tc>
        <w:tc>
          <w:tcPr>
            <w:tcW w:type="dxa" w:w="41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Recalculated as (actual − discounted) / actual × 100</w:t>
            </w:r>
          </w:p>
        </w:tc>
      </w:tr>
      <w:tr>
        <w:tc>
          <w:tcPr>
            <w:tcW w:type="dxa" w:w="22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rating</w:t>
            </w:r>
          </w:p>
        </w:tc>
        <w:tc>
          <w:tcPr>
            <w:tcW w:type="dxa" w:w="30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Float (cleaned)</w:t>
            </w:r>
          </w:p>
        </w:tc>
        <w:tc>
          <w:tcPr>
            <w:tcW w:type="dxa" w:w="4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Customer rating on a 1–5 scale; coerced to numeric</w:t>
            </w:r>
          </w:p>
        </w:tc>
      </w:tr>
      <w:tr>
        <w:tc>
          <w:tcPr>
            <w:tcW w:type="dxa" w:w="22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rating_count</w:t>
            </w:r>
          </w:p>
        </w:tc>
        <w:tc>
          <w:tcPr>
            <w:tcW w:type="dxa" w:w="30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Float (cleaned)</w:t>
            </w:r>
          </w:p>
        </w:tc>
        <w:tc>
          <w:tcPr>
            <w:tcW w:type="dxa" w:w="41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Number of customer ratings; commas removed, NaNs filled with median</w:t>
            </w:r>
          </w:p>
        </w:tc>
      </w:tr>
      <w:tr>
        <w:tc>
          <w:tcPr>
            <w:tcW w:type="dxa" w:w="22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rc_bucket</w:t>
            </w:r>
          </w:p>
        </w:tc>
        <w:tc>
          <w:tcPr>
            <w:tcW w:type="dxa" w:w="30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Category (derived)</w:t>
            </w:r>
          </w:p>
        </w:tc>
        <w:tc>
          <w:tcPr>
            <w:tcW w:type="dxa" w:w="41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Rating count grouped into 5 range bins (&lt;1K, 1K–5K, etc.)</w:t>
            </w:r>
          </w:p>
        </w:tc>
      </w:tr>
    </w:tbl>
    <w:p>
      <w:pPr>
        <w:spacing w:after="0" w:before="160"/>
      </w:pPr>
      <w:r>
        <w:t xml:space="preserve"/>
      </w:r>
    </w:p>
    <w:p>
      <w:pPr>
        <w:spacing w:after="80" w:before="60"/>
      </w:pPr>
      <w:r>
        <w:rPr>
          <w:rFonts w:ascii="Arial" w:cs="Arial" w:eastAsia="Arial" w:hAnsi="Arial"/>
          <w:b/>
          <w:bCs/>
          <w:color w:val="2C2C2C"/>
          <w:sz w:val="22"/>
          <w:szCs w:val="22"/>
        </w:rPr>
        <w:t xml:space="preserve">Data Cleaning Summary:</w:t>
      </w:r>
    </w:p>
    <w:p>
      <w:pPr>
        <w:pStyle w:val="ListParagraph"/>
        <w:numPr>
          <w:ilvl w:val="0"/>
          <w:numId w:val="2"/>
        </w:numPr>
        <w:spacing w:after="40" w:before="40"/>
      </w:pPr>
      <w:r>
        <w:rPr>
          <w:rFonts w:ascii="Arial" w:cs="Arial" w:eastAsia="Arial" w:hAnsi="Arial"/>
          <w:color w:val="2C2C2C"/>
          <w:sz w:val="22"/>
          <w:szCs w:val="22"/>
        </w:rPr>
        <w:t xml:space="preserve">Stripped currency symbols (₹) and percentage signs (%) from price and discount columns.</w:t>
      </w:r>
    </w:p>
    <w:p>
      <w:pPr>
        <w:pStyle w:val="ListParagraph"/>
        <w:numPr>
          <w:ilvl w:val="0"/>
          <w:numId w:val="2"/>
        </w:numPr>
        <w:spacing w:after="40" w:before="40"/>
      </w:pPr>
      <w:r>
        <w:rPr>
          <w:rFonts w:ascii="Arial" w:cs="Arial" w:eastAsia="Arial" w:hAnsi="Arial"/>
          <w:color w:val="2C2C2C"/>
          <w:sz w:val="22"/>
          <w:szCs w:val="22"/>
        </w:rPr>
        <w:t xml:space="preserve">Converted all financial columns to float using pd.to_numeric with errors='coerce'.</w:t>
      </w:r>
    </w:p>
    <w:p>
      <w:pPr>
        <w:pStyle w:val="ListParagraph"/>
        <w:numPr>
          <w:ilvl w:val="0"/>
          <w:numId w:val="2"/>
        </w:numPr>
        <w:spacing w:after="40" w:before="40"/>
      </w:pPr>
      <w:r>
        <w:rPr>
          <w:rFonts w:ascii="Arial" w:cs="Arial" w:eastAsia="Arial" w:hAnsi="Arial"/>
          <w:color w:val="2C2C2C"/>
          <w:sz w:val="22"/>
          <w:szCs w:val="22"/>
        </w:rPr>
        <w:t xml:space="preserve">Filled remaining NaN values with column medians to preserve data distribution.</w:t>
      </w:r>
    </w:p>
    <w:p>
      <w:pPr>
        <w:pStyle w:val="ListParagraph"/>
        <w:numPr>
          <w:ilvl w:val="0"/>
          <w:numId w:val="2"/>
        </w:numPr>
        <w:spacing w:after="40" w:before="40"/>
      </w:pPr>
      <w:r>
        <w:rPr>
          <w:rFonts w:ascii="Arial" w:cs="Arial" w:eastAsia="Arial" w:hAnsi="Arial"/>
          <w:color w:val="2C2C2C"/>
          <w:sz w:val="22"/>
          <w:szCs w:val="22"/>
        </w:rPr>
        <w:t xml:space="preserve">Removed duplicate rows (df.drop_duplicates()) to avoid skewed aggregations.</w:t>
      </w:r>
    </w:p>
    <w:p>
      <w:pPr>
        <w:pStyle w:val="ListParagraph"/>
        <w:numPr>
          <w:ilvl w:val="0"/>
          <w:numId w:val="2"/>
        </w:numPr>
        <w:spacing w:after="40" w:before="40"/>
      </w:pPr>
      <w:r>
        <w:rPr>
          <w:rFonts w:ascii="Arial" w:cs="Arial" w:eastAsia="Arial" w:hAnsi="Arial"/>
          <w:color w:val="2C2C2C"/>
          <w:sz w:val="22"/>
          <w:szCs w:val="22"/>
        </w:rPr>
        <w:t xml:space="preserve">Derived main_category by splitting the category pipe-string and taking the first element.</w:t>
      </w:r>
    </w:p>
    <w:p>
      <w:pPr>
        <w:pStyle w:val="ListParagraph"/>
        <w:numPr>
          <w:ilvl w:val="0"/>
          <w:numId w:val="2"/>
        </w:numPr>
        <w:spacing w:after="40" w:before="40"/>
      </w:pPr>
      <w:r>
        <w:rPr>
          <w:rFonts w:ascii="Arial" w:cs="Arial" w:eastAsia="Arial" w:hAnsi="Arial"/>
          <w:color w:val="2C2C2C"/>
          <w:sz w:val="22"/>
          <w:szCs w:val="22"/>
        </w:rPr>
        <w:t xml:space="preserve">Re-derived discount_pct from actual and discounted prices as a validation cross-check.</w:t>
      </w:r>
    </w:p>
    <w:p>
      <w:pPr>
        <w:spacing w:after="0" w:before="200"/>
      </w:pPr>
      <w:r>
        <w:t xml:space="preserve"/>
      </w:r>
    </w:p>
    <w:p>
      <w:r>
        <w:br w:type="page"/>
      </w:r>
    </w:p>
    <w:p>
      <w:pPr>
        <w:pStyle w:val="Heading1"/>
        <w:pBdr>
          <w:bottom w:val="single" w:color="E8650A" w:sz="8" w:space="4"/>
        </w:pBdr>
        <w:spacing w:after="160" w:before="320"/>
      </w:pPr>
      <w:r>
        <w:rPr>
          <w:rFonts w:ascii="Arial" w:cs="Arial" w:eastAsia="Arial" w:hAnsi="Arial"/>
          <w:b/>
          <w:bCs/>
          <w:color w:val="1A1A2E"/>
          <w:sz w:val="32"/>
          <w:szCs w:val="32"/>
        </w:rPr>
        <w:t xml:space="preserve">3. Page-by-Page Visualization Breakdown</w:t>
      </w:r>
    </w:p>
    <w:p>
      <w:pPr>
        <w:pStyle w:val="Heading2"/>
        <w:spacing w:after="120" w:before="280"/>
      </w:pPr>
      <w:r>
        <w:rPr>
          <w:rFonts w:ascii="Arial" w:cs="Arial" w:eastAsia="Arial" w:hAnsi="Arial"/>
          <w:b/>
          <w:bCs/>
          <w:color w:val="16213E"/>
          <w:sz w:val="26"/>
          <w:szCs w:val="26"/>
        </w:rPr>
        <w:t xml:space="preserve">3.1 — Rating Distribution (Histogram with KDE)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Chart Type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Histogram with KDE Overlay (sns.histplot + KDE)</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X-Axis</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Rating (1–5 scale)</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Y-Axis</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Number of Products</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Bins</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15 bins</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Color</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Steelblue bars with white edge</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Output File</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rating_distribution.png</w:t>
            </w:r>
          </w:p>
        </w:tc>
      </w:tr>
    </w:tbl>
    <w:p>
      <w:pPr>
        <w:spacing w:after="0" w:before="120"/>
      </w:pPr>
      <w:r>
        <w:t xml:space="preserve"/>
      </w:r>
    </w:p>
    <w:p>
      <w:pPr>
        <w:spacing w:after="80" w:before="200"/>
      </w:pPr>
      <w:r>
        <w:rPr>
          <w:rFonts w:ascii="Arial" w:cs="Arial" w:eastAsia="Arial" w:hAnsi="Arial"/>
          <w:b/>
          <w:bCs/>
          <w:color w:val="C45208"/>
          <w:sz w:val="22"/>
          <w:szCs w:val="22"/>
        </w:rPr>
        <w:t xml:space="preserve">Description</w:t>
      </w:r>
    </w:p>
    <w:p>
      <w:pPr>
        <w:spacing w:after="80" w:before="60"/>
      </w:pPr>
      <w:r>
        <w:rPr>
          <w:rFonts w:ascii="Arial" w:cs="Arial" w:eastAsia="Arial" w:hAnsi="Arial"/>
          <w:color w:val="2C2C2C"/>
          <w:sz w:val="22"/>
          <w:szCs w:val="22"/>
        </w:rPr>
        <w:t xml:space="preserve">This histogram visualizes the frequency distribution of customer ratings across all Amazon products in the dataset. The x-axis represents the rating values (typically 1.0 to 5.0), while the y-axis counts how many products fall into each rating bin. A KDE (Kernel Density Estimation) curve is overlaid to smooth out the distribution and reveal its underlying shape.</w:t>
      </w:r>
    </w:p>
    <w:p>
      <w:pPr>
        <w:spacing w:after="0" w:before="80"/>
      </w:pPr>
      <w:r>
        <w:t xml:space="preserve"/>
      </w:r>
    </w:p>
    <w:p>
      <w:pPr>
        <w:spacing w:after="80" w:before="200"/>
      </w:pPr>
      <w:r>
        <w:rPr>
          <w:rFonts w:ascii="Arial" w:cs="Arial" w:eastAsia="Arial" w:hAnsi="Arial"/>
          <w:b/>
          <w:bCs/>
          <w:color w:val="C45208"/>
          <w:sz w:val="22"/>
          <w:szCs w:val="22"/>
        </w:rPr>
        <w:t xml:space="preserve">Business Insight</w:t>
      </w:r>
    </w:p>
    <w:p>
      <w:pPr>
        <w:spacing w:after="80" w:before="60"/>
      </w:pPr>
      <w:r>
        <w:rPr>
          <w:rFonts w:ascii="Arial" w:cs="Arial" w:eastAsia="Arial" w:hAnsi="Arial"/>
          <w:color w:val="2C2C2C"/>
          <w:sz w:val="22"/>
          <w:szCs w:val="22"/>
        </w:rPr>
        <w:t xml:space="preserve">The distribution shape immediately reveals whether Amazon products in this dataset skew positively (most products rated 4–5) or show a wider spread. A peak near 4.0–4.5 would indicate generally high customer satisfaction, whereas a flat or bimodal distribution may suggest polarized product quality. Sellers can benchmark their individual product ratings against this distribution to understand competitive positioning.</w:t>
      </w:r>
    </w:p>
    <w:p>
      <w:pPr>
        <w:spacing w:after="0" w:before="240"/>
      </w:pPr>
      <w:r>
        <w:t xml:space="preserve"/>
      </w:r>
    </w:p>
    <w:p>
      <w:pPr>
        <w:pStyle w:val="Heading2"/>
        <w:spacing w:after="120" w:before="280"/>
      </w:pPr>
      <w:r>
        <w:rPr>
          <w:rFonts w:ascii="Arial" w:cs="Arial" w:eastAsia="Arial" w:hAnsi="Arial"/>
          <w:b/>
          <w:bCs/>
          <w:color w:val="16213E"/>
          <w:sz w:val="26"/>
          <w:szCs w:val="26"/>
        </w:rPr>
        <w:t xml:space="preserve">3.2 — Discount % Distribution (Histogram with KDE)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Chart Type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Histogram with KDE Overlay (sns.histplot + KDE)</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X-Axis</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Discount Percentage (%)</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Y-Axis</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Number of Products</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Bins</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15 bins</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Color</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Mediumpurple bars with white edge</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Output File</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discount_distribution.png</w:t>
            </w:r>
          </w:p>
        </w:tc>
      </w:tr>
    </w:tbl>
    <w:p>
      <w:pPr>
        <w:spacing w:after="0" w:before="120"/>
      </w:pPr>
      <w:r>
        <w:t xml:space="preserve"/>
      </w:r>
    </w:p>
    <w:p>
      <w:pPr>
        <w:spacing w:after="80" w:before="200"/>
      </w:pPr>
      <w:r>
        <w:rPr>
          <w:rFonts w:ascii="Arial" w:cs="Arial" w:eastAsia="Arial" w:hAnsi="Arial"/>
          <w:b/>
          <w:bCs/>
          <w:color w:val="C45208"/>
          <w:sz w:val="22"/>
          <w:szCs w:val="22"/>
        </w:rPr>
        <w:t xml:space="preserve">Description</w:t>
      </w:r>
    </w:p>
    <w:p>
      <w:pPr>
        <w:spacing w:after="80" w:before="60"/>
      </w:pPr>
      <w:r>
        <w:rPr>
          <w:rFonts w:ascii="Arial" w:cs="Arial" w:eastAsia="Arial" w:hAnsi="Arial"/>
          <w:color w:val="2C2C2C"/>
          <w:sz w:val="22"/>
          <w:szCs w:val="22"/>
        </w:rPr>
        <w:t xml:space="preserve">This chart examines how discount percentages are distributed across all products. Similar in structure to the rating histogram, it uses 15 bins and a KDE overlay to show the density of discount values. The x-axis spans the full range of discounts found in the dataset (after cleaning and median-filling of nulls).</w:t>
      </w:r>
    </w:p>
    <w:p>
      <w:pPr>
        <w:spacing w:after="0" w:before="80"/>
      </w:pPr>
      <w:r>
        <w:t xml:space="preserve"/>
      </w:r>
    </w:p>
    <w:p>
      <w:pPr>
        <w:spacing w:after="80" w:before="200"/>
      </w:pPr>
      <w:r>
        <w:rPr>
          <w:rFonts w:ascii="Arial" w:cs="Arial" w:eastAsia="Arial" w:hAnsi="Arial"/>
          <w:b/>
          <w:bCs/>
          <w:color w:val="C45208"/>
          <w:sz w:val="22"/>
          <w:szCs w:val="22"/>
        </w:rPr>
        <w:t xml:space="preserve">Business Insight</w:t>
      </w:r>
    </w:p>
    <w:p>
      <w:pPr>
        <w:spacing w:after="80" w:before="60"/>
      </w:pPr>
      <w:r>
        <w:rPr>
          <w:rFonts w:ascii="Arial" w:cs="Arial" w:eastAsia="Arial" w:hAnsi="Arial"/>
          <w:color w:val="2C2C2C"/>
          <w:sz w:val="22"/>
          <w:szCs w:val="22"/>
        </w:rPr>
        <w:t xml:space="preserve">A right-skewed distribution would indicate that most products carry modest discounts with a long tail of deeply discounted outliers — often seen in clearance or category-specific promotions. A bimodal pattern might suggest two distinct pricing strategies across different product categories. This analysis is critical for pricing teams to understand where the marketplace's discount density lies and how aggressive promotions are across the portfolio.</w:t>
      </w:r>
    </w:p>
    <w:p>
      <w:pPr>
        <w:spacing w:after="0" w:before="240"/>
      </w:pPr>
      <w:r>
        <w:t xml:space="preserve"/>
      </w:r>
    </w:p>
    <w:p>
      <w:r>
        <w:br w:type="page"/>
      </w:r>
    </w:p>
    <w:p>
      <w:pPr>
        <w:pStyle w:val="Heading2"/>
        <w:spacing w:after="120" w:before="280"/>
      </w:pPr>
      <w:r>
        <w:rPr>
          <w:rFonts w:ascii="Arial" w:cs="Arial" w:eastAsia="Arial" w:hAnsi="Arial"/>
          <w:b/>
          <w:bCs/>
          <w:color w:val="16213E"/>
          <w:sz w:val="26"/>
          <w:szCs w:val="26"/>
        </w:rPr>
        <w:t xml:space="preserve">3.3 — Average Discount % by Main Category (Horizontal Bar Chart)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Chart Type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Horizontal Bar Chart (plt.barh)</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Y-Axis</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Top 8 Main Categories</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X-Axis</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Average Discount Percentage (%)</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Palette</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Blues_d (descending blue gradient)</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Data Labels</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Percentage values at bar ends (fmt='%.1f%%')</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Output File</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avg_discount_by_category.png</w:t>
            </w:r>
          </w:p>
        </w:tc>
      </w:tr>
    </w:tbl>
    <w:p>
      <w:pPr>
        <w:spacing w:after="0" w:before="120"/>
      </w:pPr>
      <w:r>
        <w:t xml:space="preserve"/>
      </w:r>
    </w:p>
    <w:p>
      <w:pPr>
        <w:spacing w:after="80" w:before="200"/>
      </w:pPr>
      <w:r>
        <w:rPr>
          <w:rFonts w:ascii="Arial" w:cs="Arial" w:eastAsia="Arial" w:hAnsi="Arial"/>
          <w:b/>
          <w:bCs/>
          <w:color w:val="C45208"/>
          <w:sz w:val="22"/>
          <w:szCs w:val="22"/>
        </w:rPr>
        <w:t xml:space="preserve">Description</w:t>
      </w:r>
    </w:p>
    <w:p>
      <w:pPr>
        <w:spacing w:after="80" w:before="60"/>
      </w:pPr>
      <w:r>
        <w:rPr>
          <w:rFonts w:ascii="Arial" w:cs="Arial" w:eastAsia="Arial" w:hAnsi="Arial"/>
          <w:color w:val="2C2C2C"/>
          <w:sz w:val="22"/>
          <w:szCs w:val="22"/>
        </w:rPr>
        <w:t xml:space="preserve">This horizontal bar chart ranks the top 8 product categories by their average discount percentage. Categories are derived from the main_category column (extracted from the pipe-delimited category hierarchy). The chart is sorted in ascending order of discount so the highest-discounting category appears at the top, making rank comparisons effortless. Data labels at the end of each bar display the exact average for precision.</w:t>
      </w:r>
    </w:p>
    <w:p>
      <w:pPr>
        <w:spacing w:after="0" w:before="80"/>
      </w:pPr>
      <w:r>
        <w:t xml:space="preserve"/>
      </w:r>
    </w:p>
    <w:p>
      <w:pPr>
        <w:spacing w:after="80" w:before="200"/>
      </w:pPr>
      <w:r>
        <w:rPr>
          <w:rFonts w:ascii="Arial" w:cs="Arial" w:eastAsia="Arial" w:hAnsi="Arial"/>
          <w:b/>
          <w:bCs/>
          <w:color w:val="C45208"/>
          <w:sz w:val="22"/>
          <w:szCs w:val="22"/>
        </w:rPr>
        <w:t xml:space="preserve">Business Insight</w:t>
      </w:r>
    </w:p>
    <w:p>
      <w:pPr>
        <w:spacing w:after="80" w:before="60"/>
      </w:pPr>
      <w:r>
        <w:rPr>
          <w:rFonts w:ascii="Arial" w:cs="Arial" w:eastAsia="Arial" w:hAnsi="Arial"/>
          <w:color w:val="2C2C2C"/>
          <w:sz w:val="22"/>
          <w:szCs w:val="22"/>
        </w:rPr>
        <w:t xml:space="preserve">This visualization reveals which product categories are typically offered at the steepest discounts — an indicator of either high competition, inventory clearance, or aggressive customer acquisition strategy. For example, if Electronics consistently shows higher discounts than Books, it suggests category-level pricing pressures. Procurement and category management teams can use this to calibrate promotional budgets and negotiate better margins with suppliers in high-discount categories.</w:t>
      </w:r>
    </w:p>
    <w:p>
      <w:pPr>
        <w:spacing w:after="0" w:before="240"/>
      </w:pPr>
      <w:r>
        <w:t xml:space="preserve"/>
      </w:r>
    </w:p>
    <w:p>
      <w:pPr>
        <w:pStyle w:val="Heading2"/>
        <w:spacing w:after="120" w:before="280"/>
      </w:pPr>
      <w:r>
        <w:rPr>
          <w:rFonts w:ascii="Arial" w:cs="Arial" w:eastAsia="Arial" w:hAnsi="Arial"/>
          <w:b/>
          <w:bCs/>
          <w:color w:val="16213E"/>
          <w:sz w:val="26"/>
          <w:szCs w:val="26"/>
        </w:rPr>
        <w:t xml:space="preserve">3.4 — Average Rating by Main Category (Horizontal Bar Chart)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Chart Type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Horizontal Bar Chart (plt.barh)</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Y-Axis</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Top 8 Main Categories</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X-Axis</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Average Customer Rating (0–5 scale)</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Palette</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Greens_d (descending green gradient)</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X-Axis Limit</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0 to 5.5 for visual clarity</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Data Labels</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Rating values at bar ends (fmt='%.2f')</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Output File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avg_rating_by_category.png</w:t>
            </w:r>
          </w:p>
        </w:tc>
      </w:tr>
    </w:tbl>
    <w:p>
      <w:pPr>
        <w:spacing w:after="0" w:before="120"/>
      </w:pPr>
      <w:r>
        <w:t xml:space="preserve"/>
      </w:r>
    </w:p>
    <w:p>
      <w:pPr>
        <w:spacing w:after="80" w:before="200"/>
      </w:pPr>
      <w:r>
        <w:rPr>
          <w:rFonts w:ascii="Arial" w:cs="Arial" w:eastAsia="Arial" w:hAnsi="Arial"/>
          <w:b/>
          <w:bCs/>
          <w:color w:val="C45208"/>
          <w:sz w:val="22"/>
          <w:szCs w:val="22"/>
        </w:rPr>
        <w:t xml:space="preserve">Description</w:t>
      </w:r>
    </w:p>
    <w:p>
      <w:pPr>
        <w:spacing w:after="80" w:before="60"/>
      </w:pPr>
      <w:r>
        <w:rPr>
          <w:rFonts w:ascii="Arial" w:cs="Arial" w:eastAsia="Arial" w:hAnsi="Arial"/>
          <w:color w:val="2C2C2C"/>
          <w:sz w:val="22"/>
          <w:szCs w:val="22"/>
        </w:rPr>
        <w:t xml:space="preserve">This chart mirrors the structure of the average discount chart but focuses on customer satisfaction. The same top 8 main categories are plotted on the y-axis, while the x-axis shows the mean customer rating per category. NaN ratings are dropped before aggregation to ensure only products with valid ratings contribute to the average. Bars are sorted in ascending order so the best-rated category sits at the top.</w:t>
      </w:r>
    </w:p>
    <w:p>
      <w:pPr>
        <w:spacing w:after="0" w:before="80"/>
      </w:pPr>
      <w:r>
        <w:t xml:space="preserve"/>
      </w:r>
    </w:p>
    <w:p>
      <w:pPr>
        <w:spacing w:after="80" w:before="200"/>
      </w:pPr>
      <w:r>
        <w:rPr>
          <w:rFonts w:ascii="Arial" w:cs="Arial" w:eastAsia="Arial" w:hAnsi="Arial"/>
          <w:b/>
          <w:bCs/>
          <w:color w:val="C45208"/>
          <w:sz w:val="22"/>
          <w:szCs w:val="22"/>
        </w:rPr>
        <w:t xml:space="preserve">Business Insight</w:t>
      </w:r>
    </w:p>
    <w:p>
      <w:pPr>
        <w:spacing w:after="80" w:before="60"/>
      </w:pPr>
      <w:r>
        <w:rPr>
          <w:rFonts w:ascii="Arial" w:cs="Arial" w:eastAsia="Arial" w:hAnsi="Arial"/>
          <w:color w:val="2C2C2C"/>
          <w:sz w:val="22"/>
          <w:szCs w:val="22"/>
        </w:rPr>
        <w:t xml:space="preserve">Comparing this chart against the previous one (Avg Discount by Category) unlocks a powerful cross-analysis: categories with high discounts but low ratings may indicate commoditized or low-quality products where price is the only differentiator. Conversely, categories with high ratings and low discounts represent strong brand loyalty and pricing power. This juxtaposition guides strategic decisions around which categories to invest in and where to improve quality or customer experience.</w:t>
      </w:r>
    </w:p>
    <w:p>
      <w:pPr>
        <w:spacing w:after="0" w:before="200"/>
      </w:pPr>
      <w:r>
        <w:t xml:space="preserve"/>
      </w:r>
    </w:p>
    <w:p>
      <w:r>
        <w:br w:type="page"/>
      </w:r>
    </w:p>
    <w:p>
      <w:pPr>
        <w:pStyle w:val="Heading2"/>
        <w:spacing w:after="120" w:before="280"/>
      </w:pPr>
      <w:r>
        <w:rPr>
          <w:rFonts w:ascii="Arial" w:cs="Arial" w:eastAsia="Arial" w:hAnsi="Arial"/>
          <w:b/>
          <w:bCs/>
          <w:color w:val="16213E"/>
          <w:sz w:val="26"/>
          <w:szCs w:val="26"/>
        </w:rPr>
        <w:t xml:space="preserve">3.5 — Actual Price vs. Discount % (Scatter Plot with Regression 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Chart Type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Scatter Plot + Regression Overlay (sns.scatterplot + sns.regplot)</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X-Axis</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Actual Price (INR)</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Y-Axis</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Discount Percentage (%)</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Scatter Style</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Steelblue dots, alpha=0.6, white edge, size 60</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Regression Line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Crimson dashed line (linewidth=1.5)</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Output File</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price_vs_discount_scatter.png</w:t>
            </w:r>
          </w:p>
        </w:tc>
      </w:tr>
    </w:tbl>
    <w:p>
      <w:pPr>
        <w:spacing w:after="0" w:before="120"/>
      </w:pPr>
      <w:r>
        <w:t xml:space="preserve"/>
      </w:r>
    </w:p>
    <w:p>
      <w:pPr>
        <w:spacing w:after="80" w:before="200"/>
      </w:pPr>
      <w:r>
        <w:rPr>
          <w:rFonts w:ascii="Arial" w:cs="Arial" w:eastAsia="Arial" w:hAnsi="Arial"/>
          <w:b/>
          <w:bCs/>
          <w:color w:val="C45208"/>
          <w:sz w:val="22"/>
          <w:szCs w:val="22"/>
        </w:rPr>
        <w:t xml:space="preserve">Description</w:t>
      </w:r>
    </w:p>
    <w:p>
      <w:pPr>
        <w:spacing w:after="80" w:before="60"/>
      </w:pPr>
      <w:r>
        <w:rPr>
          <w:rFonts w:ascii="Arial" w:cs="Arial" w:eastAsia="Arial" w:hAnsi="Arial"/>
          <w:color w:val="2C2C2C"/>
          <w:sz w:val="22"/>
          <w:szCs w:val="22"/>
        </w:rPr>
        <w:t xml:space="preserve">This scatter plot explores the relationship between a product's original price (actual_price) and the discount percentage applied to it. Each dot represents one product. A regression trend line (plotted via sns.regplot with scatter=False) is overlaid in crimson to indicate the directional relationship between the two variables. The transparency (alpha=0.6) helps reveal data density in overlapping regions.</w:t>
      </w:r>
    </w:p>
    <w:p>
      <w:pPr>
        <w:spacing w:after="0" w:before="80"/>
      </w:pPr>
      <w:r>
        <w:t xml:space="preserve"/>
      </w:r>
    </w:p>
    <w:p>
      <w:pPr>
        <w:spacing w:after="80" w:before="200"/>
      </w:pPr>
      <w:r>
        <w:rPr>
          <w:rFonts w:ascii="Arial" w:cs="Arial" w:eastAsia="Arial" w:hAnsi="Arial"/>
          <w:b/>
          <w:bCs/>
          <w:color w:val="C45208"/>
          <w:sz w:val="22"/>
          <w:szCs w:val="22"/>
        </w:rPr>
        <w:t xml:space="preserve">Business Insight</w:t>
      </w:r>
    </w:p>
    <w:p>
      <w:pPr>
        <w:spacing w:after="80" w:before="60"/>
      </w:pPr>
      <w:r>
        <w:rPr>
          <w:rFonts w:ascii="Arial" w:cs="Arial" w:eastAsia="Arial" w:hAnsi="Arial"/>
          <w:color w:val="2C2C2C"/>
          <w:sz w:val="22"/>
          <w:szCs w:val="22"/>
        </w:rPr>
        <w:t xml:space="preserve">A positive slope on the regression line would suggest that higher-priced products tend to carry larger discounts — consistent with an 'anchor pricing' strategy common in premium electronics and appliances where large absolute discounts on high prices appear more attractive to consumers. A flat or negative slope would indicate that cheaper products are discounted more aggressively, as seen in competitive commodity categories. Outlier clusters visible in the scatter (e.g., very high price + low discount) may identify premium brands with strong pricing discipline. This insight is valuable for pricing strategists and marketplace analysts.</w:t>
      </w:r>
    </w:p>
    <w:p>
      <w:pPr>
        <w:spacing w:after="0" w:before="240"/>
      </w:pPr>
      <w:r>
        <w:t xml:space="preserve"/>
      </w:r>
    </w:p>
    <w:p>
      <w:pPr>
        <w:pStyle w:val="Heading2"/>
        <w:spacing w:after="120" w:before="280"/>
      </w:pPr>
      <w:r>
        <w:rPr>
          <w:rFonts w:ascii="Arial" w:cs="Arial" w:eastAsia="Arial" w:hAnsi="Arial"/>
          <w:b/>
          <w:bCs/>
          <w:color w:val="16213E"/>
          <w:sz w:val="26"/>
          <w:szCs w:val="26"/>
        </w:rPr>
        <w:t xml:space="preserve">3.6 — Products by Rating Count Bucket (Vertical Bar Chart)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Chart Type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Vertical Bar Chart (sns.barplot)</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X-Axis</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Rating Count Buckets: &lt;1K, 1K–5K, 5K–20K, 20K–50K, 50K+</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Y-Axis</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Number of Products</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Palette</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Greens_d (descending green gradient)</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Data Labels</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Exact product counts above each bar</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Bucket Logic</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pd.cut() with bins [0, 1K, 5K, 20K, 50K, ∞]</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Output File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rating_count_buckets.png</w:t>
            </w:r>
          </w:p>
        </w:tc>
      </w:tr>
    </w:tbl>
    <w:p>
      <w:pPr>
        <w:spacing w:after="0" w:before="120"/>
      </w:pPr>
      <w:r>
        <w:t xml:space="preserve"/>
      </w:r>
    </w:p>
    <w:p>
      <w:pPr>
        <w:spacing w:after="80" w:before="200"/>
      </w:pPr>
      <w:r>
        <w:rPr>
          <w:rFonts w:ascii="Arial" w:cs="Arial" w:eastAsia="Arial" w:hAnsi="Arial"/>
          <w:b/>
          <w:bCs/>
          <w:color w:val="C45208"/>
          <w:sz w:val="22"/>
          <w:szCs w:val="22"/>
        </w:rPr>
        <w:t xml:space="preserve">Description</w:t>
      </w:r>
    </w:p>
    <w:p>
      <w:pPr>
        <w:spacing w:after="80" w:before="60"/>
      </w:pPr>
      <w:r>
        <w:rPr>
          <w:rFonts w:ascii="Arial" w:cs="Arial" w:eastAsia="Arial" w:hAnsi="Arial"/>
          <w:color w:val="2C2C2C"/>
          <w:sz w:val="22"/>
          <w:szCs w:val="22"/>
        </w:rPr>
        <w:t xml:space="preserve">This bar chart segments all products into five buckets based on how many customer ratings they have received. The buckets — &lt;1K, 1K–5K, 5K–20K, 20K–50K, and 50K+ — capture the full spectrum from niche or new products to viral bestsellers. The rc_bucket derived column is computed using pd.cut() with predefined bin edges, then value counts are aligned to the ordered label list to maintain left-to-right ordering. Each bar is annotated with exact counts for precision.</w:t>
      </w:r>
    </w:p>
    <w:p>
      <w:pPr>
        <w:spacing w:after="0" w:before="80"/>
      </w:pPr>
      <w:r>
        <w:t xml:space="preserve"/>
      </w:r>
    </w:p>
    <w:p>
      <w:pPr>
        <w:spacing w:after="80" w:before="200"/>
      </w:pPr>
      <w:r>
        <w:rPr>
          <w:rFonts w:ascii="Arial" w:cs="Arial" w:eastAsia="Arial" w:hAnsi="Arial"/>
          <w:b/>
          <w:bCs/>
          <w:color w:val="C45208"/>
          <w:sz w:val="22"/>
          <w:szCs w:val="22"/>
        </w:rPr>
        <w:t xml:space="preserve">Business Insight</w:t>
      </w:r>
    </w:p>
    <w:p>
      <w:pPr>
        <w:spacing w:after="80" w:before="60"/>
      </w:pPr>
      <w:r>
        <w:rPr>
          <w:rFonts w:ascii="Arial" w:cs="Arial" w:eastAsia="Arial" w:hAnsi="Arial"/>
          <w:color w:val="2C2C2C"/>
          <w:sz w:val="22"/>
          <w:szCs w:val="22"/>
        </w:rPr>
        <w:t xml:space="preserve">This distribution reveals the 'long tail' of Amazon product popularity. Most products are expected to cluster in the lower buckets (&lt;1K and 1K–5K), which reflects the typical power-law distribution of online marketplace engagement. The small fraction of products with 50K+ ratings represent category leaders or viral products, and their characteristics (price, discount, category) serve as benchmarks for growth strategies. For sellers, understanding which bucket their products fall into contextualizes their review velocity and organic visibility on the platform.</w:t>
      </w:r>
    </w:p>
    <w:p>
      <w:pPr>
        <w:spacing w:after="0" w:before="200"/>
      </w:pPr>
      <w:r>
        <w:t xml:space="preserve"/>
      </w:r>
    </w:p>
    <w:p>
      <w:r>
        <w:br w:type="page"/>
      </w:r>
    </w:p>
    <w:p>
      <w:pPr>
        <w:pStyle w:val="Heading1"/>
        <w:pBdr>
          <w:bottom w:val="single" w:color="E8650A" w:sz="8" w:space="4"/>
        </w:pBdr>
        <w:spacing w:after="160" w:before="320"/>
      </w:pPr>
      <w:r>
        <w:rPr>
          <w:rFonts w:ascii="Arial" w:cs="Arial" w:eastAsia="Arial" w:hAnsi="Arial"/>
          <w:b/>
          <w:bCs/>
          <w:color w:val="1A1A2E"/>
          <w:sz w:val="32"/>
          <w:szCs w:val="32"/>
        </w:rPr>
        <w:t xml:space="preserve">4. Visualization Type Summary</w:t>
      </w:r>
    </w:p>
    <w:p>
      <w:pPr>
        <w:spacing w:after="80" w:before="60"/>
      </w:pPr>
      <w:r>
        <w:rPr>
          <w:rFonts w:ascii="Arial" w:cs="Arial" w:eastAsia="Arial" w:hAnsi="Arial"/>
          <w:color w:val="2C2C2C"/>
          <w:sz w:val="22"/>
          <w:szCs w:val="22"/>
        </w:rPr>
        <w:t xml:space="preserve">The following table summarizes all chart types used in the notebook, their count, and which analysis they serve.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Visualization Type</w:t>
            </w:r>
          </w:p>
        </w:tc>
        <w:tc>
          <w:tcPr>
            <w:tcW w:type="dxa" w:w="200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Count</w:t>
            </w:r>
          </w:p>
        </w:tc>
        <w:tc>
          <w:tcPr>
            <w:tcW w:type="dxa" w:w="476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Purpose</w:t>
            </w:r>
          </w:p>
        </w:tc>
      </w:tr>
      <w:tr>
        <w:tc>
          <w:tcPr>
            <w:tcW w:type="dxa" w:w="2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Histogram with KDE</w:t>
            </w:r>
          </w:p>
        </w:tc>
        <w:tc>
          <w:tcPr>
            <w:tcW w:type="dxa" w:w="20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2</w:t>
            </w:r>
          </w:p>
        </w:tc>
        <w:tc>
          <w:tcPr>
            <w:tcW w:type="dxa" w:w="4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Distribution analysis for Rating and Discount %</w:t>
            </w:r>
          </w:p>
        </w:tc>
      </w:tr>
      <w:tr>
        <w:tc>
          <w:tcPr>
            <w:tcW w:type="dxa" w:w="26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Horizontal Bar Chart</w:t>
            </w:r>
          </w:p>
        </w:tc>
        <w:tc>
          <w:tcPr>
            <w:tcW w:type="dxa" w:w="20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2</w:t>
            </w:r>
          </w:p>
        </w:tc>
        <w:tc>
          <w:tcPr>
            <w:tcW w:type="dxa" w:w="47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Category-level comparison (Avg Discount, Avg Rating)</w:t>
            </w:r>
          </w:p>
        </w:tc>
      </w:tr>
      <w:tr>
        <w:tc>
          <w:tcPr>
            <w:tcW w:type="dxa" w:w="26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Scatter Plot + Regression</w:t>
            </w:r>
          </w:p>
        </w:tc>
        <w:tc>
          <w:tcPr>
            <w:tcW w:type="dxa" w:w="20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w:t>
            </w:r>
          </w:p>
        </w:tc>
        <w:tc>
          <w:tcPr>
            <w:tcW w:type="dxa" w:w="47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Correlation analysis between Price and Discount %</w:t>
            </w:r>
          </w:p>
        </w:tc>
      </w:tr>
      <w:tr>
        <w:tc>
          <w:tcPr>
            <w:tcW w:type="dxa" w:w="26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Vertical Bar Chart</w:t>
            </w:r>
          </w:p>
        </w:tc>
        <w:tc>
          <w:tcPr>
            <w:tcW w:type="dxa" w:w="20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1</w:t>
            </w:r>
          </w:p>
        </w:tc>
        <w:tc>
          <w:tcPr>
            <w:tcW w:type="dxa" w:w="47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Product volume distribution across rating count buckets</w:t>
            </w:r>
          </w:p>
        </w:tc>
      </w:tr>
    </w:tbl>
    <w:p>
      <w:pPr>
        <w:spacing w:after="0" w:before="200"/>
      </w:pPr>
      <w:r>
        <w:t xml:space="preserve"/>
      </w:r>
    </w:p>
    <w:p>
      <w:r>
        <w:br w:type="page"/>
      </w:r>
    </w:p>
    <w:p>
      <w:pPr>
        <w:pStyle w:val="Heading1"/>
        <w:pBdr>
          <w:bottom w:val="single" w:color="E8650A" w:sz="8" w:space="4"/>
        </w:pBdr>
        <w:spacing w:after="160" w:before="320"/>
      </w:pPr>
      <w:r>
        <w:rPr>
          <w:rFonts w:ascii="Arial" w:cs="Arial" w:eastAsia="Arial" w:hAnsi="Arial"/>
          <w:b/>
          <w:bCs/>
          <w:color w:val="1A1A2E"/>
          <w:sz w:val="32"/>
          <w:szCs w:val="32"/>
        </w:rPr>
        <w:t xml:space="preserve">5. Key Business Insights Enabled by This Analysis</w:t>
      </w:r>
    </w:p>
    <w:p>
      <w:pPr>
        <w:pStyle w:val="Heading2"/>
        <w:spacing w:after="120" w:before="280"/>
      </w:pPr>
      <w:r>
        <w:rPr>
          <w:rFonts w:ascii="Arial" w:cs="Arial" w:eastAsia="Arial" w:hAnsi="Arial"/>
          <w:b/>
          <w:bCs/>
          <w:color w:val="16213E"/>
          <w:sz w:val="26"/>
          <w:szCs w:val="26"/>
        </w:rPr>
        <w:t xml:space="preserve">Product Pricing &amp; Discounting</w:t>
      </w:r>
    </w:p>
    <w:p>
      <w:pPr>
        <w:pStyle w:val="ListParagraph"/>
        <w:numPr>
          <w:ilvl w:val="0"/>
          <w:numId w:val="2"/>
        </w:numPr>
        <w:spacing w:after="40" w:before="40"/>
      </w:pPr>
      <w:r>
        <w:rPr>
          <w:rFonts w:ascii="Arial" w:cs="Arial" w:eastAsia="Arial" w:hAnsi="Arial"/>
          <w:color w:val="2C2C2C"/>
          <w:sz w:val="22"/>
          <w:szCs w:val="22"/>
        </w:rPr>
        <w:t xml:space="preserve">The Discount % Distribution chart reveals whether the platform uses moderate or aggressive discounting as a primary driver.</w:t>
      </w:r>
    </w:p>
    <w:p>
      <w:pPr>
        <w:pStyle w:val="ListParagraph"/>
        <w:numPr>
          <w:ilvl w:val="0"/>
          <w:numId w:val="2"/>
        </w:numPr>
        <w:spacing w:after="40" w:before="40"/>
      </w:pPr>
      <w:r>
        <w:rPr>
          <w:rFonts w:ascii="Arial" w:cs="Arial" w:eastAsia="Arial" w:hAnsi="Arial"/>
          <w:color w:val="2C2C2C"/>
          <w:sz w:val="22"/>
          <w:szCs w:val="22"/>
        </w:rPr>
        <w:t xml:space="preserve">The Scatter Plot between Actual Price and Discount % uncovers whether premium products are discounted disproportionately — a key indicator of anchor pricing strategy.</w:t>
      </w:r>
    </w:p>
    <w:p>
      <w:pPr>
        <w:pStyle w:val="ListParagraph"/>
        <w:numPr>
          <w:ilvl w:val="0"/>
          <w:numId w:val="2"/>
        </w:numPr>
        <w:spacing w:after="40" w:before="40"/>
      </w:pPr>
      <w:r>
        <w:rPr>
          <w:rFonts w:ascii="Arial" w:cs="Arial" w:eastAsia="Arial" w:hAnsi="Arial"/>
          <w:color w:val="2C2C2C"/>
          <w:sz w:val="22"/>
          <w:szCs w:val="22"/>
        </w:rPr>
        <w:t xml:space="preserve">The Avg Discount by Category chart allows category managers to identify which verticals are most promotional and where margin compression is greatest.</w:t>
      </w:r>
    </w:p>
    <w:p>
      <w:pPr>
        <w:spacing w:after="0" w:before="80"/>
      </w:pPr>
      <w:r>
        <w:t xml:space="preserve"/>
      </w:r>
    </w:p>
    <w:p>
      <w:pPr>
        <w:pStyle w:val="Heading2"/>
        <w:spacing w:after="120" w:before="280"/>
      </w:pPr>
      <w:r>
        <w:rPr>
          <w:rFonts w:ascii="Arial" w:cs="Arial" w:eastAsia="Arial" w:hAnsi="Arial"/>
          <w:b/>
          <w:bCs/>
          <w:color w:val="16213E"/>
          <w:sz w:val="26"/>
          <w:szCs w:val="26"/>
        </w:rPr>
        <w:t xml:space="preserve">Customer Satisfaction</w:t>
      </w:r>
    </w:p>
    <w:p>
      <w:pPr>
        <w:pStyle w:val="ListParagraph"/>
        <w:numPr>
          <w:ilvl w:val="0"/>
          <w:numId w:val="2"/>
        </w:numPr>
        <w:spacing w:after="40" w:before="40"/>
      </w:pPr>
      <w:r>
        <w:rPr>
          <w:rFonts w:ascii="Arial" w:cs="Arial" w:eastAsia="Arial" w:hAnsi="Arial"/>
          <w:color w:val="2C2C2C"/>
          <w:sz w:val="22"/>
          <w:szCs w:val="22"/>
        </w:rPr>
        <w:t xml:space="preserve">The Rating Distribution histogram provides a platform-wide quality benchmark — a skew toward 4.0–4.5 indicates generally satisfied customers.</w:t>
      </w:r>
    </w:p>
    <w:p>
      <w:pPr>
        <w:pStyle w:val="ListParagraph"/>
        <w:numPr>
          <w:ilvl w:val="0"/>
          <w:numId w:val="2"/>
        </w:numPr>
        <w:spacing w:after="40" w:before="40"/>
      </w:pPr>
      <w:r>
        <w:rPr>
          <w:rFonts w:ascii="Arial" w:cs="Arial" w:eastAsia="Arial" w:hAnsi="Arial"/>
          <w:color w:val="2C2C2C"/>
          <w:sz w:val="22"/>
          <w:szCs w:val="22"/>
        </w:rPr>
        <w:t xml:space="preserve">The Avg Rating by Category chart enables cross-category quality benchmarking, helping product teams identify which categories under-deliver on customer expectations.</w:t>
      </w:r>
    </w:p>
    <w:p>
      <w:pPr>
        <w:spacing w:after="0" w:before="80"/>
      </w:pPr>
      <w:r>
        <w:t xml:space="preserve"/>
      </w:r>
    </w:p>
    <w:p>
      <w:pPr>
        <w:pStyle w:val="Heading2"/>
        <w:spacing w:after="120" w:before="280"/>
      </w:pPr>
      <w:r>
        <w:rPr>
          <w:rFonts w:ascii="Arial" w:cs="Arial" w:eastAsia="Arial" w:hAnsi="Arial"/>
          <w:b/>
          <w:bCs/>
          <w:color w:val="16213E"/>
          <w:sz w:val="26"/>
          <w:szCs w:val="26"/>
        </w:rPr>
        <w:t xml:space="preserve">Product Engagement &amp; Popularity</w:t>
      </w:r>
    </w:p>
    <w:p>
      <w:pPr>
        <w:pStyle w:val="ListParagraph"/>
        <w:numPr>
          <w:ilvl w:val="0"/>
          <w:numId w:val="2"/>
        </w:numPr>
        <w:spacing w:after="40" w:before="40"/>
      </w:pPr>
      <w:r>
        <w:rPr>
          <w:rFonts w:ascii="Arial" w:cs="Arial" w:eastAsia="Arial" w:hAnsi="Arial"/>
          <w:color w:val="2C2C2C"/>
          <w:sz w:val="22"/>
          <w:szCs w:val="22"/>
        </w:rPr>
        <w:t xml:space="preserve">The Rating Count Bucket chart segments the product catalog by engagement level, separating niche listings from mainstream bestsellers.</w:t>
      </w:r>
    </w:p>
    <w:p>
      <w:pPr>
        <w:pStyle w:val="ListParagraph"/>
        <w:numPr>
          <w:ilvl w:val="0"/>
          <w:numId w:val="2"/>
        </w:numPr>
        <w:spacing w:after="40" w:before="40"/>
      </w:pPr>
      <w:r>
        <w:rPr>
          <w:rFonts w:ascii="Arial" w:cs="Arial" w:eastAsia="Arial" w:hAnsi="Arial"/>
          <w:color w:val="2C2C2C"/>
          <w:sz w:val="22"/>
          <w:szCs w:val="22"/>
        </w:rPr>
        <w:t xml:space="preserve">Products in the 50K+ bucket are natural candidates for case studies — understanding their pricing and discount patterns can guide growth strategies for lower-engagement products.</w:t>
      </w:r>
    </w:p>
    <w:p>
      <w:pPr>
        <w:spacing w:after="0" w:before="80"/>
      </w:pPr>
      <w:r>
        <w:t xml:space="preserve"/>
      </w:r>
    </w:p>
    <w:p>
      <w:pPr>
        <w:pStyle w:val="Heading2"/>
        <w:spacing w:after="120" w:before="280"/>
      </w:pPr>
      <w:r>
        <w:rPr>
          <w:rFonts w:ascii="Arial" w:cs="Arial" w:eastAsia="Arial" w:hAnsi="Arial"/>
          <w:b/>
          <w:bCs/>
          <w:color w:val="16213E"/>
          <w:sz w:val="26"/>
          <w:szCs w:val="26"/>
        </w:rPr>
        <w:t xml:space="preserve">Category Strategy</w:t>
      </w:r>
    </w:p>
    <w:p>
      <w:pPr>
        <w:pStyle w:val="ListParagraph"/>
        <w:numPr>
          <w:ilvl w:val="0"/>
          <w:numId w:val="2"/>
        </w:numPr>
        <w:spacing w:after="40" w:before="40"/>
      </w:pPr>
      <w:r>
        <w:rPr>
          <w:rFonts w:ascii="Arial" w:cs="Arial" w:eastAsia="Arial" w:hAnsi="Arial"/>
          <w:color w:val="2C2C2C"/>
          <w:sz w:val="22"/>
          <w:szCs w:val="22"/>
        </w:rPr>
        <w:t xml:space="preserve">Combining Avg Discount % and Avg Rating by Category charts side by side yields a quadrant analysis: high discount + low rating = commoditized; low discount + high rating = premium with pricing power.</w:t>
      </w:r>
    </w:p>
    <w:p>
      <w:pPr>
        <w:pStyle w:val="ListParagraph"/>
        <w:numPr>
          <w:ilvl w:val="0"/>
          <w:numId w:val="2"/>
        </w:numPr>
        <w:spacing w:after="40" w:before="40"/>
      </w:pPr>
      <w:r>
        <w:rPr>
          <w:rFonts w:ascii="Arial" w:cs="Arial" w:eastAsia="Arial" w:hAnsi="Arial"/>
          <w:color w:val="2C2C2C"/>
          <w:sz w:val="22"/>
          <w:szCs w:val="22"/>
        </w:rPr>
        <w:t xml:space="preserve">This framework directly informs category investment decisions, marketing budgets, and partnership strategies with suppliers.</w:t>
      </w:r>
    </w:p>
    <w:p>
      <w:pPr>
        <w:spacing w:after="0" w:before="200"/>
      </w:pPr>
      <w:r>
        <w:t xml:space="preserve"/>
      </w:r>
    </w:p>
    <w:p>
      <w:r>
        <w:br w:type="page"/>
      </w:r>
    </w:p>
    <w:p>
      <w:pPr>
        <w:pStyle w:val="Heading1"/>
        <w:pBdr>
          <w:bottom w:val="single" w:color="E8650A" w:sz="8" w:space="4"/>
        </w:pBdr>
        <w:spacing w:after="160" w:before="320"/>
      </w:pPr>
      <w:r>
        <w:rPr>
          <w:rFonts w:ascii="Arial" w:cs="Arial" w:eastAsia="Arial" w:hAnsi="Arial"/>
          <w:b/>
          <w:bCs/>
          <w:color w:val="1A1A2E"/>
          <w:sz w:val="32"/>
          <w:szCs w:val="32"/>
        </w:rPr>
        <w:t xml:space="preserve">6. Database Integration</w:t>
      </w:r>
    </w:p>
    <w:p>
      <w:pPr>
        <w:spacing w:after="80" w:before="60"/>
      </w:pPr>
      <w:r>
        <w:rPr>
          <w:rFonts w:ascii="Arial" w:cs="Arial" w:eastAsia="Arial" w:hAnsi="Arial"/>
          <w:color w:val="2C2C2C"/>
          <w:sz w:val="22"/>
          <w:szCs w:val="22"/>
        </w:rPr>
        <w:t xml:space="preserve">After completing data cleaning and transformation, the notebook exports the final DataFrame to a MySQL database using SQLAlchemy and PyMySQL. This integration bridges the gap between Python-based EDA and production BI tools such as Power BI or Tableau.</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FFFFFF" w:sz="1"/>
              <w:left w:val="single" w:color="FFFFFF" w:sz="1"/>
              <w:bottom w:val="single" w:color="FFFFFF" w:sz="1"/>
              <w:right w:val="single" w:color="FFFFFF" w:sz="1"/>
            </w:tcBorders>
            <w:shd w:fill="E865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Database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MySQL (localhost)</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Connection Library</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SQLAlchemy + PyMySQL</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Target Database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amazon_db</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Target Table</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sales</w:t>
            </w:r>
          </w:p>
        </w:tc>
      </w:tr>
      <w:tr>
        <w:tc>
          <w:tcPr>
            <w:tcW w:type="dxa" w:w="280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Write Mode</w:t>
            </w:r>
          </w:p>
        </w:tc>
        <w:tc>
          <w:tcPr>
            <w:tcW w:type="dxa" w:w="6560"/>
            <w:tcBorders>
              <w:top w:val="single" w:color="D5D5D5" w:sz="1"/>
              <w:left w:val="single" w:color="D5D5D5" w:sz="1"/>
              <w:bottom w:val="single" w:color="D5D5D5" w:sz="1"/>
              <w:right w:val="single" w:color="D5D5D5"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replace (drops and recreates table on each run)</w:t>
            </w:r>
          </w:p>
        </w:tc>
      </w:tr>
      <w:tr>
        <w:tc>
          <w:tcPr>
            <w:tcW w:type="dxa" w:w="280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bCs/>
                <w:color w:val="2C2C2C"/>
                <w:sz w:val="20"/>
                <w:szCs w:val="20"/>
              </w:rPr>
              <w:t xml:space="preserve">Index Exported</w:t>
            </w:r>
          </w:p>
        </w:tc>
        <w:tc>
          <w:tcPr>
            <w:tcW w:type="dxa" w:w="6560"/>
            <w:tcBorders>
              <w:top w:val="single" w:color="D5D5D5" w:sz="1"/>
              <w:left w:val="single" w:color="D5D5D5" w:sz="1"/>
              <w:bottom w:val="single" w:color="D5D5D5" w:sz="1"/>
              <w:right w:val="single" w:color="D5D5D5" w:sz="1"/>
            </w:tcBorders>
            <w:shd w:fill="FFF3E8"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No (index=False)</w:t>
            </w:r>
          </w:p>
        </w:tc>
      </w:tr>
    </w:tbl>
    <w:p>
      <w:pPr>
        <w:spacing w:after="0" w:before="120"/>
      </w:pPr>
      <w:r>
        <w:t xml:space="preserve"/>
      </w:r>
    </w:p>
    <w:p>
      <w:pPr>
        <w:spacing w:after="80" w:before="60"/>
      </w:pPr>
      <w:r>
        <w:rPr>
          <w:rFonts w:ascii="Arial" w:cs="Arial" w:eastAsia="Arial" w:hAnsi="Arial"/>
          <w:color w:val="2C2C2C"/>
          <w:sz w:val="22"/>
          <w:szCs w:val="22"/>
        </w:rPr>
        <w:t xml:space="preserve">The engine connection string follows the pattern mysql+pymysql://{user}:{password}@{host}:{port}/{database}. Connection success is validated before writing, and any failure raises a descriptive exception. This design enables the cleaned dataset to serve as a live data source for downstream dashboards, enabling real-time visual refresh whenever the notebook is re-run with updated data.</w:t>
      </w:r>
    </w:p>
    <w:p>
      <w:pPr>
        <w:spacing w:after="0" w:before="200"/>
      </w:pPr>
      <w:r>
        <w:t xml:space="preserve"/>
      </w:r>
    </w:p>
    <w:p>
      <w:r>
        <w:br w:type="page"/>
      </w:r>
    </w:p>
    <w:p>
      <w:pPr>
        <w:pStyle w:val="Heading1"/>
        <w:pBdr>
          <w:bottom w:val="single" w:color="E8650A" w:sz="8" w:space="4"/>
        </w:pBdr>
        <w:spacing w:after="160" w:before="320"/>
      </w:pPr>
      <w:r>
        <w:rPr>
          <w:rFonts w:ascii="Arial" w:cs="Arial" w:eastAsia="Arial" w:hAnsi="Arial"/>
          <w:b/>
          <w:bCs/>
          <w:color w:val="1A1A2E"/>
          <w:sz w:val="32"/>
          <w:szCs w:val="32"/>
        </w:rPr>
        <w:t xml:space="preserve">7. Recommendations for Enhancement</w:t>
      </w:r>
    </w:p>
    <w:p>
      <w:pPr>
        <w:pStyle w:val="Heading2"/>
        <w:spacing w:after="120" w:before="280"/>
      </w:pPr>
      <w:r>
        <w:rPr>
          <w:rFonts w:ascii="Arial" w:cs="Arial" w:eastAsia="Arial" w:hAnsi="Arial"/>
          <w:b/>
          <w:bCs/>
          <w:color w:val="16213E"/>
          <w:sz w:val="26"/>
          <w:szCs w:val="26"/>
        </w:rPr>
        <w:t xml:space="preserve">Add a Price Segmentation Chart</w:t>
      </w:r>
    </w:p>
    <w:p>
      <w:pPr>
        <w:spacing w:after="80" w:before="60"/>
      </w:pPr>
      <w:r>
        <w:rPr>
          <w:rFonts w:ascii="Arial" w:cs="Arial" w:eastAsia="Arial" w:hAnsi="Arial"/>
          <w:color w:val="2C2C2C"/>
          <w:sz w:val="22"/>
          <w:szCs w:val="22"/>
        </w:rPr>
        <w:t xml:space="preserve">Segment products into price tiers (Budget &lt;500, Mid 500–5K, Premium &gt;5K) and plot average rating and discount per tier. This would extend the Price vs Discount scatter analysis into a more actionable categorical breakdown.</w:t>
      </w:r>
    </w:p>
    <w:p>
      <w:pPr>
        <w:spacing w:after="0" w:before="100"/>
      </w:pPr>
      <w:r>
        <w:t xml:space="preserve"/>
      </w:r>
    </w:p>
    <w:p>
      <w:pPr>
        <w:pStyle w:val="Heading2"/>
        <w:spacing w:after="120" w:before="280"/>
      </w:pPr>
      <w:r>
        <w:rPr>
          <w:rFonts w:ascii="Arial" w:cs="Arial" w:eastAsia="Arial" w:hAnsi="Arial"/>
          <w:b/>
          <w:bCs/>
          <w:color w:val="16213E"/>
          <w:sz w:val="26"/>
          <w:szCs w:val="26"/>
        </w:rPr>
        <w:t xml:space="preserve">Include a Category Contribution Treemap</w:t>
      </w:r>
    </w:p>
    <w:p>
      <w:pPr>
        <w:spacing w:after="80" w:before="60"/>
      </w:pPr>
      <w:r>
        <w:rPr>
          <w:rFonts w:ascii="Arial" w:cs="Arial" w:eastAsia="Arial" w:hAnsi="Arial"/>
          <w:color w:val="2C2C2C"/>
          <w:sz w:val="22"/>
          <w:szCs w:val="22"/>
        </w:rPr>
        <w:t xml:space="preserve">A treemap showing the proportion of total products by main_category would complement the bar charts and visually communicate the portfolio breadth at a glance — mirroring the Power BI dashboard's Treemap visual.</w:t>
      </w:r>
    </w:p>
    <w:p>
      <w:pPr>
        <w:spacing w:after="0" w:before="100"/>
      </w:pPr>
      <w:r>
        <w:t xml:space="preserve"/>
      </w:r>
    </w:p>
    <w:p>
      <w:pPr>
        <w:pStyle w:val="Heading2"/>
        <w:spacing w:after="120" w:before="280"/>
      </w:pPr>
      <w:r>
        <w:rPr>
          <w:rFonts w:ascii="Arial" w:cs="Arial" w:eastAsia="Arial" w:hAnsi="Arial"/>
          <w:b/>
          <w:bCs/>
          <w:color w:val="16213E"/>
          <w:sz w:val="26"/>
          <w:szCs w:val="26"/>
        </w:rPr>
        <w:t xml:space="preserve">Add Time-Based Analysis (if timestamp data is available)</w:t>
      </w:r>
    </w:p>
    <w:p>
      <w:pPr>
        <w:spacing w:after="80" w:before="60"/>
      </w:pPr>
      <w:r>
        <w:rPr>
          <w:rFonts w:ascii="Arial" w:cs="Arial" w:eastAsia="Arial" w:hAnsi="Arial"/>
          <w:color w:val="2C2C2C"/>
          <w:sz w:val="22"/>
          <w:szCs w:val="22"/>
        </w:rPr>
        <w:t xml:space="preserve">If the dataset includes listing or review timestamps, a time-series line chart of monthly rating counts or new product additions would reveal platform growth trends.</w:t>
      </w:r>
    </w:p>
    <w:p>
      <w:pPr>
        <w:spacing w:after="0" w:before="100"/>
      </w:pPr>
      <w:r>
        <w:t xml:space="preserve"/>
      </w:r>
    </w:p>
    <w:p>
      <w:pPr>
        <w:pStyle w:val="Heading2"/>
        <w:spacing w:after="120" w:before="280"/>
      </w:pPr>
      <w:r>
        <w:rPr>
          <w:rFonts w:ascii="Arial" w:cs="Arial" w:eastAsia="Arial" w:hAnsi="Arial"/>
          <w:b/>
          <w:bCs/>
          <w:color w:val="16213E"/>
          <w:sz w:val="26"/>
          <w:szCs w:val="26"/>
        </w:rPr>
        <w:t xml:space="preserve">Correlation Heatmap</w:t>
      </w:r>
    </w:p>
    <w:p>
      <w:pPr>
        <w:spacing w:after="80" w:before="60"/>
      </w:pPr>
      <w:r>
        <w:rPr>
          <w:rFonts w:ascii="Arial" w:cs="Arial" w:eastAsia="Arial" w:hAnsi="Arial"/>
          <w:color w:val="2C2C2C"/>
          <w:sz w:val="22"/>
          <w:szCs w:val="22"/>
        </w:rPr>
        <w:t xml:space="preserve">A Seaborn heatmap showing correlations between actual_price, discounted_price, discount_percentage, rating, and rating_count would surface statistically significant relationships beyond what the scatter plot captures.</w:t>
      </w:r>
    </w:p>
    <w:p>
      <w:pPr>
        <w:spacing w:after="0" w:before="100"/>
      </w:pPr>
      <w:r>
        <w:t xml:space="preserve"/>
      </w:r>
    </w:p>
    <w:p>
      <w:pPr>
        <w:pStyle w:val="Heading2"/>
        <w:spacing w:after="120" w:before="280"/>
      </w:pPr>
      <w:r>
        <w:rPr>
          <w:rFonts w:ascii="Arial" w:cs="Arial" w:eastAsia="Arial" w:hAnsi="Arial"/>
          <w:b/>
          <w:bCs/>
          <w:color w:val="16213E"/>
          <w:sz w:val="26"/>
          <w:szCs w:val="26"/>
        </w:rPr>
        <w:t xml:space="preserve">Parameterize the Database Credentials</w:t>
      </w:r>
    </w:p>
    <w:p>
      <w:pPr>
        <w:spacing w:after="80" w:before="60"/>
      </w:pPr>
      <w:r>
        <w:rPr>
          <w:rFonts w:ascii="Arial" w:cs="Arial" w:eastAsia="Arial" w:hAnsi="Arial"/>
          <w:color w:val="2C2C2C"/>
          <w:sz w:val="22"/>
          <w:szCs w:val="22"/>
        </w:rPr>
        <w:t xml:space="preserve">The current notebook hardcodes the MySQL password. Replacing it with environment variables (os.environ.get) or a .env file would improve security and make the notebook portable across environments.</w:t>
      </w:r>
    </w:p>
    <w:p>
      <w:pPr>
        <w:spacing w:after="0" w:before="100"/>
      </w:pPr>
      <w:r>
        <w:t xml:space="preserve"/>
      </w:r>
    </w:p>
    <w:p>
      <w:pPr>
        <w:pStyle w:val="Heading2"/>
        <w:spacing w:after="120" w:before="280"/>
      </w:pPr>
      <w:r>
        <w:rPr>
          <w:rFonts w:ascii="Arial" w:cs="Arial" w:eastAsia="Arial" w:hAnsi="Arial"/>
          <w:b/>
          <w:bCs/>
          <w:color w:val="16213E"/>
          <w:sz w:val="26"/>
          <w:szCs w:val="26"/>
        </w:rPr>
        <w:t xml:space="preserve">Export Charts to a Single Multi-Page PDF</w:t>
      </w:r>
    </w:p>
    <w:p>
      <w:pPr>
        <w:spacing w:after="80" w:before="60"/>
      </w:pPr>
      <w:r>
        <w:rPr>
          <w:rFonts w:ascii="Arial" w:cs="Arial" w:eastAsia="Arial" w:hAnsi="Arial"/>
          <w:color w:val="2C2C2C"/>
          <w:sz w:val="22"/>
          <w:szCs w:val="22"/>
        </w:rPr>
        <w:t xml:space="preserve">Rather than saving individual .png files, using matplotlib's PdfPages backend to consolidate all visualizations into a single shareable PDF would improve report distribution.</w:t>
      </w:r>
    </w:p>
    <w:p>
      <w:pPr>
        <w:spacing w:after="0" w:before="400"/>
      </w:pPr>
      <w:r>
        <w:t xml:space="preserve"/>
      </w:r>
    </w:p>
    <w:p>
      <w:pPr>
        <w:pBdr>
          <w:top w:val="single" w:color="E8650A" w:sz="6" w:space="6"/>
        </w:pBdr>
        <w:spacing w:after="80" w:before="200"/>
        <w:jc w:val="center"/>
      </w:pPr>
      <w:r>
        <w:rPr>
          <w:rFonts w:ascii="Arial" w:cs="Arial" w:eastAsia="Arial" w:hAnsi="Arial"/>
          <w:b/>
          <w:bCs/>
          <w:color w:val="1A1A2E"/>
          <w:sz w:val="22"/>
          <w:szCs w:val="22"/>
        </w:rPr>
        <w:t xml:space="preserve">End of Report</w:t>
      </w:r>
    </w:p>
    <w:p>
      <w:pPr>
        <w:spacing w:after="40" w:before="40"/>
        <w:jc w:val="center"/>
      </w:pPr>
      <w:r>
        <w:rPr>
          <w:rFonts w:ascii="Arial" w:cs="Arial" w:eastAsia="Arial" w:hAnsi="Arial"/>
          <w:color w:val="888888"/>
          <w:sz w:val="20"/>
          <w:szCs w:val="20"/>
        </w:rPr>
        <w:t xml:space="preserve">Prepared by Asmitha Chapa  |  LinkedIn: linkedin.com/in/asmitha-chapa-b5a86b377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5D5" w:sz="4" w:space="4"/>
      </w:pBdr>
      <w:jc w:val="center"/>
    </w:pPr>
    <w:r>
      <w:rPr>
        <w:rFonts w:ascii="Arial" w:cs="Arial" w:eastAsia="Arial" w:hAnsi="Arial"/>
        <w:color w:val="888888"/>
        <w:sz w:val="18"/>
        <w:szCs w:val="18"/>
      </w:rPr>
      <w:t xml:space="preserve">Page </w:t>
    </w:r>
    <w:r>
      <w:rPr>
        <w:rFonts w:ascii="Arial" w:cs="Arial" w:eastAsia="Arial" w:hAnsi="Arial"/>
        <w:color w:val="E8650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50A" w:sz="4" w:space="4"/>
      </w:pBdr>
      <w:tabs>
        <w:tab w:val="right" w:pos="9026"/>
      </w:tabs>
    </w:pPr>
    <w:r>
      <w:rPr>
        <w:rFonts w:ascii="Arial" w:cs="Arial" w:eastAsia="Arial" w:hAnsi="Arial"/>
        <w:color w:val="888888"/>
        <w:sz w:val="18"/>
        <w:szCs w:val="18"/>
      </w:rPr>
      <w:t xml:space="preserve">Amazon Sales — Data Analysis Report</w:t>
    </w:r>
    <w:r/>
    <w:r>
      <w:rPr>
        <w:rFonts w:ascii="Arial" w:cs="Arial" w:eastAsia="Arial" w:hAnsi="Arial"/>
        <w:color w:val="888888"/>
        <w:sz w:val="18"/>
        <w:szCs w:val="18"/>
      </w:rPr>
      <w:t xml:space="preserve">Asmitha Chapa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2026-04-17T13:56:10.428Z</dcterms:created>
  <dcterms:modified xsi:type="dcterms:W3CDTF">2026-04-17T13:56:10.429Z</dcterms:modified>
</cp:coreProperties>
</file>

<file path=docProps/custom.xml><?xml version="1.0" encoding="utf-8"?>
<Properties xmlns="http://schemas.openxmlformats.org/officeDocument/2006/custom-properties" xmlns:vt="http://schemas.openxmlformats.org/officeDocument/2006/docPropsVTypes"/>
</file>