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33.png" ContentType="image/png"/>
  <Override PartName="/word/media/rId47.png" ContentType="image/png"/>
  <Override PartName="/word/media/rId44.png" ContentType="image/png"/>
  <Override PartName="/word/media/rId24.png" ContentType="image/png"/>
  <Override PartName="/word/media/rId30.png" ContentType="image/png"/>
  <Override PartName="/word/media/rId3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w:t>
      </w:r>
      <w:r>
        <w:t xml:space="preserve"> </w:t>
      </w:r>
      <w:r>
        <w:t xml:space="preserve">(1)</w:t>
      </w:r>
      <w:r>
        <w:t xml:space="preserve">, marking an increase of five million cases compared to the previous year. Uganda alone reported over 597,000 malaria cases during this period, reflecting the country’s substantial malaria burden</w:t>
      </w:r>
      <w:r>
        <w:t xml:space="preserve"> </w:t>
      </w:r>
      <w:r>
        <w:t xml:space="preserve">(2)</w:t>
      </w:r>
      <w:r>
        <w:t xml:space="preserve">.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w:t>
      </w:r>
      <w:r>
        <w:t xml:space="preserve"> </w:t>
      </w:r>
      <w:r>
        <w:t xml:space="preserve">(3)</w:t>
      </w:r>
      <w:r>
        <w:t xml:space="preserve">.</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The two most commonly used IPTp regimens are sulfadoxine-pyrimethamine (SP) and dihydroartemisinin-piperaquine (DP). Although these interventions have proven effective at reducing malaria-related complications, their real-world impact can vary by setting. Moreover, coverage remains unacceptably low: as of 2017, only 22% of pregnant women in sub-Saharan Africa received the full IPTp-SP course, highlighting persistent gaps in access and uptake</w:t>
      </w:r>
      <w:r>
        <w:t xml:space="preserve"> </w:t>
      </w:r>
      <w:r>
        <w:t xml:space="preserve">(4)</w:t>
      </w:r>
      <w:r>
        <w:t xml:space="preserve">.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7" w:name="statistical-analysis"/>
    <w:p>
      <w:pPr>
        <w:pStyle w:val="Heading1"/>
      </w:pPr>
      <w:r>
        <w:t xml:space="preserve">4. Statistical analysis</w:t>
      </w:r>
    </w:p>
    <w:bookmarkStart w:id="36"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917781" cy="3050561"/>
            <wp:effectExtent b="0" l="0" r="0" t="0"/>
            <wp:docPr descr="" title="" id="28" name="Picture"/>
            <a:graphic>
              <a:graphicData uri="http://schemas.openxmlformats.org/drawingml/2006/picture">
                <pic:pic>
                  <pic:nvPicPr>
                    <pic:cNvPr descr="Images/Figure1.DistribTotalMalaria.png" id="29" name="Picture"/>
                    <pic:cNvPicPr>
                      <a:picLocks noChangeArrowheads="1" noChangeAspect="1"/>
                    </pic:cNvPicPr>
                  </pic:nvPicPr>
                  <pic:blipFill>
                    <a:blip r:embed="rId27"/>
                    <a:stretch>
                      <a:fillRect/>
                    </a:stretch>
                  </pic:blipFill>
                  <pic:spPr bwMode="auto">
                    <a:xfrm>
                      <a:off x="0" y="0"/>
                      <a:ext cx="4917781" cy="305056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p>
      <w:pPr>
        <w:pStyle w:val="BodyText"/>
      </w:pPr>
      <w:r>
        <w:drawing>
          <wp:inline>
            <wp:extent cx="5334000" cy="1783058"/>
            <wp:effectExtent b="0" l="0" r="0" t="0"/>
            <wp:docPr descr="" title="" id="31" name="Picture"/>
            <a:graphic>
              <a:graphicData uri="http://schemas.openxmlformats.org/drawingml/2006/picture">
                <pic:pic>
                  <pic:nvPicPr>
                    <pic:cNvPr descr="Images/Table2.OutcomeMeasuresandMalariaExposure.png" id="32" name="Picture"/>
                    <pic:cNvPicPr>
                      <a:picLocks noChangeArrowheads="1" noChangeAspect="1"/>
                    </pic:cNvPicPr>
                  </pic:nvPicPr>
                  <pic:blipFill>
                    <a:blip r:embed="rId30"/>
                    <a:stretch>
                      <a:fillRect/>
                    </a:stretch>
                  </pic:blipFill>
                  <pic:spPr bwMode="auto">
                    <a:xfrm>
                      <a:off x="0" y="0"/>
                      <a:ext cx="5334000" cy="178305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963885" cy="3081297"/>
            <wp:effectExtent b="0" l="0" r="0" t="0"/>
            <wp:docPr descr="" title="" id="34" name="Picture"/>
            <a:graphic>
              <a:graphicData uri="http://schemas.openxmlformats.org/drawingml/2006/picture">
                <pic:pic>
                  <pic:nvPicPr>
                    <pic:cNvPr descr="Images/Figure2.DifferentialImpactofIPTp.png" id="35" name="Picture"/>
                    <pic:cNvPicPr>
                      <a:picLocks noChangeArrowheads="1" noChangeAspect="1"/>
                    </pic:cNvPicPr>
                  </pic:nvPicPr>
                  <pic:blipFill>
                    <a:blip r:embed="rId33"/>
                    <a:stretch>
                      <a:fillRect/>
                    </a:stretch>
                  </pic:blipFill>
                  <pic:spPr bwMode="auto">
                    <a:xfrm>
                      <a:off x="0" y="0"/>
                      <a:ext cx="4963885"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6"/>
    <w:bookmarkEnd w:id="37"/>
    <w:bookmarkStart w:id="56" w:name="results"/>
    <w:p>
      <w:pPr>
        <w:pStyle w:val="Heading1"/>
      </w:pPr>
      <w:r>
        <w:t xml:space="preserve">5. Results</w:t>
      </w:r>
    </w:p>
    <w:bookmarkStart w:id="55"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p>
      <w:pPr>
        <w:pStyle w:val="BodyText"/>
      </w:pPr>
      <w:r>
        <w:drawing>
          <wp:inline>
            <wp:extent cx="5334000" cy="2178921"/>
            <wp:effectExtent b="0" l="0" r="0" t="0"/>
            <wp:docPr descr="" title="" id="39" name="Picture"/>
            <a:graphic>
              <a:graphicData uri="http://schemas.openxmlformats.org/drawingml/2006/picture">
                <pic:pic>
                  <pic:nvPicPr>
                    <pic:cNvPr descr="Images/Table3Interaction.png" id="40" name="Picture"/>
                    <pic:cNvPicPr>
                      <a:picLocks noChangeArrowheads="1" noChangeAspect="1"/>
                    </pic:cNvPicPr>
                  </pic:nvPicPr>
                  <pic:blipFill>
                    <a:blip r:embed="rId38"/>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Adding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4: Adjusted Odds Ratios for Adverse Birth Outcomes Among Young Pregnant Women (&lt;25 Years)</w:t>
      </w:r>
    </w:p>
    <w:p>
      <w:pPr>
        <w:pStyle w:val="BodyText"/>
      </w:pPr>
      <w:r>
        <w:drawing>
          <wp:inline>
            <wp:extent cx="5334000" cy="1511948"/>
            <wp:effectExtent b="0" l="0" r="0" t="0"/>
            <wp:docPr descr="" title="" id="42" name="Picture"/>
            <a:graphic>
              <a:graphicData uri="http://schemas.openxmlformats.org/drawingml/2006/picture">
                <pic:pic>
                  <pic:nvPicPr>
                    <pic:cNvPr descr="Images/AdjustedRatio.png" id="43" name="Picture"/>
                    <pic:cNvPicPr>
                      <a:picLocks noChangeArrowheads="1" noChangeAspect="1"/>
                    </pic:cNvPicPr>
                  </pic:nvPicPr>
                  <pic:blipFill>
                    <a:blip r:embed="rId41"/>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t xml:space="preserve"> </w:t>
      </w:r>
      <w:r>
        <w:t xml:space="preserve"> </w:t>
      </w:r>
      <w:r>
        <w:t xml:space="preserve"> </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5" name="Picture"/>
            <a:graphic>
              <a:graphicData uri="http://schemas.openxmlformats.org/drawingml/2006/picture">
                <pic:pic>
                  <pic:nvPicPr>
                    <pic:cNvPr descr="Images/Figure5Calibration.png" id="46" name="Picture"/>
                    <pic:cNvPicPr>
                      <a:picLocks noChangeArrowheads="1" noChangeAspect="1"/>
                    </pic:cNvPicPr>
                  </pic:nvPicPr>
                  <pic:blipFill>
                    <a:blip r:embed="rId44"/>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8" name="Picture"/>
            <a:graphic>
              <a:graphicData uri="http://schemas.openxmlformats.org/drawingml/2006/picture">
                <pic:pic>
                  <pic:nvPicPr>
                    <pic:cNvPr descr="Images/Figure3.PredictedProbability.png" id="49" name="Picture"/>
                    <pic:cNvPicPr>
                      <a:picLocks noChangeArrowheads="1" noChangeAspect="1"/>
                    </pic:cNvPicPr>
                  </pic:nvPicPr>
                  <pic:blipFill>
                    <a:blip r:embed="rId47"/>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5: Discriminative Performance (AUC) of Machine Learning Models Predicting Adverse Birth Outcomes Under Different IPTp Regimens</w:t>
      </w:r>
    </w:p>
    <w:p>
      <w:pPr>
        <w:pStyle w:val="BodyText"/>
      </w:pPr>
      <w:r>
        <w:drawing>
          <wp:inline>
            <wp:extent cx="5334000" cy="1052383"/>
            <wp:effectExtent b="0" l="0" r="0" t="0"/>
            <wp:docPr descr="" title="" id="51" name="Picture"/>
            <a:graphic>
              <a:graphicData uri="http://schemas.openxmlformats.org/drawingml/2006/picture">
                <pic:pic>
                  <pic:nvPicPr>
                    <pic:cNvPr descr="Images/Table6.DiscriminativePerformance(AUC)ofMLModels.png" id="52" name="Picture"/>
                    <pic:cNvPicPr>
                      <a:picLocks noChangeArrowheads="1" noChangeAspect="1"/>
                    </pic:cNvPicPr>
                  </pic:nvPicPr>
                  <pic:blipFill>
                    <a:blip r:embed="rId50"/>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533498" cy="4552749"/>
            <wp:effectExtent b="0" l="0" r="0" t="0"/>
            <wp:docPr descr="" title="" id="53" name="Picture"/>
            <a:graphic>
              <a:graphicData uri="http://schemas.openxmlformats.org/drawingml/2006/picture">
                <pic:pic>
                  <pic:nvPicPr>
                    <pic:cNvPr descr="Images/Figure5Calibration.png" id="54" name="Picture"/>
                    <pic:cNvPicPr>
                      <a:picLocks noChangeArrowheads="1" noChangeAspect="1"/>
                    </pic:cNvPicPr>
                  </pic:nvPicPr>
                  <pic:blipFill>
                    <a:blip r:embed="rId44"/>
                    <a:stretch>
                      <a:fillRect/>
                    </a:stretch>
                  </pic:blipFill>
                  <pic:spPr bwMode="auto">
                    <a:xfrm>
                      <a:off x="0" y="0"/>
                      <a:ext cx="4533498" cy="4552749"/>
                    </a:xfrm>
                    <a:prstGeom prst="rect">
                      <a:avLst/>
                    </a:prstGeom>
                    <a:noFill/>
                    <a:ln w="9525">
                      <a:noFill/>
                      <a:headEnd/>
                      <a:tailEnd/>
                    </a:ln>
                  </pic:spPr>
                </pic:pic>
              </a:graphicData>
            </a:graphic>
          </wp:inline>
        </w:drawing>
      </w:r>
    </w:p>
    <w:p>
      <w:r>
        <w:br w:type="page"/>
      </w:r>
    </w:p>
    <w:bookmarkEnd w:id="55"/>
    <w:bookmarkEnd w:id="56"/>
    <w:bookmarkStart w:id="60" w:name="discussion"/>
    <w:p>
      <w:pPr>
        <w:pStyle w:val="Heading1"/>
      </w:pPr>
      <w:r>
        <w:t xml:space="preserve">6. Discussion</w:t>
      </w:r>
    </w:p>
    <w:p>
      <w:pPr>
        <w:pStyle w:val="FirstParagraph"/>
      </w:pPr>
      <w:r>
        <w:t xml:space="preserve">Our analysis from a randomized controlled trial in Uganda demonstrates three principal findings. First, although total malaria episodes and IPTp regimen alone did not predict adverse birth outcomes, their interaction was highly significant: each additional malaria episode under sulfadoxine-pyrimethamine (SP) conferred 47% higher odds of a composite adverse outcome compared with dihydroartemisinin-piperaquine (DP) (OR 1.47 per episode, 95% CI 1.16–1.88; p = 0.002). This mirrors findings from a recent East African trial, in which monthly IPTp-DP significantly reduced placental malaria relative to IPTp-SP yet failed to translate into overall improvements in birth outcomes when studied in isolation, highlighting that breakthrough infections under SP carry an escalating risk not captured by main-effects analyses alone</w:t>
      </w:r>
      <w:r>
        <w:t xml:space="preserve"> </w:t>
      </w:r>
      <w:r>
        <w:t xml:space="preserve">(5)</w:t>
      </w:r>
      <w:r>
        <w:t xml:space="preserve">. Moreover, the increasing prevalence of pfdhfr–pfdhps</w:t>
      </w:r>
      <w:r>
        <w:t xml:space="preserve"> </w:t>
      </w:r>
      <w:r>
        <w:t xml:space="preserve">“quintuple”</w:t>
      </w:r>
      <w:r>
        <w:t xml:space="preserve"> </w:t>
      </w:r>
      <w:r>
        <w:t xml:space="preserve">and emerging</w:t>
      </w:r>
      <w:r>
        <w:t xml:space="preserve"> </w:t>
      </w:r>
      <w:r>
        <w:t xml:space="preserve">“sextuple”</w:t>
      </w:r>
      <w:r>
        <w:t xml:space="preserve"> </w:t>
      </w:r>
      <w:r>
        <w:t xml:space="preserve">mutations have been linked to diminished SP efficacy, explaining why each successive SP failure amplifies adverse-risk (Desai et al., 2016).</w:t>
      </w:r>
    </w:p>
    <w:p>
      <w:pPr>
        <w:pStyle w:val="BodyText"/>
      </w:pPr>
      <w:r>
        <w:t xml:space="preserve">Second, in women under 25 years, gravidity emerged as the sole significant predictor: each additional pregnancy reduced the odds of an adverse outcome by 14% (OR 0.86, 95% CI 0.76–0.98; p = 0.02). This protective effect aligns with systematic evidence that multiparous women acquire parity-dependent immunity, mediated by anti-VAR2CSA antibodies and robust Th1 responses</w:t>
      </w:r>
      <w:r>
        <w:t xml:space="preserve"> </w:t>
      </w:r>
      <w:r>
        <w:t xml:space="preserve">(6)</w:t>
      </w:r>
      <w:r>
        <w:t xml:space="preserve">, which lowers placental parasite densities and improves birth outcomes compared with primigravidae</w:t>
      </w:r>
      <w:r>
        <w:t xml:space="preserve">(7)</w:t>
      </w:r>
      <w:r>
        <w:t xml:space="preserve">. Kirosingh and colleagues further elucidated the cellular basis for this phenomenon, showing that primigravidae harbor higher frequencies of malaria-specific IL-10⁺IFNγ⁺ Type 1 regulatory (Tr1) CD4⁺ T cells—cells whose abundance correlates with increased parasitemia and placental malaria</w:t>
      </w:r>
      <w:r>
        <w:t xml:space="preserve"> </w:t>
      </w:r>
      <w:r>
        <w:t xml:space="preserve">(8)</w:t>
      </w:r>
      <w:r>
        <w:t xml:space="preserve">. In contrast, multigravidae exhibit elevated TNFα⁺CD4⁺ T cell responses linked to protection</w:t>
      </w:r>
      <w:r>
        <w:t xml:space="preserve"> </w:t>
      </w:r>
      <w:r>
        <w:t xml:space="preserve">(9)</w:t>
      </w:r>
      <w:r>
        <w:t xml:space="preserve">.</w:t>
      </w:r>
    </w:p>
    <w:p>
      <w:pPr>
        <w:pStyle w:val="BodyText"/>
      </w:pPr>
      <w:r>
        <w:t xml:space="preserve">Finally, our machine-learning pipeline (logistic regression, random forest, XGBoost, elastic net) exhibited uniformly poor discrimination (AUC 0.42–0.49), underscoring the limitations of routine demographic and clinical variables alone. This finding is consistent with Kubahoniyesu and colleagues whose models using standard covariates plateaued at AUCs &lt; 0.85 for adverse pregnancy outcome prediction in Rwanda</w:t>
      </w:r>
      <w:r>
        <w:t xml:space="preserve"> </w:t>
      </w:r>
      <w:r>
        <w:t xml:space="preserve">(10)</w:t>
      </w:r>
      <w:r>
        <w:t xml:space="preserve">. By contrast, integrating metabolomic biomarkers into an SVM model achieved an AUC of 0.91, demonstrating that targeted</w:t>
      </w:r>
      <w:r>
        <w:t xml:space="preserve"> </w:t>
      </w:r>
      <w:r>
        <w:t xml:space="preserve">“omics”</w:t>
      </w:r>
      <w:r>
        <w:t xml:space="preserve"> </w:t>
      </w:r>
      <w:r>
        <w:t xml:space="preserve">data can dramatically enhance risk stratification over traditional approaches</w:t>
      </w:r>
    </w:p>
    <w:bookmarkStart w:id="57" w:name="implications-for-policy-and-practice"/>
    <w:p>
      <w:pPr>
        <w:pStyle w:val="Heading2"/>
      </w:pPr>
      <w:r>
        <w:t xml:space="preserve">6.1 Implications for Policy and Practice</w:t>
      </w:r>
    </w:p>
    <w:p>
      <w:pPr>
        <w:pStyle w:val="FirstParagraph"/>
      </w:pPr>
      <w:r>
        <w:t xml:space="preserve">Our results advocate a move beyond one-size-fits-all IPTp guidelines toward individualized strategies that account for infection history, drug resistance, and parity. In high-transmission, high-resistance settings, women who experience multiple breakthrough infections on SP should be offered IPTp-DP or layered prevention, such as intensified parasitological screening and strengthened insecticide-treated net distribution in line with</w:t>
      </w:r>
      <w:r>
        <w:t xml:space="preserve"> </w:t>
      </w:r>
      <w:r>
        <w:t xml:space="preserve">(6,</w:t>
      </w:r>
      <w:r>
        <w:rPr>
          <w:b/>
          <w:bCs/>
        </w:rPr>
        <w:t xml:space="preserve">who2022?</w:t>
      </w:r>
      <w:r>
        <w:t xml:space="preserve">)</w:t>
      </w:r>
      <w:r>
        <w:t xml:space="preserve">. Equally, primigravidae and secundigravidae under 25 years represent a particularly vulnerable subgroup requiring enhanced antenatal surveillance and targeted support services. Finally, translating these recommendations into clinically actionable risk-stratification tools will demand the integration of immunologic biomarkers and placental histopathology alongside routine demographic and clinical variables.</w:t>
      </w:r>
    </w:p>
    <w:bookmarkEnd w:id="57"/>
    <w:bookmarkStart w:id="58"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8"/>
    <w:bookmarkStart w:id="59"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r>
        <w:br w:type="page"/>
      </w:r>
    </w:p>
    <w:bookmarkEnd w:id="59"/>
    <w:bookmarkEnd w:id="60"/>
    <w:bookmarkStart w:id="82" w:name="references"/>
    <w:p>
      <w:pPr>
        <w:pStyle w:val="Heading1"/>
      </w:pPr>
      <w:r>
        <w:t xml:space="preserve">7. References</w:t>
      </w:r>
    </w:p>
    <w:bookmarkStart w:id="81" w:name="refs"/>
    <w:bookmarkStart w:id="62" w:name="ref-talapko2019"/>
    <w:p>
      <w:pPr>
        <w:pStyle w:val="Bibliography"/>
      </w:pPr>
      <w:r>
        <w:t xml:space="preserve">1.</w:t>
      </w:r>
      <w:r>
        <w:t xml:space="preserve"> </w:t>
      </w:r>
      <w:r>
        <w:t xml:space="preserve">	</w:t>
      </w:r>
      <w:r>
        <w:t xml:space="preserve">Talapko J, Škrlec I, Alebić T, et al.</w:t>
      </w:r>
      <w:r>
        <w:t xml:space="preserve"> </w:t>
      </w:r>
      <w:hyperlink r:id="rId61">
        <w:r>
          <w:rPr>
            <w:rStyle w:val="Hyperlink"/>
          </w:rPr>
          <w:t xml:space="preserve">Malaria: The past and the present</w:t>
        </w:r>
      </w:hyperlink>
      <w:r>
        <w:t xml:space="preserve">.</w:t>
      </w:r>
      <w:r>
        <w:t xml:space="preserve"> </w:t>
      </w:r>
      <w:r>
        <w:rPr>
          <w:i/>
          <w:iCs/>
        </w:rPr>
        <w:t xml:space="preserve">Microorganisms</w:t>
      </w:r>
      <w:r>
        <w:t xml:space="preserve">. 2019;7(6):179.</w:t>
      </w:r>
      <w:r>
        <w:t xml:space="preserve"> </w:t>
      </w:r>
    </w:p>
    <w:bookmarkEnd w:id="62"/>
    <w:bookmarkStart w:id="64" w:name="ref-WHO2023"/>
    <w:p>
      <w:pPr>
        <w:pStyle w:val="Bibliography"/>
      </w:pPr>
      <w:r>
        <w:t xml:space="preserve">2.</w:t>
      </w:r>
      <w:r>
        <w:t xml:space="preserve"> </w:t>
      </w:r>
      <w:r>
        <w:t xml:space="preserve">	</w:t>
      </w:r>
      <w:r>
        <w:t xml:space="preserve">World Health Organization. World malaria report 2023. World Health Organization; 2023.(</w:t>
      </w:r>
      <w:hyperlink r:id="rId63">
        <w:r>
          <w:rPr>
            <w:rStyle w:val="Hyperlink"/>
          </w:rPr>
          <w:t xml:space="preserve">https://www.who.int/teams/global-malaria-programme/reports/world-malaria-report-2023</w:t>
        </w:r>
      </w:hyperlink>
      <w:r>
        <w:t xml:space="preserve">)</w:t>
      </w:r>
    </w:p>
    <w:bookmarkEnd w:id="64"/>
    <w:bookmarkStart w:id="66" w:name="ref-chua2021"/>
    <w:p>
      <w:pPr>
        <w:pStyle w:val="Bibliography"/>
      </w:pPr>
      <w:r>
        <w:t xml:space="preserve">3.</w:t>
      </w:r>
      <w:r>
        <w:t xml:space="preserve"> </w:t>
      </w:r>
      <w:r>
        <w:t xml:space="preserve">	</w:t>
      </w:r>
      <w:r>
        <w:t xml:space="preserve">Chua CLL, Khoo SKM, Ong JLE, et al.</w:t>
      </w:r>
      <w:r>
        <w:t xml:space="preserve"> </w:t>
      </w:r>
      <w:hyperlink r:id="rId65">
        <w:r>
          <w:rPr>
            <w:rStyle w:val="Hyperlink"/>
          </w:rPr>
          <w:t xml:space="preserve">Malaria in pregnancy: From placental infection to its abnormal development and damage</w:t>
        </w:r>
      </w:hyperlink>
      <w:r>
        <w:t xml:space="preserve">.</w:t>
      </w:r>
      <w:r>
        <w:t xml:space="preserve"> </w:t>
      </w:r>
      <w:r>
        <w:rPr>
          <w:i/>
          <w:iCs/>
        </w:rPr>
        <w:t xml:space="preserve">Frontiers in Microbiology</w:t>
      </w:r>
      <w:r>
        <w:t xml:space="preserve">. 2021;12.</w:t>
      </w:r>
      <w:r>
        <w:t xml:space="preserve"> </w:t>
      </w:r>
    </w:p>
    <w:bookmarkEnd w:id="66"/>
    <w:bookmarkStart w:id="68" w:name="ref-bauserman2019"/>
    <w:p>
      <w:pPr>
        <w:pStyle w:val="Bibliography"/>
      </w:pPr>
      <w:r>
        <w:t xml:space="preserve">4.</w:t>
      </w:r>
      <w:r>
        <w:t xml:space="preserve"> </w:t>
      </w:r>
      <w:r>
        <w:t xml:space="preserve">	</w:t>
      </w:r>
      <w:r>
        <w:t xml:space="preserve">Bauserman M, Conroy AL, North K, et al.</w:t>
      </w:r>
      <w:r>
        <w:t xml:space="preserve"> </w:t>
      </w:r>
      <w:hyperlink r:id="rId67">
        <w:r>
          <w:rPr>
            <w:rStyle w:val="Hyperlink"/>
          </w:rPr>
          <w:t xml:space="preserve">An overview of malaria in pregnancy</w:t>
        </w:r>
      </w:hyperlink>
      <w:r>
        <w:t xml:space="preserve">.</w:t>
      </w:r>
      <w:r>
        <w:t xml:space="preserve"> </w:t>
      </w:r>
      <w:r>
        <w:rPr>
          <w:i/>
          <w:iCs/>
        </w:rPr>
        <w:t xml:space="preserve">Seminars in Perinatology</w:t>
      </w:r>
      <w:r>
        <w:t xml:space="preserve">. 2019;43(5):282–290.</w:t>
      </w:r>
      <w:r>
        <w:t xml:space="preserve"> </w:t>
      </w:r>
    </w:p>
    <w:bookmarkEnd w:id="68"/>
    <w:bookmarkStart w:id="70" w:name="ref-kakuru2020"/>
    <w:p>
      <w:pPr>
        <w:pStyle w:val="Bibliography"/>
      </w:pPr>
      <w:r>
        <w:t xml:space="preserve">5.</w:t>
      </w:r>
      <w:r>
        <w:t xml:space="preserve"> </w:t>
      </w:r>
      <w:r>
        <w:t xml:space="preserve">	</w:t>
      </w:r>
      <w:r>
        <w:t xml:space="preserve">Kakuru A, Jagannathan P, Kajubi R, et al.</w:t>
      </w:r>
      <w:r>
        <w:t xml:space="preserve"> </w:t>
      </w:r>
      <w:hyperlink r:id="rId69">
        <w:r>
          <w:rPr>
            <w:rStyle w:val="Hyperlink"/>
          </w:rPr>
          <w:t xml:space="preserve">Impact of IPTp-DP vs. SP on malaria incidence in infancy: A RCT</w:t>
        </w:r>
      </w:hyperlink>
      <w:r>
        <w:t xml:space="preserve">.</w:t>
      </w:r>
      <w:r>
        <w:t xml:space="preserve"> </w:t>
      </w:r>
      <w:r>
        <w:rPr>
          <w:i/>
          <w:iCs/>
        </w:rPr>
        <w:t xml:space="preserve">BMC Medicine</w:t>
      </w:r>
      <w:r>
        <w:t xml:space="preserve">. 2020;18(1):1–11.</w:t>
      </w:r>
      <w:r>
        <w:t xml:space="preserve"> </w:t>
      </w:r>
    </w:p>
    <w:bookmarkEnd w:id="70"/>
    <w:bookmarkStart w:id="72" w:name="ref-cutts2020"/>
    <w:p>
      <w:pPr>
        <w:pStyle w:val="Bibliography"/>
      </w:pPr>
      <w:r>
        <w:t xml:space="preserve">6.</w:t>
      </w:r>
      <w:r>
        <w:t xml:space="preserve"> </w:t>
      </w:r>
      <w:r>
        <w:t xml:space="preserve">	</w:t>
      </w:r>
      <w:r>
        <w:t xml:space="preserve">Cutts JC, Agius PA, Lin Z, et al.</w:t>
      </w:r>
      <w:r>
        <w:t xml:space="preserve"> </w:t>
      </w:r>
      <w:hyperlink r:id="rId71">
        <w:r>
          <w:rPr>
            <w:rStyle w:val="Hyperlink"/>
          </w:rPr>
          <w:t xml:space="preserve">Pregnancy-specific malarial immunity and risk of malaria in pregnancy and adverse birth outcomes: A systematic review</w:t>
        </w:r>
      </w:hyperlink>
      <w:r>
        <w:t xml:space="preserve">.</w:t>
      </w:r>
      <w:r>
        <w:t xml:space="preserve"> </w:t>
      </w:r>
      <w:r>
        <w:rPr>
          <w:i/>
          <w:iCs/>
        </w:rPr>
        <w:t xml:space="preserve">BMC Medicine</w:t>
      </w:r>
      <w:r>
        <w:t xml:space="preserve">. 2020;18(1):1–21.</w:t>
      </w:r>
      <w:r>
        <w:t xml:space="preserve"> </w:t>
      </w:r>
    </w:p>
    <w:bookmarkEnd w:id="72"/>
    <w:bookmarkStart w:id="74" w:name="ref-kajubi2019"/>
    <w:p>
      <w:pPr>
        <w:pStyle w:val="Bibliography"/>
      </w:pPr>
      <w:r>
        <w:t xml:space="preserve">7.</w:t>
      </w:r>
      <w:r>
        <w:t xml:space="preserve"> </w:t>
      </w:r>
      <w:r>
        <w:t xml:space="preserve">	</w:t>
      </w:r>
      <w:r>
        <w:t xml:space="preserve">Kajubi R, Ochieng T, Kakuru A, et al.</w:t>
      </w:r>
      <w:r>
        <w:t xml:space="preserve"> </w:t>
      </w:r>
      <w:hyperlink r:id="rId73">
        <w:r>
          <w:rPr>
            <w:rStyle w:val="Hyperlink"/>
          </w:rPr>
          <w:t xml:space="preserve">Monthly sulfadoxine–pyrimethamine versus dihydroartemisinin–piperaquine for IPTp: A double-blind RCT</w:t>
        </w:r>
      </w:hyperlink>
      <w:r>
        <w:t xml:space="preserve">.</w:t>
      </w:r>
      <w:r>
        <w:t xml:space="preserve"> </w:t>
      </w:r>
      <w:r>
        <w:rPr>
          <w:i/>
          <w:iCs/>
        </w:rPr>
        <w:t xml:space="preserve">The Lancet</w:t>
      </w:r>
      <w:r>
        <w:t xml:space="preserve">. 2019;393(10179):1428–1439.</w:t>
      </w:r>
      <w:r>
        <w:t xml:space="preserve"> </w:t>
      </w:r>
    </w:p>
    <w:bookmarkEnd w:id="74"/>
    <w:bookmarkStart w:id="76" w:name="ref-kirosingh2023"/>
    <w:p>
      <w:pPr>
        <w:pStyle w:val="Bibliography"/>
      </w:pPr>
      <w:r>
        <w:t xml:space="preserve">8.</w:t>
      </w:r>
      <w:r>
        <w:t xml:space="preserve"> </w:t>
      </w:r>
      <w:r>
        <w:t xml:space="preserve">	</w:t>
      </w:r>
      <w:r>
        <w:t xml:space="preserve">Kirosingh AS, Delmastro A, Kakuru A, et al.</w:t>
      </w:r>
      <w:r>
        <w:t xml:space="preserve"> </w:t>
      </w:r>
      <w:hyperlink r:id="rId75">
        <w:r>
          <w:rPr>
            <w:rStyle w:val="Hyperlink"/>
          </w:rPr>
          <w:t xml:space="preserve">Malaria-specific type 1 regulatory t cells are more abundant in first pregnancies and associated with placental malaria</w:t>
        </w:r>
      </w:hyperlink>
      <w:r>
        <w:t xml:space="preserve">.</w:t>
      </w:r>
      <w:r>
        <w:t xml:space="preserve"> </w:t>
      </w:r>
      <w:r>
        <w:rPr>
          <w:i/>
          <w:iCs/>
        </w:rPr>
        <w:t xml:space="preserve">eBioMedicine</w:t>
      </w:r>
      <w:r>
        <w:t xml:space="preserve">. 2023;95.</w:t>
      </w:r>
      <w:r>
        <w:t xml:space="preserve"> </w:t>
      </w:r>
    </w:p>
    <w:bookmarkEnd w:id="76"/>
    <w:bookmarkStart w:id="78" w:name="ref-doritchamou2022"/>
    <w:p>
      <w:pPr>
        <w:pStyle w:val="Bibliography"/>
      </w:pPr>
      <w:r>
        <w:t xml:space="preserve">9.</w:t>
      </w:r>
      <w:r>
        <w:t xml:space="preserve"> </w:t>
      </w:r>
      <w:r>
        <w:t xml:space="preserve">	</w:t>
      </w:r>
      <w:r>
        <w:t xml:space="preserve">Doritchamou JYA, al. et.</w:t>
      </w:r>
      <w:r>
        <w:t xml:space="preserve"> </w:t>
      </w:r>
      <w:hyperlink r:id="rId77">
        <w:r>
          <w:rPr>
            <w:rStyle w:val="Hyperlink"/>
          </w:rPr>
          <w:t xml:space="preserve">A single full-length VAR2CSA ectodomain variant purifies broadly neutralizing antibodies against placental malaria isolates</w:t>
        </w:r>
      </w:hyperlink>
      <w:r>
        <w:t xml:space="preserve">.</w:t>
      </w:r>
      <w:r>
        <w:t xml:space="preserve"> </w:t>
      </w:r>
      <w:r>
        <w:rPr>
          <w:i/>
          <w:iCs/>
        </w:rPr>
        <w:t xml:space="preserve">eLife</w:t>
      </w:r>
      <w:r>
        <w:t xml:space="preserve">. 2022;11.</w:t>
      </w:r>
      <w:r>
        <w:t xml:space="preserve"> </w:t>
      </w:r>
    </w:p>
    <w:bookmarkEnd w:id="78"/>
    <w:bookmarkStart w:id="80" w:name="ref-kubahoniyesu2024"/>
    <w:p>
      <w:pPr>
        <w:pStyle w:val="Bibliography"/>
      </w:pPr>
      <w:r>
        <w:t xml:space="preserve">10.</w:t>
      </w:r>
      <w:r>
        <w:t xml:space="preserve"> </w:t>
      </w:r>
      <w:r>
        <w:t xml:space="preserve">	</w:t>
      </w:r>
      <w:r>
        <w:t xml:space="preserve">Kubahoniyesu T, Kabano IH.</w:t>
      </w:r>
      <w:r>
        <w:t xml:space="preserve"> </w:t>
      </w:r>
      <w:hyperlink r:id="rId79">
        <w:r>
          <w:rPr>
            <w:rStyle w:val="Hyperlink"/>
          </w:rPr>
          <w:t xml:space="preserve">Predicting adverse pregnancy outcome in rwanda using machine learning techniques</w:t>
        </w:r>
      </w:hyperlink>
      <w:r>
        <w:t xml:space="preserve">.</w:t>
      </w:r>
      <w:r>
        <w:t xml:space="preserve"> </w:t>
      </w:r>
      <w:r>
        <w:rPr>
          <w:i/>
          <w:iCs/>
        </w:rPr>
        <w:t xml:space="preserve">PLoS ONE</w:t>
      </w:r>
      <w:r>
        <w:t xml:space="preserve">. 2024;19(12):1–16.</w:t>
      </w:r>
      <w:r>
        <w:t xml:space="preserve"> </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2025-04-30T00:47:44Z</dcterms:created>
  <dcterms:modified xsi:type="dcterms:W3CDTF">2025-04-30T00:47:44Z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