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p>
    <w:p>
      <w:pPr>
        <w:pStyle w:val="BodyText"/>
      </w:pPr>
      <w:r>
        <w:rPr>
          <w:b/>
          <w:bCs/>
        </w:rPr>
        <w:t xml:space="preserve">Malaria, Adverse birth outcomes, Gravidity/Parity, Intermittent preventive treatment in pregnancy (IPTp), Sulfadoxine–pyrimethamine,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1" w:name="results"/>
    <w:p>
      <w:pPr>
        <w:pStyle w:val="Heading1"/>
      </w:pPr>
      <w:r>
        <w:t xml:space="preserve">5. Results</w:t>
      </w:r>
    </w:p>
    <w:bookmarkStart w:id="50"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2" name="Picture"/>
            <a:graphic>
              <a:graphicData uri="http://schemas.openxmlformats.org/drawingml/2006/picture">
                <pic:pic>
                  <pic:nvPicPr>
                    <pic:cNvPr descr="Images/Figure%203.%20Predicted%20Probability.png" id="43" name="Picture"/>
                    <pic:cNvPicPr>
                      <a:picLocks noChangeArrowheads="1" noChangeAspect="1"/>
                    </pic:cNvPicPr>
                  </pic:nvPicPr>
                  <pic:blipFill>
                    <a:blip r:embed="rId41"/>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45" name="Picture"/>
            <a:graphic>
              <a:graphicData uri="http://schemas.openxmlformats.org/drawingml/2006/picture">
                <pic:pic>
                  <pic:nvPicPr>
                    <pic:cNvPr descr="Images/Figure%204.Comparative%20Discriminative%20Performance%20of%20ML%20.png" id="46" name="Picture"/>
                    <pic:cNvPicPr>
                      <a:picLocks noChangeArrowheads="1" noChangeAspect="1"/>
                    </pic:cNvPicPr>
                  </pic:nvPicPr>
                  <pic:blipFill>
                    <a:blip r:embed="rId44"/>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0"/>
    <w:bookmarkEnd w:id="51"/>
    <w:bookmarkStart w:id="53"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2" w:name="conclusions"/>
    <w:p>
      <w:pPr>
        <w:pStyle w:val="Heading2"/>
      </w:pPr>
      <w:r>
        <w:t xml:space="preserve">6.1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bookmarkEnd w:id="52"/>
    <w:bookmarkEnd w:id="53"/>
    <w:bookmarkStart w:id="55"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4">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5"/>
    <w:bookmarkStart w:id="63" w:name="references"/>
    <w:p>
      <w:pPr>
        <w:pStyle w:val="Heading1"/>
      </w:pPr>
      <w:r>
        <w:t xml:space="preserve">8. References</w:t>
      </w:r>
    </w:p>
    <w:bookmarkStart w:id="62" w:name="refs"/>
    <w:bookmarkStart w:id="57" w:name="ref-leek2015"/>
    <w:p>
      <w:pPr>
        <w:pStyle w:val="Bibliography"/>
      </w:pPr>
      <w:r>
        <w:t xml:space="preserve">1.</w:t>
      </w:r>
      <w:r>
        <w:t xml:space="preserve"> </w:t>
      </w:r>
      <w:r>
        <w:t xml:space="preserve">	</w:t>
      </w:r>
      <w:r>
        <w:t xml:space="preserve">Leek JT, Peng RD.</w:t>
      </w:r>
      <w:r>
        <w:t xml:space="preserve"> </w:t>
      </w:r>
      <w:hyperlink r:id="rId5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7"/>
    <w:bookmarkStart w:id="59" w:name="ref-mckay2020"/>
    <w:p>
      <w:pPr>
        <w:pStyle w:val="Bibliography"/>
      </w:pPr>
      <w:r>
        <w:t xml:space="preserve">2.</w:t>
      </w:r>
      <w:r>
        <w:t xml:space="preserve"> </w:t>
      </w:r>
      <w:r>
        <w:t xml:space="preserve">	</w:t>
      </w:r>
      <w:r>
        <w:t xml:space="preserve">McKay B, Ebell M, Billings WZ, et al.</w:t>
      </w:r>
      <w:r>
        <w:t xml:space="preserve"> </w:t>
      </w:r>
      <w:hyperlink r:id="rId58">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9"/>
    <w:bookmarkStart w:id="61" w:name="ref-mckay2020a"/>
    <w:p>
      <w:pPr>
        <w:pStyle w:val="Bibliography"/>
      </w:pPr>
      <w:r>
        <w:t xml:space="preserve">3.</w:t>
      </w:r>
      <w:r>
        <w:t xml:space="preserve"> </w:t>
      </w:r>
      <w:r>
        <w:t xml:space="preserve">	</w:t>
      </w:r>
      <w:r>
        <w:t xml:space="preserve">McKay B, Ebell M, Dale AP, et al.</w:t>
      </w:r>
      <w:r>
        <w:t xml:space="preserve"> </w:t>
      </w:r>
      <w:hyperlink r:id="rId60">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2025-04-26T00:53:24Z</dcterms:created>
  <dcterms:modified xsi:type="dcterms:W3CDTF">2025-04-26T00:53:24Z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