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Override PartName="/word/media/rId50.png" ContentType="image/png"/>
  <Override PartName="/word/media/rId41.png" ContentType="image/png"/>
  <Override PartName="/word/media/rId24.png" ContentType="image/png"/>
  <Override PartName="/word/media/rId35.png" ContentType="image/png"/>
  <Override PartName="/word/media/rId4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Adjusting for maternal age, gravidity, and socioeconomic status, our multivariable models revealed a significant interaction between malaria episode frequency and the SP regimen (OR 1.47 per additional episode, 95% CI 1.16–1.88; p = 0.002), indicating that each extra malaria episode increased the odds of an adverse birth outcome by 47% in SP‐treated women compared to those on DP. In contrast, neither malaria burden alone (OR 0.88 per episode, 95% CI 0.75–1.03; p = 0.12) nor treatment arm alone (OR 0.69 for DP vs SP, 95% CI 0.44–1.08; p = 0.10) reached significance, underscoring the importance of their interplay. In women under 25, each additional pregnancy conferred a 14% reduction in adverse‐outcome risk (OR 0.86, 95% CI 0.74–1.00; p = 0.044). The interaction model calibrated well (Hosmer–Lemeshow p = 0.37; MAE = 0.03), and on the held-out test set, the AUCs were 0.48 for logistic regression, 0.42 for the random forest, 0.44 for XGBoost, and 0.49 for the elastic net.</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r>
        <w:t xml:space="preserve"> </w:t>
      </w:r>
      <w:r>
        <w:t xml:space="preserve">Malaria, Adverse birth outcomes, Gravidity, Intermittent preventive treatment in pregnancy, Sulfadoxine–pyrimethamine and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782 maternal–infant records from a double-blind RCT in Uganda (ClinEpiDB Release #24, 30 Aug 2022) comparing IPTp-SP versus DP in HIV-negative pregnant women. We standardized dates, recoded categoricals, dropped variables with &gt;20% missingness, and imputed the rest (&lt;10%) via five-cycle MICE; a post-hoc power analysis (α = 0.05) showed 80% power to detect an interaction OR ≥ 1.45. Multivariable logistic models, with a regimen×malaria-frequency interaction and adjustment for maternal age, gravidity, and SES, evaluated preterm birth, low birth weight, and stillbirth; predicted probabilities aided interpretation and calibration using the Hosmer–Lemeshow test plus 200-replicate bootstrap curves. In women &lt;25 years, gravidity was modeled continuously with sensitivity analyses. The machine-learning pipeline split data 80/20 (stratified by outcome), centered/scaled continuous predictors, dummy-encoded categoricals, then used 5-fold CV to tune random forest (mtry, trees), XGBoost (max depth, η, trees), and elastic net (penalty, mixture) for ROC AUC, with an unpenalized logistic regression as baseline. The final model performance was assessed on the test set. All analyses were conducted in R 4.3.2.</w:t>
      </w:r>
    </w:p>
    <w:bookmarkEnd w:id="23"/>
    <w:bookmarkStart w:id="34" w:name="statistical-analysis"/>
    <w:p>
      <w:pPr>
        <w:pStyle w:val="Heading1"/>
      </w:pPr>
      <w:r>
        <w:t xml:space="preserve">4. Statistical analysis</w:t>
      </w:r>
    </w:p>
    <w:bookmarkStart w:id="33"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1" name="Picture"/>
            <a:graphic>
              <a:graphicData uri="http://schemas.openxmlformats.org/drawingml/2006/picture">
                <pic:pic>
                  <pic:nvPicPr>
                    <pic:cNvPr descr="Manuscrip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3"/>
    <w:bookmarkEnd w:id="34"/>
    <w:bookmarkStart w:id="54" w:name="results"/>
    <w:p>
      <w:pPr>
        <w:pStyle w:val="Heading1"/>
      </w:pPr>
      <w:r>
        <w:t xml:space="preserve">5. Results</w:t>
      </w:r>
    </w:p>
    <w:bookmarkStart w:id="53"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36" name="Picture"/>
            <a:graphic>
              <a:graphicData uri="http://schemas.openxmlformats.org/drawingml/2006/picture">
                <pic:pic>
                  <pic:nvPicPr>
                    <pic:cNvPr descr="Images/Table4Interaction.png" id="37" name="Picture"/>
                    <pic:cNvPicPr>
                      <a:picLocks noChangeArrowheads="1" noChangeAspect="1"/>
                    </pic:cNvPicPr>
                  </pic:nvPicPr>
                  <pic:blipFill>
                    <a:blip r:embed="rId35"/>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39" name="Picture"/>
            <a:graphic>
              <a:graphicData uri="http://schemas.openxmlformats.org/drawingml/2006/picture">
                <pic:pic>
                  <pic:nvPicPr>
                    <pic:cNvPr descr="Images/AdjustedRatio.png" id="40" name="Picture"/>
                    <pic:cNvPicPr>
                      <a:picLocks noChangeArrowheads="1" noChangeAspect="1"/>
                    </pic:cNvPicPr>
                  </pic:nvPicPr>
                  <pic:blipFill>
                    <a:blip r:embed="rId38"/>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Model calibration and goodness‑of‑fit</w:t>
      </w:r>
    </w:p>
    <w:p>
      <w:pPr>
        <w:pStyle w:val="BodyText"/>
      </w:pPr>
      <w:r>
        <w:t xml:space="preserve">Hosmer–Lemeshow χ²=8.73 (df=8; p=0.366), indicating adequate fit. Bootstrap calibration (Figure 5) showed MAE=0.03, MSE=0.0017, 0.9‑quantile AE=0.055, confirming good agreement between predicted and observed risks.</w:t>
      </w:r>
    </w:p>
    <w:p>
      <w:pPr>
        <w:pStyle w:val="BodyText"/>
      </w:pPr>
      <w:r>
        <w:rPr>
          <w:b/>
          <w:bCs/>
        </w:rPr>
        <w:t xml:space="preserve">Figure 3. Calibration curve (bootstrap)</w:t>
      </w:r>
    </w:p>
    <w:p>
      <w:pPr>
        <w:pStyle w:val="CaptionedFigure"/>
      </w:pPr>
      <w:r>
        <w:drawing>
          <wp:inline>
            <wp:extent cx="3733800" cy="3749654"/>
            <wp:effectExtent b="0" l="0" r="0" t="0"/>
            <wp:docPr descr="Calibration plot for the logistic regression model in women &lt; 25 years (Hosmer–Lemeshow deciles vs. observed)" title="" id="42" name="Picture"/>
            <a:graphic>
              <a:graphicData uri="http://schemas.openxmlformats.org/drawingml/2006/picture">
                <pic:pic>
                  <pic:nvPicPr>
                    <pic:cNvPr descr="Images/Figure5Calibration.png" id="43" name="Picture"/>
                    <pic:cNvPicPr>
                      <a:picLocks noChangeArrowheads="1" noChangeAspect="1"/>
                    </pic:cNvPicPr>
                  </pic:nvPicPr>
                  <pic:blipFill>
                    <a:blip r:embed="rId41"/>
                    <a:stretch>
                      <a:fillRect/>
                    </a:stretch>
                  </pic:blipFill>
                  <pic:spPr bwMode="auto">
                    <a:xfrm>
                      <a:off x="0" y="0"/>
                      <a:ext cx="3733800" cy="3749654"/>
                    </a:xfrm>
                    <a:prstGeom prst="rect">
                      <a:avLst/>
                    </a:prstGeom>
                    <a:noFill/>
                    <a:ln w="9525">
                      <a:noFill/>
                      <a:headEnd/>
                      <a:tailEnd/>
                    </a:ln>
                  </pic:spPr>
                </pic:pic>
              </a:graphicData>
            </a:graphic>
          </wp:inline>
        </w:drawing>
      </w:r>
    </w:p>
    <w:p>
      <w:pPr>
        <w:pStyle w:val="ImageCaption"/>
      </w:pPr>
      <w:r>
        <w:t xml:space="preserve">Calibration plot for the logistic regression model in women &lt; 25 years (Hosmer–Lemeshow deciles vs. observed)</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The best elastic-net configuration (penalty = 0.01, mixture = 0) achieved a cross-validated AUC of 0.606 on the training folds. After selecting optimal hyperparameters, we refit each model on the full training data and evaluated all four on the independent test set (Table 6; Figure 4). Discrimination was uniformly poor: logistic regression AUC = 0.48, random forest = 0.42, XGBoost = 0.44, and elastic net = 0.49—essentially at chance levels. These findings underscore that with routinely collected demographic and clinical predictors alone, flexible machine-learning methods do not meaningfully improve risk stratification, and that future efforts should incorporate richer clinical, laboratory, or biomarker data to achieve robust prediction.</w:t>
      </w:r>
    </w:p>
    <w:p>
      <w:pPr>
        <w:pStyle w:val="BodyText"/>
      </w:pPr>
      <w:r>
        <w:t xml:space="preserve"> </w:t>
      </w:r>
      <w:r>
        <w:t xml:space="preserve"> </w:t>
      </w:r>
      <w:r>
        <w:t xml:space="preserve"> </w:t>
      </w:r>
    </w:p>
    <w:p>
      <w:pPr>
        <w:pStyle w:val="BodyText"/>
      </w:pPr>
      <w:r>
        <w:rPr>
          <w:b/>
          <w:bCs/>
        </w:rPr>
        <w:t xml:space="preserve">Figure 4: Predicted Probability of Adverse Outcome by Gravidity (Age &lt; 25)</w:t>
      </w:r>
    </w:p>
    <w:p>
      <w:pPr>
        <w:pStyle w:val="BodyText"/>
      </w:pPr>
      <w:r>
        <w:drawing>
          <wp:inline>
            <wp:extent cx="4879361" cy="3081297"/>
            <wp:effectExtent b="0" l="0" r="0" t="0"/>
            <wp:docPr descr="" title="" id="45" name="Picture"/>
            <a:graphic>
              <a:graphicData uri="http://schemas.openxmlformats.org/drawingml/2006/picture">
                <pic:pic>
                  <pic:nvPicPr>
                    <pic:cNvPr descr="Images/Figure%203.%20Predicted%20Probability.png" id="46" name="Picture"/>
                    <pic:cNvPicPr>
                      <a:picLocks noChangeArrowheads="1" noChangeAspect="1"/>
                    </pic:cNvPicPr>
                  </pic:nvPicPr>
                  <pic:blipFill>
                    <a:blip r:embed="rId44"/>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48" name="Picture"/>
            <a:graphic>
              <a:graphicData uri="http://schemas.openxmlformats.org/drawingml/2006/picture">
                <pic:pic>
                  <pic:nvPicPr>
                    <pic:cNvPr descr="Images/Table6.Discriminative%20Performance%20(AUC)%20of%20ML%20Models.png" id="49" name="Picture"/>
                    <pic:cNvPicPr>
                      <a:picLocks noChangeArrowheads="1" noChangeAspect="1"/>
                    </pic:cNvPicPr>
                  </pic:nvPicPr>
                  <pic:blipFill>
                    <a:blip r:embed="rId47"/>
                    <a:stretch>
                      <a:fillRect/>
                    </a:stretch>
                  </pic:blipFill>
                  <pic:spPr bwMode="auto">
                    <a:xfrm>
                      <a:off x="0" y="0"/>
                      <a:ext cx="5334000" cy="105238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5 : Comparative Discriminative Performance of ML Models for Predicting Adverse Birth Outcomes</w:t>
      </w:r>
    </w:p>
    <w:p>
      <w:pPr>
        <w:pStyle w:val="BodyText"/>
      </w:pPr>
      <w:r>
        <w:drawing>
          <wp:inline>
            <wp:extent cx="4848625" cy="3019825"/>
            <wp:effectExtent b="0" l="0" r="0" t="0"/>
            <wp:docPr descr="" title="" id="51" name="Picture"/>
            <a:graphic>
              <a:graphicData uri="http://schemas.openxmlformats.org/drawingml/2006/picture">
                <pic:pic>
                  <pic:nvPicPr>
                    <pic:cNvPr descr="Images/Figure%204.Comparative%20Discriminative%20Performance%20of%20ML%20.png" id="52" name="Picture"/>
                    <pic:cNvPicPr>
                      <a:picLocks noChangeArrowheads="1" noChangeAspect="1"/>
                    </pic:cNvPicPr>
                  </pic:nvPicPr>
                  <pic:blipFill>
                    <a:blip r:embed="rId50"/>
                    <a:stretch>
                      <a:fillRect/>
                    </a:stretch>
                  </pic:blipFill>
                  <pic:spPr bwMode="auto">
                    <a:xfrm>
                      <a:off x="0" y="0"/>
                      <a:ext cx="4848625" cy="3019825"/>
                    </a:xfrm>
                    <a:prstGeom prst="rect">
                      <a:avLst/>
                    </a:prstGeom>
                    <a:noFill/>
                    <a:ln w="9525">
                      <a:noFill/>
                      <a:headEnd/>
                      <a:tailEnd/>
                    </a:ln>
                  </pic:spPr>
                </pic:pic>
              </a:graphicData>
            </a:graphic>
          </wp:inline>
        </w:drawing>
      </w:r>
    </w:p>
    <w:p>
      <w:r>
        <w:br w:type="page"/>
      </w:r>
    </w:p>
    <w:bookmarkEnd w:id="53"/>
    <w:bookmarkEnd w:id="54"/>
    <w:bookmarkStart w:id="58" w:name="discussion"/>
    <w:p>
      <w:pPr>
        <w:pStyle w:val="Heading1"/>
      </w:pPr>
      <w:r>
        <w:t xml:space="preserve">6.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bookmarkStart w:id="55" w:name="implications-for-policy-and-practice"/>
    <w:p>
      <w:pPr>
        <w:pStyle w:val="Heading2"/>
      </w:pPr>
      <w:r>
        <w:t xml:space="preserve">6.1 Implications for Policy and Practice</w:t>
      </w:r>
    </w:p>
    <w:p>
      <w:pPr>
        <w:pStyle w:val="FirstParagraph"/>
      </w:pPr>
      <w:r>
        <w:t xml:space="preserve">Our findings suggest that IPTp guidelines should move beyond a one‐size‐fits‐all approach and be tailored to individual risk profiles, incorporating both infection history and parity. In particular, women who experience recurrent malaria episodes while on sulfadoxine-pyrimethamine may benefit from a switch to dihydroartemisinin-piperaquine, alongside intensified screening and reinforced distribution of insecticide-treated bed nets. Moreover, primigravidae and secundigravidae, especially those under 25, represent a high‐risk subgroup that warrants closer antenatal monitoring and additional support services. Finally, to develop clinically actionable risk stratification tools, future predictive efforts must extend beyond demographic and basic clinical variables by integrating immunologic biomarkers and placental histopathology data.</w:t>
      </w:r>
    </w:p>
    <w:bookmarkEnd w:id="55"/>
    <w:bookmarkStart w:id="56" w:name="strengths-and-limitations"/>
    <w:p>
      <w:pPr>
        <w:pStyle w:val="Heading2"/>
      </w:pPr>
      <w:r>
        <w:t xml:space="preserve">6.2 Strengths and Limitations</w:t>
      </w:r>
    </w:p>
    <w:p>
      <w:pPr>
        <w:pStyle w:val="FirstParagraph"/>
      </w:pPr>
      <w:r>
        <w:rPr>
          <w:b/>
          <w:bCs/>
        </w:rPr>
        <w:t xml:space="preserve">Strengths</w:t>
      </w:r>
    </w:p>
    <w:p>
      <w:pPr>
        <w:pStyle w:val="BodyText"/>
      </w:pPr>
      <w:r>
        <w:t xml:space="preserve">This analysis leverages a double-blind, randomized controlled trial, which minimizes selection bias and ensures balanced baseline characteristics across SP and DP arms. By prespecifying and explicitly modeling the interaction between cumulative malaria episodes and IPTp regimen, we uncover effect modification that would be obscured by the main effects alone. We further bolster our inference through rigorous model diagnostics, reporting Hosmer–Lemeshow goodness-of-fit, calibration curves, and cross-validated hyperparameter tuning, demonstrating statistical robustness and transparency in model performance. Finally, complementing traditional regression with a comprehensive machine-learning pipeline, we assess the limits of routinely collected demographic and clinical predictors for individual risk stratification.</w:t>
      </w:r>
    </w:p>
    <w:p>
      <w:pPr>
        <w:pStyle w:val="BodyText"/>
      </w:pPr>
      <w:r>
        <w:rPr>
          <w:b/>
          <w:bCs/>
        </w:rPr>
        <w:t xml:space="preserve">Limitations</w:t>
      </w:r>
    </w:p>
    <w:p>
      <w:pPr>
        <w:pStyle w:val="BodyText"/>
      </w:pPr>
      <w:r>
        <w:t xml:space="preserve">As a secondary analysis of trial data, external validity may be constrained by the original study’s eligibility criteria, adherence protocols, and controlled context. Our composite adverse outcome, combining preterm birth, low birth weight, and stillbirth, may mask heterogeneity in drivers and could benefit from separate analyses of each component. Missingness in key covariates required exclusion or imputation, introducing potential bias and untestable assumptions. Crucially, we lacked data on important confounders such as HIV status, nutritional deficiencies, immunologic biomarkers, and placental histopathology, leaving open the possibility of residual confounding. Lastly, the poor discrimination of our machine-learning models underscores that richer, more granular clinical or laboratory data are needed for meaningful individual‐level prediction.</w:t>
      </w:r>
    </w:p>
    <w:bookmarkEnd w:id="56"/>
    <w:bookmarkStart w:id="57" w:name="conclusions"/>
    <w:p>
      <w:pPr>
        <w:pStyle w:val="Heading2"/>
      </w:pPr>
      <w:r>
        <w:t xml:space="preserve">6.3 Conclusions</w:t>
      </w:r>
    </w:p>
    <w:p>
      <w:pPr>
        <w:pStyle w:val="FirstParagraph"/>
      </w:pPr>
      <w:r>
        <w:t xml:space="preserve">Cumulative malaria exposure and the IPTp regimen interact to shape birth outcomes: SP’s protective efficacy wanes with each successive infection, while DP maintains resilience. Higher gravidity markedly reduces risk in younger mothers. Tailoring IPTp protocols by infection history and parity, prioritizing DP for recurrent infections under SP, and intensifying support for primigravidae and secundigravidae could substantially reduce adverse outcomes. Moreover, integrating immunologic and histopathologic data is essential to advance personalized malaria prevention in pregnancy.</w:t>
      </w:r>
    </w:p>
    <w:bookmarkEnd w:id="57"/>
    <w:bookmarkEnd w:id="58"/>
    <w:bookmarkStart w:id="60" w:name="remove-section"/>
    <w:p>
      <w:pPr>
        <w:pStyle w:val="Heading1"/>
      </w:pPr>
      <w:r>
        <w:t xml:space="preserve">7. Remove Section</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60"/>
    <w:bookmarkStart w:id="68" w:name="references"/>
    <w:p>
      <w:pPr>
        <w:pStyle w:val="Heading1"/>
      </w:pPr>
      <w:r>
        <w:t xml:space="preserve">8. References</w:t>
      </w:r>
    </w:p>
    <w:bookmarkStart w:id="67" w:name="refs"/>
    <w:bookmarkStart w:id="62" w:name="ref-leek2015"/>
    <w:p>
      <w:pPr>
        <w:pStyle w:val="Bibliography"/>
      </w:pPr>
      <w:r>
        <w:t xml:space="preserve">1.</w:t>
      </w:r>
      <w:r>
        <w:t xml:space="preserve"> </w:t>
      </w:r>
      <w:r>
        <w:t xml:space="preserve">	</w:t>
      </w:r>
      <w:r>
        <w:t xml:space="preserve">Leek JT, Peng RD.</w:t>
      </w:r>
      <w:r>
        <w:t xml:space="preserve"> </w:t>
      </w:r>
      <w:hyperlink r:id="rId61">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62"/>
    <w:bookmarkStart w:id="64" w:name="ref-mckay2020"/>
    <w:p>
      <w:pPr>
        <w:pStyle w:val="Bibliography"/>
      </w:pPr>
      <w:r>
        <w:t xml:space="preserve">2.</w:t>
      </w:r>
      <w:r>
        <w:t xml:space="preserve"> </w:t>
      </w:r>
      <w:r>
        <w:t xml:space="preserve">	</w:t>
      </w:r>
      <w:r>
        <w:t xml:space="preserve">McKay B, Ebell M, Billings WZ, et al.</w:t>
      </w:r>
      <w:r>
        <w:t xml:space="preserve"> </w:t>
      </w:r>
      <w:hyperlink r:id="rId63">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64"/>
    <w:bookmarkStart w:id="66" w:name="ref-mckay2020a"/>
    <w:p>
      <w:pPr>
        <w:pStyle w:val="Bibliography"/>
      </w:pPr>
      <w:r>
        <w:t xml:space="preserve">3.</w:t>
      </w:r>
      <w:r>
        <w:t xml:space="preserve"> </w:t>
      </w:r>
      <w:r>
        <w:t xml:space="preserve">	</w:t>
      </w:r>
      <w:r>
        <w:t xml:space="preserve">McKay B, Ebell M, Dale AP, et al.</w:t>
      </w:r>
      <w:r>
        <w:t xml:space="preserve"> </w:t>
      </w:r>
      <w:hyperlink r:id="rId65">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2025-04-26T02:37:34Z</dcterms:created>
  <dcterms:modified xsi:type="dcterms:W3CDTF">2025-04-26T02:37:34Z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