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29.png" ContentType="image/png"/>
  <Override PartName="/word/media/rId42.png" ContentType="image/png"/>
  <Override PartName="/word/media/rId56.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bookmarkEnd w:id="20"/>
    <w:bookmarkStart w:id="25" w:name="background"/>
    <w:p>
      <w:pPr>
        <w:pStyle w:val="Heading1"/>
      </w:pPr>
      <w:r>
        <w:t xml:space="preserve">2. Background</w:t>
      </w:r>
    </w:p>
    <w:p>
      <w:pPr>
        <w:pStyle w:val="FirstParagraph"/>
      </w:pPr>
      <w:r>
        <w:t xml:space="preserve">Malaria in pregnancy contributes substantially to maternal and neonatal morbidity and mortality across Sub‑Saharan Africa. Intermittent preventive treatment during pregnancy (IPTp) is recommended to reduce adverse birth outcomes, yet the comparative effectiveness of different regimens and how their impact varies with malaria burden remains unclear.</w:t>
      </w:r>
    </w:p>
    <w:bookmarkStart w:id="21" w:name="methods"/>
    <w:p>
      <w:pPr>
        <w:pStyle w:val="Heading2"/>
      </w:pPr>
      <w:r>
        <w:t xml:space="preserve">2.1 Methods</w:t>
      </w:r>
    </w:p>
    <w:p>
      <w:pPr>
        <w:pStyle w:val="FirstParagraph"/>
      </w:pPr>
      <w:r>
        <w:t xml:space="preserve">We conducted a secondary analysis of data from a double‑blind randomized controlled trial in Uganda (ClinEpiDB Release #24, August 30, 2022) involving 782 HIV‑uninfected pregnant women. Participants were randomized to receive either sulfadoxine‑pyrimethamine (SP) or dihydroartemisinin‑piperaquine (DP) as IPTp. Multivariable logistic regression was employed to evaluate (1) the main effects of cumulative malaria episodes and treatment arm on preterm birth, low birth weight, and stillbirth, and (2) the interaction between malaria frequency and IPTp regimen. Models adjusted for maternal age, gravidity, and socioeconomic status. A prespecified subgroup analysis in women &lt; 25 years assessed the effect of gravidity on outcomes.</w:t>
      </w:r>
    </w:p>
    <w:bookmarkEnd w:id="21"/>
    <w:bookmarkStart w:id="22" w:name="results"/>
    <w:p>
      <w:pPr>
        <w:pStyle w:val="Heading2"/>
      </w:pPr>
      <w:r>
        <w:t xml:space="preserve">2.2 Results</w:t>
      </w:r>
    </w:p>
    <w:p>
      <w:pPr>
        <w:pStyle w:val="FirstParagraph"/>
      </w:pP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underscoring the critical role of their interplay. Moreover, in the subgroup of women under 25 years, gravidity conferred significant protection: each additional pregnancy reduced the likelihood of an adverse outcome by 14% (OR 0.86 per gravidity, 95% CI 0.74–1.00; p = 0.044). These findings suggest that SP’s preventive efficacy diminishes with repeated malaria exposure and that higher parity provides resilience against adverse perinatal outcomes in younger mothers.</w:t>
      </w:r>
    </w:p>
    <w:bookmarkEnd w:id="22"/>
    <w:bookmarkStart w:id="23" w:name="conclusions"/>
    <w:p>
      <w:pPr>
        <w:pStyle w:val="Heading2"/>
      </w:pPr>
      <w:r>
        <w:t xml:space="preserve">2.3 Conclusions:</w:t>
      </w:r>
    </w:p>
    <w:p>
      <w:pPr>
        <w:pStyle w:val="FirstParagraph"/>
      </w:pPr>
      <w:r>
        <w:t xml:space="preserve">These results demonstrate that 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bookmarkEnd w:id="23"/>
    <w:bookmarkStart w:id="24" w:name="keywords"/>
    <w:p>
      <w:pPr>
        <w:pStyle w:val="Heading2"/>
      </w:pPr>
      <w:r>
        <w:t xml:space="preserve">2.4 Keywords:</w:t>
      </w:r>
    </w:p>
    <w:p>
      <w:pPr>
        <w:pStyle w:val="FirstParagraph"/>
      </w:pPr>
      <w:r>
        <w:rPr>
          <w:b/>
          <w:bCs/>
        </w:rPr>
        <w:t xml:space="preserve">Malaria, adverse birth outcomes, intermittent preventive treatment in pregnancy (IPTp), sulfadoxine‑pyrimethamine, dihydroartemisinin‑piperaqui</w:t>
      </w:r>
    </w:p>
    <w:p>
      <w:r>
        <w:br w:type="page"/>
      </w:r>
    </w:p>
    <w:bookmarkEnd w:id="24"/>
    <w:bookmarkEnd w:id="25"/>
    <w:bookmarkStart w:id="27" w:name="introductio"/>
    <w:p>
      <w:pPr>
        <w:pStyle w:val="Heading1"/>
      </w:pPr>
      <w:r>
        <w:t xml:space="preserve">3. Introductio</w:t>
      </w:r>
    </w:p>
    <w:bookmarkStart w:id="26" w:name="general-background-information"/>
    <w:p>
      <w:pPr>
        <w:pStyle w:val="Heading2"/>
      </w:pPr>
      <w:r>
        <w:t xml:space="preserve">3.1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6"/>
    <w:bookmarkEnd w:id="27"/>
    <w:bookmarkStart w:id="28" w:name="methods-1"/>
    <w:p>
      <w:pPr>
        <w:pStyle w:val="Heading1"/>
      </w:pPr>
      <w:r>
        <w:t xml:space="preserve">4.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8"/>
    <w:bookmarkStart w:id="41" w:name="statistical-analysis"/>
    <w:p>
      <w:pPr>
        <w:pStyle w:val="Heading1"/>
      </w:pPr>
      <w:r>
        <w:t xml:space="preserve">5. Statistical analysis</w:t>
      </w:r>
    </w:p>
    <w:bookmarkStart w:id="40" w:name="exploratorydescriptive-analyses"/>
    <w:p>
      <w:pPr>
        <w:pStyle w:val="Heading2"/>
      </w:pPr>
      <w:r>
        <w:t xml:space="preserve">5.1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pct" w:w="5000"/>
        <w:tblLayout w:type="fixed"/>
        <w:tblLook w:firstRow="0" w:lastRow="0" w:firstColumn="0" w:lastColumn="0" w:noHBand="0" w:noVBand="0" w:val="0000"/>
      </w:tblPr>
      <w:tblGrid>
        <w:gridCol w:w="7920"/>
      </w:tblGrid>
      <w:tr>
        <w:tc>
          <w:tcPr/>
          <w:bookmarkStart w:id="33" w:name="fig-table1"/>
          <w:p>
            <w:pPr>
              <w:pStyle w:val="Compact"/>
              <w:jc w:val="center"/>
            </w:pPr>
            <w:bookmarkStart w:id="32" w:name="fig-table1"/>
            <w:r>
              <w:drawing>
                <wp:inline>
                  <wp:extent cx="5334000" cy="5478945"/>
                  <wp:effectExtent b="0" l="0" r="0" t="0"/>
                  <wp:docPr descr="" title="" id="30" name="Picture"/>
                  <a:graphic>
                    <a:graphicData uri="http://schemas.openxmlformats.org/drawingml/2006/picture">
                      <pic:pic>
                        <pic:nvPicPr>
                          <pic:cNvPr descr="Images/Table1Baseline.png" id="31" name="Picture"/>
                          <pic:cNvPicPr>
                            <a:picLocks noChangeArrowheads="1" noChangeAspect="1"/>
                          </pic:cNvPicPr>
                        </pic:nvPicPr>
                        <pic:blipFill>
                          <a:blip r:embed="rId29"/>
                          <a:stretch>
                            <a:fillRect/>
                          </a:stretch>
                        </pic:blipFill>
                        <pic:spPr bwMode="auto">
                          <a:xfrm>
                            <a:off x="0" y="0"/>
                            <a:ext cx="5334000" cy="5478945"/>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35" name="Picture"/>
            <a:graphic>
              <a:graphicData uri="http://schemas.openxmlformats.org/drawingml/2006/picture">
                <pic:pic>
                  <pic:nvPicPr>
                    <pic:cNvPr descr="Manuscript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8" name="Picture"/>
            <a:graphic>
              <a:graphicData uri="http://schemas.openxmlformats.org/drawingml/2006/picture">
                <pic:pic>
                  <pic:nvPicPr>
                    <pic:cNvPr descr="Manuscript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40"/>
    <w:bookmarkEnd w:id="41"/>
    <w:bookmarkStart w:id="60" w:name="results-1"/>
    <w:p>
      <w:pPr>
        <w:pStyle w:val="Heading1"/>
      </w:pPr>
      <w:r>
        <w:t xml:space="preserve">6. Results</w:t>
      </w:r>
    </w:p>
    <w:bookmarkStart w:id="59" w:name="basic-statistical-analysis"/>
    <w:p>
      <w:pPr>
        <w:pStyle w:val="Heading2"/>
      </w:pPr>
      <w:r>
        <w:t xml:space="preserve">6.1 Basic statistical analysis</w:t>
      </w:r>
    </w:p>
    <w:p>
      <w:pPr>
        <w:pStyle w:val="FirstParagraph"/>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43" name="Picture"/>
            <a:graphic>
              <a:graphicData uri="http://schemas.openxmlformats.org/drawingml/2006/picture">
                <pic:pic>
                  <pic:nvPicPr>
                    <pic:cNvPr descr="Images/Table4Interaction.png" id="44" name="Picture"/>
                    <pic:cNvPicPr>
                      <a:picLocks noChangeArrowheads="1" noChangeAspect="1"/>
                    </pic:cNvPicPr>
                  </pic:nvPicPr>
                  <pic:blipFill>
                    <a:blip r:embed="rId42"/>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tbl>
      <w:tblPr>
        <w:tblStyle w:val="Table"/>
        <w:tblW w:type="pct" w:w="5000"/>
        <w:tblLayout w:type="fixed"/>
        <w:tblLook w:firstRow="0" w:lastRow="0" w:firstColumn="0" w:lastColumn="0" w:noHBand="0" w:noVBand="0" w:val="0000"/>
      </w:tblPr>
      <w:tblGrid>
        <w:gridCol w:w="7920"/>
      </w:tblGrid>
      <w:tr>
        <w:tc>
          <w:tcPr/>
          <w:bookmarkStart w:id="49" w:name="fig-adjusted-u25"/>
          <w:p>
            <w:pPr>
              <w:pStyle w:val="Compact"/>
              <w:jc w:val="center"/>
            </w:pPr>
            <w:bookmarkStart w:id="48" w:name="fig-adjusted-u25"/>
            <w:r>
              <w:drawing>
                <wp:inline>
                  <wp:extent cx="5334000" cy="1511948"/>
                  <wp:effectExtent b="0" l="0" r="0" t="0"/>
                  <wp:docPr descr="" title="" id="46" name="Picture"/>
                  <a:graphic>
                    <a:graphicData uri="http://schemas.openxmlformats.org/drawingml/2006/picture">
                      <pic:pic>
                        <pic:nvPicPr>
                          <pic:cNvPr descr="Images/AdjustedRatio.png" id="47" name="Picture"/>
                          <pic:cNvPicPr>
                            <a:picLocks noChangeArrowheads="1" noChangeAspect="1"/>
                          </pic:cNvPicPr>
                        </pic:nvPicPr>
                        <pic:blipFill>
                          <a:blip r:embed="rId45"/>
                          <a:stretch>
                            <a:fillRect/>
                          </a:stretch>
                        </pic:blipFill>
                        <pic:spPr bwMode="auto">
                          <a:xfrm>
                            <a:off x="0" y="0"/>
                            <a:ext cx="5334000" cy="1511948"/>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p>
      <w:pPr>
        <w:pStyle w:val="BodyText"/>
      </w:pPr>
      <w:r>
        <w:t xml:space="preserve"> </w:t>
      </w:r>
      <w:r>
        <w:t xml:space="preserve"> </w:t>
      </w:r>
      <w:r>
        <w:t xml:space="preserve"> </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51" name="Picture"/>
            <a:graphic>
              <a:graphicData uri="http://schemas.openxmlformats.org/drawingml/2006/picture">
                <pic:pic>
                  <pic:nvPicPr>
                    <pic:cNvPr descr="Images/Figure%203.%20Predicted%20Probability.png" id="52" name="Picture"/>
                    <pic:cNvPicPr>
                      <a:picLocks noChangeArrowheads="1" noChangeAspect="1"/>
                    </pic:cNvPicPr>
                  </pic:nvPicPr>
                  <pic:blipFill>
                    <a:blip r:embed="rId50"/>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Based on our findings, the impact of malaria on adverse birth outcomes is significantly modified by the IPTp regimen, with a distinct interaction effect observed for the SP regimen. Additionally, increased gravidity appears to offer a protective benefit, particularly among women under 25 years. Detailed results supporting these observations are presented in Tables 3–6 and Figures 1–3.</w:t>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54" name="Picture"/>
            <a:graphic>
              <a:graphicData uri="http://schemas.openxmlformats.org/drawingml/2006/picture">
                <pic:pic>
                  <pic:nvPicPr>
                    <pic:cNvPr descr="Images/Figure%204.Comparative%20Discriminative%20Performance%20of%20ML%20.png" id="55" name="Picture"/>
                    <pic:cNvPicPr>
                      <a:picLocks noChangeArrowheads="1" noChangeAspect="1"/>
                    </pic:cNvPicPr>
                  </pic:nvPicPr>
                  <pic:blipFill>
                    <a:blip r:embed="rId53"/>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57" name="Picture"/>
            <a:graphic>
              <a:graphicData uri="http://schemas.openxmlformats.org/drawingml/2006/picture">
                <pic:pic>
                  <pic:nvPicPr>
                    <pic:cNvPr descr="Images/Table6.Discriminative%20Performance%20(AUC)%20of%20ML%20Models.png" id="58" name="Picture"/>
                    <pic:cNvPicPr>
                      <a:picLocks noChangeArrowheads="1" noChangeAspect="1"/>
                    </pic:cNvPicPr>
                  </pic:nvPicPr>
                  <pic:blipFill>
                    <a:blip r:embed="rId56"/>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9"/>
    <w:bookmarkEnd w:id="60"/>
    <w:bookmarkStart w:id="65" w:name="discussion"/>
    <w:p>
      <w:pPr>
        <w:pStyle w:val="Heading1"/>
      </w:pPr>
      <w:r>
        <w:t xml:space="preserve">7. Discussion</w:t>
      </w:r>
    </w:p>
    <w:p>
      <w:pPr>
        <w:pStyle w:val="FirstParagraph"/>
      </w:pPr>
      <w:r>
        <w:t xml:space="preserve">Our data analysis from a randomized controlled trial in Uganda provides important insights into the interplay between malaria exposure, IPTp regimen, and adverse birth outcomes. Specifically, our findings reveal that while the individual effects of total malaria episodes and the treatment arm were not statistically significant, the interaction between malaria episodes and the SP regimen significantly increased the risk of adverse outcomes. Additionally, increased gravidity emerged as a robust protective factor, particularly among pregnant women under 25 years, with each additional pregnancy associated with a roughly 14% reduction in risk.</w:t>
      </w:r>
    </w:p>
    <w:p>
      <w:pPr>
        <w:pStyle w:val="BodyText"/>
      </w:pPr>
      <w:r>
        <w:t xml:space="preserve">These results align with previous studies that have highlighted the complex relationship between maternal characteristics and malaria-related complications during pregnancy. For example, similar protective effects of gravidity have been reported in the literature (Chua et al., 2021), and emerging evidence suggests that the efficacy of IPTp regimens may vary depending on the context and specific treatment used (Talapko et al., 2019 World Health Organization, 2023). Our findings extend these observations by demonstrating that the SP regimen, in particular, modifies the impact of malaria exposure on birth outcomes, emphasizing the need for tailored malaria prevention strategies.</w:t>
      </w:r>
    </w:p>
    <w:p>
      <w:pPr>
        <w:pStyle w:val="BodyText"/>
      </w:pPr>
      <w:r>
        <w:t xml:space="preserve">However, our study has several limitations. First, the data were derived from a controlled trial setting, which may limit the generalizability of the findings to broader, real-world populations. Second, the necessity to exclude or impute variables with significant missing data could have influenced the robustness of our estimates. Third, the modest discriminative ability of our models reflected in ROC curves with AUC values near 0.55–0.60 suggests that additional, unmeasured factors might contribute to adverse birth outcomes.</w:t>
      </w:r>
    </w:p>
    <w:p>
      <w:pPr>
        <w:pStyle w:val="BodyText"/>
      </w:pPr>
      <w:r>
        <w:t xml:space="preserve">Despite these limitations, our study offers valuable contributions to the field. The evidence that IPTp regimen choice can modify the relationship between malaria episodes and adverse birth outcomes, along with the protective role of gravidity, underscores the importance of developing more personalized intervention strategies. Future research should aim to validate these findings in more diverse settings and explore other potential determinants of maternal and neonatal health in malaria-endemic regions.</w:t>
      </w:r>
    </w:p>
    <w:p>
      <w:pPr>
        <w:pStyle w:val="BodyText"/>
      </w:pPr>
      <w:r>
        <w:t xml:space="preserve">In summary, our findings advocate for a nuanced approach to malaria prevention in pregnancy that considers both the specific IPTp regimen and individual maternal reproductive history. Such tailored strategies have the potential to substantially improve maternal and neonatal health outcomes in regions where malaria remains a significant public health challenge.</w:t>
      </w:r>
    </w:p>
    <w:bookmarkStart w:id="61" w:name="summary-and-interpretation"/>
    <w:p>
      <w:pPr>
        <w:pStyle w:val="Heading2"/>
      </w:pPr>
      <w:r>
        <w:t xml:space="preserve">7.1 Summary and Interpretation</w:t>
      </w:r>
    </w:p>
    <w:p>
      <w:pPr>
        <w:pStyle w:val="FirstParagraph"/>
      </w:pPr>
      <w:r>
        <w:rPr>
          <w:i/>
          <w:iCs/>
        </w:rPr>
        <w:t xml:space="preserve">Summarize what you did, what you found and what it means.</w:t>
      </w:r>
    </w:p>
    <w:bookmarkEnd w:id="61"/>
    <w:bookmarkStart w:id="62" w:name="strengths-and-limitations"/>
    <w:p>
      <w:pPr>
        <w:pStyle w:val="Heading2"/>
      </w:pPr>
      <w:r>
        <w:t xml:space="preserve">7.2 Strengths and Limitations</w:t>
      </w:r>
    </w:p>
    <w:p>
      <w:pPr>
        <w:pStyle w:val="FirstParagraph"/>
      </w:pPr>
      <w:r>
        <w:rPr>
          <w:i/>
          <w:iCs/>
        </w:rPr>
        <w:t xml:space="preserve">Discuss what you perceive as strengths and limitations of your analysis.</w:t>
      </w:r>
    </w:p>
    <w:bookmarkEnd w:id="62"/>
    <w:bookmarkStart w:id="64" w:name="conclusions-1"/>
    <w:p>
      <w:pPr>
        <w:pStyle w:val="Heading2"/>
      </w:pPr>
      <w:r>
        <w:t xml:space="preserve">7.3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3">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4"/>
    <w:bookmarkEnd w:id="65"/>
    <w:bookmarkStart w:id="73" w:name="references"/>
    <w:p>
      <w:pPr>
        <w:pStyle w:val="Heading1"/>
      </w:pPr>
      <w:r>
        <w:t xml:space="preserve">8. References</w:t>
      </w:r>
    </w:p>
    <w:bookmarkStart w:id="72" w:name="refs"/>
    <w:bookmarkStart w:id="67" w:name="ref-leek2015"/>
    <w:p>
      <w:pPr>
        <w:pStyle w:val="Bibliography"/>
      </w:pPr>
      <w:r>
        <w:t xml:space="preserve">1.</w:t>
      </w:r>
      <w:r>
        <w:t xml:space="preserve"> </w:t>
      </w:r>
      <w:r>
        <w:t xml:space="preserve">	</w:t>
      </w:r>
      <w:r>
        <w:t xml:space="preserve">Leek JT, Peng RD.</w:t>
      </w:r>
      <w:r>
        <w:t xml:space="preserve"> </w:t>
      </w:r>
      <w:hyperlink r:id="rId6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7"/>
    <w:bookmarkStart w:id="69" w:name="ref-mckay2020"/>
    <w:p>
      <w:pPr>
        <w:pStyle w:val="Bibliography"/>
      </w:pPr>
      <w:r>
        <w:t xml:space="preserve">2.</w:t>
      </w:r>
      <w:r>
        <w:t xml:space="preserve"> </w:t>
      </w:r>
      <w:r>
        <w:t xml:space="preserve">	</w:t>
      </w:r>
      <w:r>
        <w:t xml:space="preserve">McKay B, Ebell M, Billings WZ, et al.</w:t>
      </w:r>
      <w:r>
        <w:t xml:space="preserve"> </w:t>
      </w:r>
      <w:hyperlink r:id="rId68">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9"/>
    <w:bookmarkStart w:id="71" w:name="ref-mckay2020a"/>
    <w:p>
      <w:pPr>
        <w:pStyle w:val="Bibliography"/>
      </w:pPr>
      <w:r>
        <w:t xml:space="preserve">3.</w:t>
      </w:r>
      <w:r>
        <w:t xml:space="preserve"> </w:t>
      </w:r>
      <w:r>
        <w:t xml:space="preserve">	</w:t>
      </w:r>
      <w:r>
        <w:t xml:space="preserve">McKay B, Ebell M, Dale AP, et al.</w:t>
      </w:r>
      <w:r>
        <w:t xml:space="preserve"> </w:t>
      </w:r>
      <w:hyperlink r:id="rId70">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68" Target="https://doi.org/10.1093/ofid/ofaa494" TargetMode="External" /><Relationship Type="http://schemas.openxmlformats.org/officeDocument/2006/relationships/hyperlink" Id="rId70" Target="https://doi.org/10.1098/rspb.2020.0496" TargetMode="External" /><Relationship Type="http://schemas.openxmlformats.org/officeDocument/2006/relationships/hyperlink" Id="rId66" Target="https://doi.org/10.1126/science.aaa6146" TargetMode="External" /><Relationship Type="http://schemas.openxmlformats.org/officeDocument/2006/relationships/hyperlink" Id="rId6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93/ofid/ofaa494" TargetMode="External" /><Relationship Type="http://schemas.openxmlformats.org/officeDocument/2006/relationships/hyperlink" Id="rId70" Target="https://doi.org/10.1098/rspb.2020.0496" TargetMode="External" /><Relationship Type="http://schemas.openxmlformats.org/officeDocument/2006/relationships/hyperlink" Id="rId66" Target="https://doi.org/10.1126/science.aaa6146" TargetMode="External" /><Relationship Type="http://schemas.openxmlformats.org/officeDocument/2006/relationships/hyperlink" Id="rId6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2025-04-25T13:27:02Z</dcterms:created>
  <dcterms:modified xsi:type="dcterms:W3CDTF">2025-04-25T13:27:02Z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