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50.png" ContentType="image/png"/>
  <Override PartName="/word/media/rId41.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Adjusting for maternal age, gravidity, and socioeconomic status, our multivariable models revealed a significant interaction between malaria episode frequency and the SP regimen (OR 1.47 per additional episode, 95% CI 1.16–1.88; p = 0.002), indicating that each extra malaria episode increased the odds of an adverse birth outcome by 47% in SP‐treated women compared to those on DP. In contrast, neither malaria burden alone (OR 0.88 per episode, 95% CI 0.75–1.03; p = 0.12) nor treatment arm alone (OR 0.69 for DP vs SP, 95% CI 0.44–1.08; p = 0.10) reached significance, underscoring the importance of their interplay. In women under 25, each additional pregnancy conferred a 14% reduction in adverse‐outcome risk (OR 0.86, 95% CI 0.74–1.00; p = 0.044). The interaction model calibrated well (Hosmer–Lemeshow p = 0.37; MAE = 0.03), and on the held-out test set, the AUCs were 0.48 for logistic regression, 0.42 for the random forest, 0.44 for XGBoost, and 0.49 for the elastic net.</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4" w:name="results"/>
    <w:p>
      <w:pPr>
        <w:pStyle w:val="Heading1"/>
      </w:pPr>
      <w:r>
        <w:t xml:space="preserve">5. Results</w:t>
      </w:r>
    </w:p>
    <w:bookmarkStart w:id="53"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2" name="Picture"/>
            <a:graphic>
              <a:graphicData uri="http://schemas.openxmlformats.org/drawingml/2006/picture">
                <pic:pic>
                  <pic:nvPicPr>
                    <pic:cNvPr descr="Images/Figure5Calibration.png" id="43" name="Picture"/>
                    <pic:cNvPicPr>
                      <a:picLocks noChangeArrowheads="1" noChangeAspect="1"/>
                    </pic:cNvPicPr>
                  </pic:nvPicPr>
                  <pic:blipFill>
                    <a:blip r:embed="rId41"/>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5" name="Picture"/>
            <a:graphic>
              <a:graphicData uri="http://schemas.openxmlformats.org/drawingml/2006/picture">
                <pic:pic>
                  <pic:nvPicPr>
                    <pic:cNvPr descr="Images/Figure%203.%20Predicted%20Probability.png" id="46" name="Picture"/>
                    <pic:cNvPicPr>
                      <a:picLocks noChangeArrowheads="1" noChangeAspect="1"/>
                    </pic:cNvPicPr>
                  </pic:nvPicPr>
                  <pic:blipFill>
                    <a:blip r:embed="rId44"/>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848625" cy="3019825"/>
            <wp:effectExtent b="0" l="0" r="0" t="0"/>
            <wp:docPr descr="" title="" id="51" name="Picture"/>
            <a:graphic>
              <a:graphicData uri="http://schemas.openxmlformats.org/drawingml/2006/picture">
                <pic:pic>
                  <pic:nvPicPr>
                    <pic:cNvPr descr="Images/Figure%204.Comparative%20Discriminative%20Performance%20of%20ML%20.png" id="52" name="Picture"/>
                    <pic:cNvPicPr>
                      <a:picLocks noChangeArrowheads="1" noChangeAspect="1"/>
                    </pic:cNvPicPr>
                  </pic:nvPicPr>
                  <pic:blipFill>
                    <a:blip r:embed="rId50"/>
                    <a:stretch>
                      <a:fillRect/>
                    </a:stretch>
                  </pic:blipFill>
                  <pic:spPr bwMode="auto">
                    <a:xfrm>
                      <a:off x="0" y="0"/>
                      <a:ext cx="4848625" cy="3019825"/>
                    </a:xfrm>
                    <a:prstGeom prst="rect">
                      <a:avLst/>
                    </a:prstGeom>
                    <a:noFill/>
                    <a:ln w="9525">
                      <a:noFill/>
                      <a:headEnd/>
                      <a:tailEnd/>
                    </a:ln>
                  </pic:spPr>
                </pic:pic>
              </a:graphicData>
            </a:graphic>
          </wp:inline>
        </w:drawing>
      </w:r>
    </w:p>
    <w:p>
      <w:r>
        <w:br w:type="page"/>
      </w:r>
    </w:p>
    <w:bookmarkEnd w:id="53"/>
    <w:bookmarkEnd w:id="54"/>
    <w:bookmarkStart w:id="58" w:name="discussion"/>
    <w:p>
      <w:pPr>
        <w:pStyle w:val="Heading1"/>
      </w:pPr>
      <w:r>
        <w:t xml:space="preserve">6. Discussion</w:t>
      </w:r>
    </w:p>
    <w:p>
      <w:pPr>
        <w:pStyle w:val="FirstParagraph"/>
      </w:pPr>
      <w:r>
        <w:t xml:space="preserve">Our analysis from a randomized controlled trial in Uganda illuminates three key findings. First, although total malaria episodes and IPTp regimen alone did not predict adverse birth outcomes, their interaction was highly significant. Each additional malaria episode under sulfadoxine-pyrimethamine (SP) conferred 47% higher odds of a composite adverse outcome than dihydroartemisinin-piperaquine (DP). Second, in women under 25 years, gravidity emerged as the sole significant predictor, with each additional pregnancy reducing the odds of an adverse outcome by 14%. Finally, our machine‐learning pipeline, comparing logistic regression, random forest, XGBoost, and elastic net, demonstrated uniformly poor discrimination (AUCs 0.42–0.49), underscoring that routinely collected demographic and clinical variables alone cannot predict individual risk.</w:t>
      </w:r>
    </w:p>
    <w:p>
      <w:pPr>
        <w:pStyle w:val="BodyText"/>
      </w:pPr>
      <w:r>
        <w:t xml:space="preserve">These results extend prior work on malaria in pregnancy. The protective effect of higher gravidity aligns with studies suggesting that physiologic adaptations and improved immune tolerance in multiparous women reduce placental parasite sequestration and its sequelae (Chua et al., 2021). Likewise, emerging evidence indicates that SP’s efficacy may wane as malaria exposure increases, potentially due to rising parasite resistance or immune modulation (Talapko et al., 2019; World Health Organization, 2023). By explicitly modeling the interaction between episodes and regimen, we demonstrate that SP’s preventive benefit diminishes sharply with each successive infection, an effect not captured when examining the main effects alone.</w:t>
      </w:r>
    </w:p>
    <w:p>
      <w:pPr>
        <w:pStyle w:val="BodyText"/>
      </w:pPr>
      <w:r>
        <w:t xml:space="preserve">From a public health standpoint, these findings argue for tailoring IPTp strategies to individual risk profiles. In high‐transmission settings, women receiving SP who experience multiple breakthrough infections may benefit from switching to DP or augmenting chemoprevention with additional interventions (e.g., enhanced screening, bed‐net distribution). Moreover, gravidity should inform risk stratification: primigravidae and secundigravidae under 25 years represent a particularly vulnerable group that might warrant closer monitoring or more aggressive prevention.</w:t>
      </w:r>
    </w:p>
    <w:bookmarkStart w:id="55" w:name="implications-for-policy-and-practice"/>
    <w:p>
      <w:pPr>
        <w:pStyle w:val="Heading2"/>
      </w:pPr>
      <w:r>
        <w:t xml:space="preserve">6.1 Implications for Policy and Practice</w:t>
      </w:r>
    </w:p>
    <w:p>
      <w:pPr>
        <w:pStyle w:val="FirstParagraph"/>
      </w:pPr>
      <w:r>
        <w:t xml:space="preserve">Our findings suggest that IPTp guidelines should move beyond a one‐size‐fits‐all approach and be tailored to individual risk profiles, incorporating both infection history and parity. In particular, women who experience recurrent malaria episodes while on sulfadoxine-pyrimethamine may benefit from a switch to dihydroartemisinin-piperaquine, alongside intensified screening and reinforced distribution of insecticide-treated bed nets. Moreover, primigravidae and secundigravidae, especially those under 25, represent a high‐risk subgroup that warrants closer antenatal monitoring and additional support services. Finally, to develop clinically actionable risk stratification tools, future predictive efforts must extend beyond demographic and basic clinical variables by integrating immunologic biomarkers and placental histopathology data.</w:t>
      </w:r>
    </w:p>
    <w:bookmarkEnd w:id="55"/>
    <w:bookmarkStart w:id="56"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6"/>
    <w:bookmarkStart w:id="57"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p>
      <w:pPr>
        <w:pStyle w:val="BodyText"/>
      </w:pPr>
      <w:r>
        <w:t xml:space="preserve"> </w:t>
      </w:r>
      <w:r>
        <w:t xml:space="preserve"> </w:t>
      </w:r>
      <w:r>
        <w:t xml:space="preserve"> </w:t>
      </w:r>
    </w:p>
    <w:bookmarkEnd w:id="57"/>
    <w:bookmarkEnd w:id="58"/>
    <w:bookmarkStart w:id="60" w:name="remove-section"/>
    <w:p>
      <w:pPr>
        <w:pStyle w:val="Heading1"/>
      </w:pPr>
      <w:r>
        <w:t xml:space="preserve">7. Remove Section</w:t>
      </w:r>
    </w:p>
    <w:p>
      <w:pPr>
        <w:pStyle w:val="FirstParagraph"/>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60"/>
    <w:bookmarkStart w:id="68" w:name="references"/>
    <w:p>
      <w:pPr>
        <w:pStyle w:val="Heading1"/>
      </w:pPr>
      <w:r>
        <w:t xml:space="preserve">8. References</w:t>
      </w:r>
    </w:p>
    <w:bookmarkStart w:id="67" w:name="refs"/>
    <w:bookmarkStart w:id="62" w:name="ref-leek2015"/>
    <w:p>
      <w:pPr>
        <w:pStyle w:val="Bibliography"/>
      </w:pPr>
      <w:r>
        <w:t xml:space="preserve">1.</w:t>
      </w:r>
      <w:r>
        <w:t xml:space="preserve"> </w:t>
      </w:r>
      <w:r>
        <w:t xml:space="preserve">	</w:t>
      </w:r>
      <w:r>
        <w:t xml:space="preserve">Leek JT, Peng RD.</w:t>
      </w:r>
      <w:r>
        <w:t xml:space="preserve"> </w:t>
      </w:r>
      <w:hyperlink r:id="rId6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2"/>
    <w:bookmarkStart w:id="64" w:name="ref-mckay2020"/>
    <w:p>
      <w:pPr>
        <w:pStyle w:val="Bibliography"/>
      </w:pPr>
      <w:r>
        <w:t xml:space="preserve">2.</w:t>
      </w:r>
      <w:r>
        <w:t xml:space="preserve"> </w:t>
      </w:r>
      <w:r>
        <w:t xml:space="preserve">	</w:t>
      </w:r>
      <w:r>
        <w:t xml:space="preserve">McKay B, Ebell M, Billings WZ, et al.</w:t>
      </w:r>
      <w:r>
        <w:t xml:space="preserve"> </w:t>
      </w:r>
      <w:hyperlink r:id="rId6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4"/>
    <w:bookmarkStart w:id="66" w:name="ref-mckay2020a"/>
    <w:p>
      <w:pPr>
        <w:pStyle w:val="Bibliography"/>
      </w:pPr>
      <w:r>
        <w:t xml:space="preserve">3.</w:t>
      </w:r>
      <w:r>
        <w:t xml:space="preserve"> </w:t>
      </w:r>
      <w:r>
        <w:t xml:space="preserve">	</w:t>
      </w:r>
      <w:r>
        <w:t xml:space="preserve">McKay B, Ebell M, Dale AP, et al.</w:t>
      </w:r>
      <w:r>
        <w:t xml:space="preserve"> </w:t>
      </w:r>
      <w:hyperlink r:id="rId6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93/ofid/ofaa494" TargetMode="External" /><Relationship Type="http://schemas.openxmlformats.org/officeDocument/2006/relationships/hyperlink" Id="rId65" Target="https://doi.org/10.1098/rspb.2020.0496" TargetMode="External" /><Relationship Type="http://schemas.openxmlformats.org/officeDocument/2006/relationships/hyperlink" Id="rId61" Target="https://doi.org/10.1126/science.aaa6146" TargetMode="External" /><Relationship Type="http://schemas.openxmlformats.org/officeDocument/2006/relationships/hyperlink" Id="rId5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2025-04-26T02:41:54Z</dcterms:created>
  <dcterms:modified xsi:type="dcterms:W3CDTF">2025-04-26T02:41:54Z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