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50.png" ContentType="image/png"/>
  <Override PartName="/word/media/rId41.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Adjusting for maternal age, gravidity, and socioeconomic status, our multivariable models revealed a significant interaction between malaria episode frequency and the SP regimen (OR 1.47 per additional episode, 95% CI 1.16–1.88; p = 0.002), indicating that each extra malaria episode increased the odds of an adverse birth outcome by 47% in SP‐treated women compared to those on DP. In contrast, neither malaria burden alone (OR 0.88 per episode, 95% CI 0.75–1.03; p = 0.12) nor treatment arm alone (OR 0.69 for DP vs SP, 95% CI 0.44–1.08; p = 0.10) reached significance, underscoring the importance of their interplay. In women under 25, each additional pregnancy conferred a 14% reduction in adverse‐outcome risk (OR 0.86, 95% CI 0.74–1.00; p = 0.044). The interaction model calibrated well (Hosmer–Lemeshow p = 0.37; MAE = 0.03), and on the held-out test set, the AUCs were 0.48 for logistic regression, 0.42 for the random forest, 0.44 for XGBoost, and 0.49 for the elastic net.</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4" w:name="results"/>
    <w:p>
      <w:pPr>
        <w:pStyle w:val="Heading1"/>
      </w:pPr>
      <w:r>
        <w:t xml:space="preserve">5. Results</w:t>
      </w:r>
    </w:p>
    <w:bookmarkStart w:id="53"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2" name="Picture"/>
            <a:graphic>
              <a:graphicData uri="http://schemas.openxmlformats.org/drawingml/2006/picture">
                <pic:pic>
                  <pic:nvPicPr>
                    <pic:cNvPr descr="Images/Figure5Calibration.png" id="43" name="Picture"/>
                    <pic:cNvPicPr>
                      <a:picLocks noChangeArrowheads="1" noChangeAspect="1"/>
                    </pic:cNvPicPr>
                  </pic:nvPicPr>
                  <pic:blipFill>
                    <a:blip r:embed="rId41"/>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5" name="Picture"/>
            <a:graphic>
              <a:graphicData uri="http://schemas.openxmlformats.org/drawingml/2006/picture">
                <pic:pic>
                  <pic:nvPicPr>
                    <pic:cNvPr descr="Images/Figure%203.%20Predicted%20Probability.png" id="46" name="Picture"/>
                    <pic:cNvPicPr>
                      <a:picLocks noChangeArrowheads="1" noChangeAspect="1"/>
                    </pic:cNvPicPr>
                  </pic:nvPicPr>
                  <pic:blipFill>
                    <a:blip r:embed="rId44"/>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848625" cy="3019825"/>
            <wp:effectExtent b="0" l="0" r="0" t="0"/>
            <wp:docPr descr="" title="" id="51" name="Picture"/>
            <a:graphic>
              <a:graphicData uri="http://schemas.openxmlformats.org/drawingml/2006/picture">
                <pic:pic>
                  <pic:nvPicPr>
                    <pic:cNvPr descr="Images/Figure%204.Comparative%20Discriminative%20Performance%20of%20ML%20.png" id="52" name="Picture"/>
                    <pic:cNvPicPr>
                      <a:picLocks noChangeArrowheads="1" noChangeAspect="1"/>
                    </pic:cNvPicPr>
                  </pic:nvPicPr>
                  <pic:blipFill>
                    <a:blip r:embed="rId50"/>
                    <a:stretch>
                      <a:fillRect/>
                    </a:stretch>
                  </pic:blipFill>
                  <pic:spPr bwMode="auto">
                    <a:xfrm>
                      <a:off x="0" y="0"/>
                      <a:ext cx="4848625" cy="3019825"/>
                    </a:xfrm>
                    <a:prstGeom prst="rect">
                      <a:avLst/>
                    </a:prstGeom>
                    <a:noFill/>
                    <a:ln w="9525">
                      <a:noFill/>
                      <a:headEnd/>
                      <a:tailEnd/>
                    </a:ln>
                  </pic:spPr>
                </pic:pic>
              </a:graphicData>
            </a:graphic>
          </wp:inline>
        </w:drawing>
      </w:r>
    </w:p>
    <w:p>
      <w:r>
        <w:br w:type="page"/>
      </w:r>
    </w:p>
    <w:bookmarkEnd w:id="53"/>
    <w:bookmarkEnd w:id="54"/>
    <w:bookmarkStart w:id="58"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bookmarkStart w:id="55" w:name="implications-for-policy-and-practice"/>
    <w:p>
      <w:pPr>
        <w:pStyle w:val="Heading2"/>
      </w:pPr>
      <w:r>
        <w:t xml:space="preserve">6.1 Implications for Policy and Practice</w:t>
      </w:r>
    </w:p>
    <w:p>
      <w:pPr>
        <w:pStyle w:val="FirstParagraph"/>
      </w:pPr>
      <w:r>
        <w:t xml:space="preserve">Our findings suggest that IPTp guidelines should move beyond a one‐size‐fits‐all approach and be tailored to individual risk profiles, incorporating both infection history and parity. In particular, women who experience recurrent malaria episodes while on sulfadoxine-pyrimethamine may benefit from a switch to dihydroartemisinin-piperaquine, alongside intensified screening and reinforced distribution of insecticide-treated bed nets. Moreover, primigravidae and secundigravidae, especially those under 25, represent a high‐risk subgroup that warrants closer antenatal monitoring and additional support services. Finally, to develop clinically actionable risk stratification tools, future predictive efforts must extend beyond demographic and basic clinical variables by integrating immunologic biomarkers and placental histopathology data.</w:t>
      </w:r>
    </w:p>
    <w:bookmarkEnd w:id="55"/>
    <w:bookmarkStart w:id="56" w:name="strengths-and-limitations"/>
    <w:p>
      <w:pPr>
        <w:pStyle w:val="Heading2"/>
      </w:pPr>
      <w:r>
        <w:t xml:space="preserve">6.2 Strengths and Limitations</w:t>
      </w:r>
    </w:p>
    <w:p>
      <w:pPr>
        <w:pStyle w:val="FirstParagraph"/>
      </w:pPr>
      <w:r>
        <w:rPr>
          <w:b/>
          <w:bCs/>
        </w:rPr>
        <w:t xml:space="preserve">Strengths</w:t>
      </w:r>
      <w:r>
        <w:t xml:space="preserve"> </w:t>
      </w: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r>
        <w:t xml:space="preserve"> </w:t>
      </w: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6"/>
    <w:bookmarkStart w:id="57"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bookmarkEnd w:id="57"/>
    <w:bookmarkEnd w:id="58"/>
    <w:bookmarkStart w:id="60"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0"/>
    <w:bookmarkStart w:id="68" w:name="references"/>
    <w:p>
      <w:pPr>
        <w:pStyle w:val="Heading1"/>
      </w:pPr>
      <w:r>
        <w:t xml:space="preserve">8. References</w:t>
      </w:r>
    </w:p>
    <w:bookmarkStart w:id="67" w:name="refs"/>
    <w:bookmarkStart w:id="62" w:name="ref-leek2015"/>
    <w:p>
      <w:pPr>
        <w:pStyle w:val="Bibliography"/>
      </w:pPr>
      <w:r>
        <w:t xml:space="preserve">1.</w:t>
      </w:r>
      <w:r>
        <w:t xml:space="preserve"> </w:t>
      </w:r>
      <w:r>
        <w:t xml:space="preserve">	</w:t>
      </w:r>
      <w:r>
        <w:t xml:space="preserve">Leek JT, Peng RD.</w:t>
      </w:r>
      <w:r>
        <w:t xml:space="preserve"> </w:t>
      </w:r>
      <w:hyperlink r:id="rId6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2"/>
    <w:bookmarkStart w:id="64" w:name="ref-mckay2020"/>
    <w:p>
      <w:pPr>
        <w:pStyle w:val="Bibliography"/>
      </w:pPr>
      <w:r>
        <w:t xml:space="preserve">2.</w:t>
      </w:r>
      <w:r>
        <w:t xml:space="preserve"> </w:t>
      </w:r>
      <w:r>
        <w:t xml:space="preserve">	</w:t>
      </w:r>
      <w:r>
        <w:t xml:space="preserve">McKay B, Ebell M, Billings WZ, et al.</w:t>
      </w:r>
      <w:r>
        <w:t xml:space="preserve"> </w:t>
      </w:r>
      <w:hyperlink r:id="rId6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4"/>
    <w:bookmarkStart w:id="66" w:name="ref-mckay2020a"/>
    <w:p>
      <w:pPr>
        <w:pStyle w:val="Bibliography"/>
      </w:pPr>
      <w:r>
        <w:t xml:space="preserve">3.</w:t>
      </w:r>
      <w:r>
        <w:t xml:space="preserve"> </w:t>
      </w:r>
      <w:r>
        <w:t xml:space="preserve">	</w:t>
      </w:r>
      <w:r>
        <w:t xml:space="preserve">McKay B, Ebell M, Dale AP, et al.</w:t>
      </w:r>
      <w:r>
        <w:t xml:space="preserve"> </w:t>
      </w:r>
      <w:hyperlink r:id="rId6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2025-04-26T02:34:04Z</dcterms:created>
  <dcterms:modified xsi:type="dcterms:W3CDTF">2025-04-26T02:34:04Z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