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t xml:space="preserve">Malaria remains a critical public health challenge in Sub-Saharan Africa, with pregnant women at heightened risk of adverse outcomes. This study analyzed data from a double-blind randomized controlled trial in Uganda (ClinEpiDB Release #24, August 30, 2022) to evaluate the impact of intermittent preventive treatment during pregnancy (IPTp) on adverse birth outcomes. A total of 782 HIV-uninfected pregnant women received either sulfadoxine-pyrimethamine (SP) or dihydroartemisinin-piperaquine (DP). Multivariable logistic regression models were used to assess whether the IPTp regimen modifies the association between malaria episode frequency and outcomes such as preterm birth, low birth weight, and stillbirth, while adjusting for confounders including maternal age, gravidity, and socioeconomic status. Although the main effects of malaria episodes and treatment arm were not statistically significant, the interaction between malaria episodes and the SP regimen was significant (OR = 1.47, 95% CI: 1.16–1.88, p = 0.002), suggesting that the impact of malaria differs by treatment. Additionally, a subgroup analysis of women under 25 years revealed that increased gravidity was significantly protective (OR = 0.86, 95% CI: 0.74–1.00, p = 0.044). These findings underscore the importance of tailoring malaria prevention strategies based on individual maternal profiles to improve maternal and neonatal health outcomes in malaria-endemic settings.</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major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In particular, emerging evidence suggests that the choice of IPTp regimen may influence how malaria episodes affect pregnancy outcomes. However, this potential effect modification remains underexplored in current literature. Additionally, maternal characteristics such as gravidity,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1"/>
    <w:bookmarkEnd w:id="22"/>
    <w:bookmarkStart w:id="23" w:name="methods"/>
    <w:p>
      <w:pPr>
        <w:pStyle w:val="Heading1"/>
      </w:pPr>
      <w:r>
        <w:t xml:space="preserve">3. Methods</w:t>
      </w:r>
    </w:p>
    <w:p>
      <w:pPr>
        <w:pStyle w:val="FirstParagraph"/>
      </w:pPr>
      <w:r>
        <w:t xml:space="preserve">This study analyzed data from a double-blind, randomized controlled trial conducted in Uganda, sourced from ClinEpiDB (Release #24, August 30, 2022). The trial evaluated intermittent preventive treatment during pregnancy (IPTp) using either sulfadoxine-pyrimethamine (SP) or dihydroartemisinin-piperaquine (DP) in HIV-uninfected pregnant women. The dataset comprised 782 observations detailing maternal, pregnancy, and infant health information, with multiple births recorded separately according to the original trial protocols.</w:t>
      </w:r>
    </w:p>
    <w:p>
      <w:pPr>
        <w:pStyle w:val="BodyText"/>
      </w:pPr>
      <w:r>
        <w:t xml:space="preserve">Data preparation involved standardizing date fields, converting categorical variables into factors, and addressing missing data by excluding variables with over 20% missingness and imputing those with lower levels. Descriptive statistics and visual inspections ensured the integrity of the data.</w:t>
      </w:r>
    </w:p>
    <w:p>
      <w:pPr>
        <w:pStyle w:val="BodyText"/>
      </w:pPr>
      <w:r>
        <w:t xml:space="preserve">The analysis was designed to evaluate whether the IPTp regimen modifies the association between malaria episode frequency and adverse birth outcomes, specifically, preterm birth, low birth weight, and stillbirth, and to assess whether increased gravidity reduces the risk of these outcomes among women under 25 years. Multivariable logistic regression models were employed to examine the relationship between malaria episodes and adverse outcomes, incorporating an interaction term for the IPTp regimen and adjusting for confounders such as maternal age, gravidity, and socioeconomic status. Predicted probabilities were calculated to facilitate the interpretation of interaction effects. A subgroup analysis among women under 25 years used logistic regression models with gravidity treated as a continuous variable and adjustments for maternal age, malaria episode frequency, and treatment regimen, with sensitivity analyses performed to verify robustness. All statistical analyses were conducted using R (version 4.3.2).</w:t>
      </w:r>
    </w:p>
    <w:bookmarkEnd w:id="23"/>
    <w:bookmarkStart w:id="31" w:name="statistical-analysis"/>
    <w:p>
      <w:pPr>
        <w:pStyle w:val="Heading1"/>
      </w:pPr>
      <w:r>
        <w:t xml:space="preserve">4. Statistical analysis</w:t>
      </w:r>
    </w:p>
    <w:bookmarkStart w:id="30"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Characteristic</w:t>
            </w:r>
          </w:p>
        </w:tc>
        <w:tc>
          <w:tcPr/>
          <w:p>
            <w:pPr>
              <w:pStyle w:val="Compact"/>
              <w:jc w:val="left"/>
            </w:pPr>
            <w:r>
              <w:t xml:space="preserve">Subcategory</w:t>
            </w:r>
          </w:p>
        </w:tc>
        <w:tc>
          <w:tcPr/>
          <w:p>
            <w:pPr>
              <w:pStyle w:val="Compact"/>
              <w:jc w:val="left"/>
            </w:pPr>
            <w:r>
              <w:t xml:space="preserve">DP (N=4121)</w:t>
            </w:r>
          </w:p>
        </w:tc>
        <w:tc>
          <w:tcPr/>
          <w:p>
            <w:pPr>
              <w:pStyle w:val="Compact"/>
              <w:jc w:val="left"/>
            </w:pPr>
            <w:r>
              <w:t xml:space="preserve">SP (N=3701)</w:t>
            </w:r>
          </w:p>
        </w:tc>
      </w:tr>
      <w:tr>
        <w:tc>
          <w:tcPr/>
          <w:p>
            <w:pPr>
              <w:pStyle w:val="Compact"/>
              <w:jc w:val="left"/>
            </w:pPr>
            <w:r>
              <w:t xml:space="preserve">Age (years)</w:t>
            </w:r>
          </w:p>
        </w:tc>
        <w:tc>
          <w:tcPr/>
          <w:p>
            <w:pPr>
              <w:pStyle w:val="Compact"/>
            </w:pPr>
          </w:p>
        </w:tc>
        <w:tc>
          <w:tcPr/>
          <w:p>
            <w:pPr>
              <w:pStyle w:val="Compact"/>
              <w:jc w:val="left"/>
            </w:pPr>
            <w:r>
              <w:t xml:space="preserve">25.0 (5.0)</w:t>
            </w:r>
          </w:p>
        </w:tc>
        <w:tc>
          <w:tcPr/>
          <w:p>
            <w:pPr>
              <w:pStyle w:val="Compact"/>
              <w:jc w:val="left"/>
            </w:pPr>
            <w:r>
              <w:t xml:space="preserve">25.0 (4.9)</w:t>
            </w:r>
          </w:p>
        </w:tc>
      </w:tr>
      <w:tr>
        <w:tc>
          <w:tcPr/>
          <w:p>
            <w:pPr>
              <w:pStyle w:val="Compact"/>
              <w:jc w:val="left"/>
            </w:pPr>
            <w:r>
              <w:t xml:space="preserve">Gestational Age (weeks)</w:t>
            </w:r>
          </w:p>
        </w:tc>
        <w:tc>
          <w:tcPr/>
          <w:p>
            <w:pPr>
              <w:pStyle w:val="Compact"/>
            </w:pPr>
          </w:p>
        </w:tc>
        <w:tc>
          <w:tcPr/>
          <w:p>
            <w:pPr>
              <w:pStyle w:val="Compact"/>
              <w:jc w:val="left"/>
            </w:pPr>
            <w:r>
              <w:t xml:space="preserve">15.24 (1.97)</w:t>
            </w:r>
          </w:p>
        </w:tc>
        <w:tc>
          <w:tcPr/>
          <w:p>
            <w:pPr>
              <w:pStyle w:val="Compact"/>
              <w:jc w:val="left"/>
            </w:pPr>
            <w:r>
              <w:t xml:space="preserve">14.97 (1.94)</w:t>
            </w:r>
          </w:p>
        </w:tc>
      </w:tr>
      <w:tr>
        <w:tc>
          <w:tcPr/>
          <w:p>
            <w:pPr>
              <w:pStyle w:val="Compact"/>
              <w:jc w:val="left"/>
            </w:pPr>
            <w:r>
              <w:t xml:space="preserve">Maternal Education Level (%)</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Primary</w:t>
            </w:r>
          </w:p>
        </w:tc>
        <w:tc>
          <w:tcPr/>
          <w:p>
            <w:pPr>
              <w:pStyle w:val="Compact"/>
              <w:jc w:val="left"/>
            </w:pPr>
            <w:r>
              <w:t xml:space="preserve">262 (66.7%)</w:t>
            </w:r>
          </w:p>
        </w:tc>
        <w:tc>
          <w:tcPr/>
          <w:p>
            <w:pPr>
              <w:pStyle w:val="Compact"/>
              <w:jc w:val="left"/>
            </w:pPr>
            <w:r>
              <w:t xml:space="preserve">258 (66.4%)</w:t>
            </w:r>
          </w:p>
        </w:tc>
      </w:tr>
      <w:tr>
        <w:tc>
          <w:tcPr/>
          <w:p>
            <w:pPr>
              <w:pStyle w:val="Compact"/>
            </w:pPr>
          </w:p>
        </w:tc>
        <w:tc>
          <w:tcPr/>
          <w:p>
            <w:pPr>
              <w:pStyle w:val="Compact"/>
              <w:jc w:val="left"/>
            </w:pPr>
            <w:r>
              <w:t xml:space="preserve">Tertiary</w:t>
            </w:r>
          </w:p>
        </w:tc>
        <w:tc>
          <w:tcPr/>
          <w:p>
            <w:pPr>
              <w:pStyle w:val="Compact"/>
              <w:jc w:val="left"/>
            </w:pPr>
            <w:r>
              <w:t xml:space="preserve">65 (16.5%)</w:t>
            </w:r>
          </w:p>
        </w:tc>
        <w:tc>
          <w:tcPr/>
          <w:p>
            <w:pPr>
              <w:pStyle w:val="Compact"/>
              <w:jc w:val="left"/>
            </w:pPr>
            <w:r>
              <w:t xml:space="preserve">61 (15.7%)</w:t>
            </w:r>
          </w:p>
        </w:tc>
      </w:tr>
      <w:tr>
        <w:tc>
          <w:tcPr/>
          <w:p>
            <w:pPr>
              <w:pStyle w:val="Compact"/>
            </w:pPr>
          </w:p>
        </w:tc>
        <w:tc>
          <w:tcPr/>
          <w:p>
            <w:pPr>
              <w:pStyle w:val="Compact"/>
              <w:jc w:val="left"/>
            </w:pPr>
            <w:r>
              <w:t xml:space="preserve">University</w:t>
            </w:r>
          </w:p>
        </w:tc>
        <w:tc>
          <w:tcPr/>
          <w:p>
            <w:pPr>
              <w:pStyle w:val="Compact"/>
              <w:jc w:val="left"/>
            </w:pPr>
            <w:r>
              <w:t xml:space="preserve">66 (16.8%)</w:t>
            </w:r>
          </w:p>
        </w:tc>
        <w:tc>
          <w:tcPr/>
          <w:p>
            <w:pPr>
              <w:pStyle w:val="Compact"/>
              <w:jc w:val="left"/>
            </w:pPr>
            <w:r>
              <w:t xml:space="preserve">70 (18.0%)</w:t>
            </w:r>
          </w:p>
        </w:tc>
      </w:tr>
      <w:tr>
        <w:tc>
          <w:tcPr/>
          <w:p>
            <w:pPr>
              <w:pStyle w:val="Compact"/>
              <w:jc w:val="left"/>
            </w:pPr>
            <w:r>
              <w:t xml:space="preserve">Gravidity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91 (22%)</w:t>
            </w:r>
          </w:p>
        </w:tc>
        <w:tc>
          <w:tcPr/>
          <w:p>
            <w:pPr>
              <w:pStyle w:val="Compact"/>
              <w:jc w:val="left"/>
            </w:pPr>
            <w:r>
              <w:t xml:space="preserve">56 (15%)</w:t>
            </w:r>
          </w:p>
        </w:tc>
      </w:tr>
      <w:tr>
        <w:tc>
          <w:tcPr/>
          <w:p>
            <w:pPr>
              <w:pStyle w:val="Compact"/>
            </w:pPr>
          </w:p>
        </w:tc>
        <w:tc>
          <w:tcPr/>
          <w:p>
            <w:pPr>
              <w:pStyle w:val="Compact"/>
              <w:jc w:val="left"/>
            </w:pPr>
            <w:r>
              <w:t xml:space="preserve">2–3</w:t>
            </w:r>
          </w:p>
        </w:tc>
        <w:tc>
          <w:tcPr/>
          <w:p>
            <w:pPr>
              <w:pStyle w:val="Compact"/>
              <w:jc w:val="left"/>
            </w:pPr>
            <w:r>
              <w:t xml:space="preserve">167 (41%)</w:t>
            </w:r>
          </w:p>
        </w:tc>
        <w:tc>
          <w:tcPr/>
          <w:p>
            <w:pPr>
              <w:pStyle w:val="Compact"/>
              <w:jc w:val="left"/>
            </w:pPr>
            <w:r>
              <w:t xml:space="preserve">166 (45%)</w:t>
            </w:r>
          </w:p>
        </w:tc>
      </w:tr>
      <w:tr>
        <w:tc>
          <w:tcPr/>
          <w:p>
            <w:pPr>
              <w:pStyle w:val="Compact"/>
            </w:pPr>
          </w:p>
        </w:tc>
        <w:tc>
          <w:tcPr/>
          <w:p>
            <w:pPr>
              <w:pStyle w:val="Compact"/>
              <w:jc w:val="left"/>
            </w:pPr>
            <w:r>
              <w:t xml:space="preserve">≥4</w:t>
            </w:r>
          </w:p>
        </w:tc>
        <w:tc>
          <w:tcPr/>
          <w:p>
            <w:pPr>
              <w:pStyle w:val="Compact"/>
              <w:jc w:val="left"/>
            </w:pPr>
            <w:r>
              <w:t xml:space="preserve">154 (37%)</w:t>
            </w:r>
          </w:p>
        </w:tc>
        <w:tc>
          <w:tcPr/>
          <w:p>
            <w:pPr>
              <w:pStyle w:val="Compact"/>
              <w:jc w:val="left"/>
            </w:pPr>
            <w:r>
              <w:t xml:space="preserve">148 (40%)</w:t>
            </w:r>
          </w:p>
        </w:tc>
      </w:tr>
      <w:tr>
        <w:tc>
          <w:tcPr/>
          <w:p>
            <w:pPr>
              <w:pStyle w:val="Compact"/>
              <w:jc w:val="left"/>
            </w:pPr>
            <w:r>
              <w:t xml:space="preserve">Parity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w:t>
            </w:r>
          </w:p>
        </w:tc>
        <w:tc>
          <w:tcPr/>
          <w:p>
            <w:pPr>
              <w:pStyle w:val="Compact"/>
              <w:jc w:val="left"/>
            </w:pPr>
            <w:r>
              <w:t xml:space="preserve">79 (19%)</w:t>
            </w:r>
          </w:p>
        </w:tc>
        <w:tc>
          <w:tcPr/>
          <w:p>
            <w:pPr>
              <w:pStyle w:val="Compact"/>
              <w:jc w:val="left"/>
            </w:pPr>
            <w:r>
              <w:t xml:space="preserve">77 (21%)</w:t>
            </w:r>
          </w:p>
        </w:tc>
      </w:tr>
      <w:tr>
        <w:tc>
          <w:tcPr/>
          <w:p>
            <w:pPr>
              <w:pStyle w:val="Compact"/>
            </w:pPr>
          </w:p>
        </w:tc>
        <w:tc>
          <w:tcPr/>
          <w:p>
            <w:pPr>
              <w:pStyle w:val="Compact"/>
              <w:jc w:val="left"/>
            </w:pPr>
            <w:r>
              <w:t xml:space="preserve">1–2</w:t>
            </w:r>
          </w:p>
        </w:tc>
        <w:tc>
          <w:tcPr/>
          <w:p>
            <w:pPr>
              <w:pStyle w:val="Compact"/>
              <w:jc w:val="left"/>
            </w:pPr>
            <w:r>
              <w:t xml:space="preserve">175 (42%)</w:t>
            </w:r>
          </w:p>
        </w:tc>
        <w:tc>
          <w:tcPr/>
          <w:p>
            <w:pPr>
              <w:pStyle w:val="Compact"/>
              <w:jc w:val="left"/>
            </w:pPr>
            <w:r>
              <w:t xml:space="preserve">158 (43%)</w:t>
            </w:r>
          </w:p>
        </w:tc>
      </w:tr>
      <w:tr>
        <w:tc>
          <w:tcPr/>
          <w:p>
            <w:pPr>
              <w:pStyle w:val="Compact"/>
            </w:pPr>
          </w:p>
        </w:tc>
        <w:tc>
          <w:tcPr/>
          <w:p>
            <w:pPr>
              <w:pStyle w:val="Compact"/>
              <w:jc w:val="left"/>
            </w:pPr>
            <w:r>
              <w:t xml:space="preserve">≥3</w:t>
            </w:r>
          </w:p>
        </w:tc>
        <w:tc>
          <w:tcPr/>
          <w:p>
            <w:pPr>
              <w:pStyle w:val="Compact"/>
              <w:jc w:val="left"/>
            </w:pPr>
            <w:r>
              <w:t xml:space="preserve">158 (38%)</w:t>
            </w:r>
          </w:p>
        </w:tc>
        <w:tc>
          <w:tcPr/>
          <w:p>
            <w:pPr>
              <w:pStyle w:val="Compact"/>
              <w:jc w:val="left"/>
            </w:pPr>
            <w:r>
              <w:t xml:space="preserve">135 (36%)</w:t>
            </w:r>
          </w:p>
        </w:tc>
      </w:tr>
      <w:tr>
        <w:tc>
          <w:tcPr/>
          <w:p>
            <w:pPr>
              <w:pStyle w:val="Compact"/>
              <w:jc w:val="left"/>
            </w:pPr>
            <w:r>
              <w:t xml:space="preserve">Total Malaria Episodes</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245 (59%)</w:t>
            </w:r>
          </w:p>
        </w:tc>
        <w:tc>
          <w:tcPr/>
          <w:p>
            <w:pPr>
              <w:pStyle w:val="Compact"/>
              <w:jc w:val="left"/>
            </w:pPr>
            <w:r>
              <w:t xml:space="preserve">216 (58%)</w:t>
            </w:r>
          </w:p>
        </w:tc>
      </w:tr>
      <w:tr>
        <w:tc>
          <w:tcPr/>
          <w:p>
            <w:pPr>
              <w:pStyle w:val="Compact"/>
            </w:pPr>
          </w:p>
        </w:tc>
        <w:tc>
          <w:tcPr/>
          <w:p>
            <w:pPr>
              <w:pStyle w:val="Compact"/>
              <w:jc w:val="left"/>
            </w:pPr>
            <w:r>
              <w:t xml:space="preserve">2–3</w:t>
            </w:r>
          </w:p>
        </w:tc>
        <w:tc>
          <w:tcPr/>
          <w:p>
            <w:pPr>
              <w:pStyle w:val="Compact"/>
              <w:jc w:val="left"/>
            </w:pPr>
            <w:r>
              <w:t xml:space="preserve">146 (35%)</w:t>
            </w:r>
          </w:p>
        </w:tc>
        <w:tc>
          <w:tcPr/>
          <w:p>
            <w:pPr>
              <w:pStyle w:val="Compact"/>
              <w:jc w:val="left"/>
            </w:pPr>
            <w:r>
              <w:t xml:space="preserve">127 (34%)</w:t>
            </w:r>
          </w:p>
        </w:tc>
      </w:tr>
      <w:tr>
        <w:tc>
          <w:tcPr/>
          <w:p>
            <w:pPr>
              <w:pStyle w:val="Compact"/>
            </w:pPr>
          </w:p>
        </w:tc>
        <w:tc>
          <w:tcPr/>
          <w:p>
            <w:pPr>
              <w:pStyle w:val="Compact"/>
              <w:jc w:val="left"/>
            </w:pPr>
            <w:r>
              <w:t xml:space="preserve">≥4</w:t>
            </w:r>
          </w:p>
        </w:tc>
        <w:tc>
          <w:tcPr/>
          <w:p>
            <w:pPr>
              <w:pStyle w:val="Compact"/>
              <w:jc w:val="left"/>
            </w:pPr>
            <w:r>
              <w:t xml:space="preserve">21 (5.1%)</w:t>
            </w:r>
          </w:p>
        </w:tc>
        <w:tc>
          <w:tcPr/>
          <w:p>
            <w:pPr>
              <w:pStyle w:val="Compact"/>
              <w:jc w:val="left"/>
            </w:pPr>
            <w:r>
              <w:t xml:space="preserve">27 (7.3%)</w:t>
            </w:r>
          </w:p>
        </w:tc>
      </w:tr>
      <w:tr>
        <w:tc>
          <w:tcPr/>
          <w:p>
            <w:pPr>
              <w:pStyle w:val="Compact"/>
              <w:jc w:val="left"/>
            </w:pPr>
            <w:r>
              <w:t xml:space="preserve">Total Malaria Episodes During Pregnancy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179 (43%)</w:t>
            </w:r>
          </w:p>
        </w:tc>
        <w:tc>
          <w:tcPr/>
          <w:p>
            <w:pPr>
              <w:pStyle w:val="Compact"/>
              <w:jc w:val="left"/>
            </w:pPr>
            <w:r>
              <w:t xml:space="preserve">165 (45%)</w:t>
            </w:r>
          </w:p>
        </w:tc>
      </w:tr>
      <w:tr>
        <w:tc>
          <w:tcPr/>
          <w:p>
            <w:pPr>
              <w:pStyle w:val="Compact"/>
            </w:pPr>
          </w:p>
        </w:tc>
        <w:tc>
          <w:tcPr/>
          <w:p>
            <w:pPr>
              <w:pStyle w:val="Compact"/>
              <w:jc w:val="left"/>
            </w:pPr>
            <w:r>
              <w:t xml:space="preserve">2–3</w:t>
            </w:r>
          </w:p>
        </w:tc>
        <w:tc>
          <w:tcPr/>
          <w:p>
            <w:pPr>
              <w:pStyle w:val="Compact"/>
              <w:jc w:val="left"/>
            </w:pPr>
            <w:r>
              <w:t xml:space="preserve">138 (33%)</w:t>
            </w:r>
          </w:p>
        </w:tc>
        <w:tc>
          <w:tcPr/>
          <w:p>
            <w:pPr>
              <w:pStyle w:val="Compact"/>
              <w:jc w:val="left"/>
            </w:pPr>
            <w:r>
              <w:t xml:space="preserve">120 (32%)</w:t>
            </w:r>
          </w:p>
        </w:tc>
      </w:tr>
      <w:tr>
        <w:tc>
          <w:tcPr/>
          <w:p>
            <w:pPr>
              <w:pStyle w:val="Compact"/>
            </w:pPr>
          </w:p>
        </w:tc>
        <w:tc>
          <w:tcPr/>
          <w:p>
            <w:pPr>
              <w:pStyle w:val="Compact"/>
              <w:jc w:val="left"/>
            </w:pPr>
            <w:r>
              <w:t xml:space="preserve">≥4</w:t>
            </w:r>
          </w:p>
        </w:tc>
        <w:tc>
          <w:tcPr/>
          <w:p>
            <w:pPr>
              <w:pStyle w:val="Compact"/>
              <w:jc w:val="left"/>
            </w:pPr>
            <w:r>
              <w:t xml:space="preserve">95 (23%)</w:t>
            </w:r>
          </w:p>
        </w:tc>
        <w:tc>
          <w:tcPr/>
          <w:p>
            <w:pPr>
              <w:pStyle w:val="Compact"/>
              <w:jc w:val="left"/>
            </w:pPr>
            <w:r>
              <w:t xml:space="preserve">85 (23%)</w:t>
            </w:r>
          </w:p>
        </w:tc>
      </w:tr>
      <w:tr>
        <w:tc>
          <w:tcPr/>
          <w:p>
            <w:pPr>
              <w:pStyle w:val="Compact"/>
              <w:jc w:val="left"/>
            </w:pPr>
            <w:r>
              <w:t xml:space="preserve">Malaria Infection Rate During Pregnancy</w:t>
            </w:r>
          </w:p>
        </w:tc>
        <w:tc>
          <w:tcPr/>
          <w:p>
            <w:pPr>
              <w:pStyle w:val="Compact"/>
            </w:pPr>
          </w:p>
        </w:tc>
        <w:tc>
          <w:tcPr/>
          <w:p>
            <w:pPr>
              <w:pStyle w:val="Compact"/>
              <w:jc w:val="left"/>
            </w:pPr>
            <w:r>
              <w:t xml:space="preserve">1.01 (0.58)</w:t>
            </w:r>
          </w:p>
        </w:tc>
        <w:tc>
          <w:tcPr/>
          <w:p>
            <w:pPr>
              <w:pStyle w:val="Compact"/>
              <w:jc w:val="left"/>
            </w:pPr>
            <w:r>
              <w:t xml:space="preserve">1.05 (0.58)</w:t>
            </w:r>
          </w:p>
        </w:tc>
      </w:tr>
      <w:tr>
        <w:tc>
          <w:tcPr/>
          <w:p>
            <w:pPr>
              <w:pStyle w:val="Compact"/>
              <w:jc w:val="left"/>
            </w:pPr>
            <w:r>
              <w:t xml:space="preserve">Placental Malaria (Rogerson Criteria)</w:t>
            </w:r>
          </w:p>
        </w:tc>
        <w:tc>
          <w:tcPr/>
          <w:p>
            <w:pPr>
              <w:pStyle w:val="Compact"/>
            </w:pPr>
          </w:p>
        </w:tc>
        <w:tc>
          <w:tcPr/>
          <w:p>
            <w:pPr>
              <w:pStyle w:val="Compact"/>
              <w:jc w:val="left"/>
            </w:pPr>
            <w:r>
              <w:t xml:space="preserve">75 (18%)</w:t>
            </w:r>
          </w:p>
        </w:tc>
        <w:tc>
          <w:tcPr/>
          <w:p>
            <w:pPr>
              <w:pStyle w:val="Compact"/>
              <w:jc w:val="left"/>
            </w:pPr>
            <w:r>
              <w:t xml:space="preserve">72 (19%)</w:t>
            </w:r>
          </w:p>
        </w:tc>
      </w:tr>
      <w:tr>
        <w:tc>
          <w:tcPr/>
          <w:p>
            <w:pPr>
              <w:pStyle w:val="Compact"/>
              <w:jc w:val="left"/>
            </w:pPr>
            <w:r>
              <w:t xml:space="preserve">Preterm Births Count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391 (95%)</w:t>
            </w:r>
          </w:p>
        </w:tc>
        <w:tc>
          <w:tcPr/>
          <w:p>
            <w:pPr>
              <w:pStyle w:val="Compact"/>
              <w:jc w:val="left"/>
            </w:pPr>
            <w:r>
              <w:t xml:space="preserve">348 (94%)</w:t>
            </w:r>
          </w:p>
        </w:tc>
      </w:tr>
      <w:tr>
        <w:tc>
          <w:tcPr/>
          <w:p>
            <w:pPr>
              <w:pStyle w:val="Compact"/>
            </w:pPr>
          </w:p>
        </w:tc>
        <w:tc>
          <w:tcPr/>
          <w:p>
            <w:pPr>
              <w:pStyle w:val="Compact"/>
              <w:jc w:val="left"/>
            </w:pPr>
            <w:r>
              <w:t xml:space="preserve">2</w:t>
            </w:r>
          </w:p>
        </w:tc>
        <w:tc>
          <w:tcPr/>
          <w:p>
            <w:pPr>
              <w:pStyle w:val="Compact"/>
              <w:jc w:val="left"/>
            </w:pPr>
            <w:r>
              <w:t xml:space="preserve">21 (5.1%)</w:t>
            </w:r>
          </w:p>
        </w:tc>
        <w:tc>
          <w:tcPr/>
          <w:p>
            <w:pPr>
              <w:pStyle w:val="Compact"/>
              <w:jc w:val="left"/>
            </w:pPr>
            <w:r>
              <w:t xml:space="preserve">22 (5.9%)</w:t>
            </w:r>
          </w:p>
        </w:tc>
      </w:tr>
      <w:tr>
        <w:tc>
          <w:tcPr/>
          <w:p>
            <w:pPr>
              <w:pStyle w:val="Compact"/>
              <w:jc w:val="left"/>
            </w:pPr>
            <w:r>
              <w:t xml:space="preserve">Stillbirth bin</w:t>
            </w:r>
          </w:p>
        </w:tc>
        <w:tc>
          <w:tcPr/>
          <w:p>
            <w:pPr>
              <w:pStyle w:val="Compact"/>
            </w:pPr>
          </w:p>
        </w:tc>
        <w:tc>
          <w:tcPr/>
          <w:p>
            <w:pPr>
              <w:pStyle w:val="Compact"/>
              <w:jc w:val="left"/>
            </w:pPr>
            <w:r>
              <w:t xml:space="preserve">37 (9.0%)</w:t>
            </w:r>
          </w:p>
        </w:tc>
        <w:tc>
          <w:tcPr/>
          <w:p>
            <w:pPr>
              <w:pStyle w:val="Compact"/>
              <w:jc w:val="left"/>
            </w:pPr>
            <w:r>
              <w:t xml:space="preserve">50 (14%)</w:t>
            </w:r>
          </w:p>
        </w:tc>
      </w:tr>
      <w:tr>
        <w:tc>
          <w:tcPr/>
          <w:p>
            <w:pPr>
              <w:pStyle w:val="Compact"/>
              <w:jc w:val="left"/>
            </w:pPr>
            <w:r>
              <w:t xml:space="preserve">Birthweight</w:t>
            </w:r>
          </w:p>
        </w:tc>
        <w:tc>
          <w:tcPr/>
          <w:p>
            <w:pPr>
              <w:pStyle w:val="Compact"/>
            </w:pPr>
          </w:p>
        </w:tc>
        <w:tc>
          <w:tcPr/>
          <w:p>
            <w:pPr>
              <w:pStyle w:val="Compact"/>
              <w:jc w:val="left"/>
            </w:pPr>
            <w:r>
              <w:t xml:space="preserve">2.79 (0.64)</w:t>
            </w:r>
          </w:p>
        </w:tc>
        <w:tc>
          <w:tcPr/>
          <w:p>
            <w:pPr>
              <w:pStyle w:val="Compact"/>
              <w:jc w:val="left"/>
            </w:pPr>
            <w:r>
              <w:t xml:space="preserve">2.81 (0.62)</w:t>
            </w:r>
          </w:p>
        </w:tc>
      </w:tr>
      <w:tr>
        <w:tc>
          <w:tcPr/>
          <w:p>
            <w:pPr>
              <w:pStyle w:val="Compact"/>
              <w:jc w:val="left"/>
            </w:pPr>
            <w:r>
              <w:t xml:space="preserve">History of Previous Malaria Episodes (%)</w:t>
            </w:r>
          </w:p>
        </w:tc>
        <w:tc>
          <w:tcPr/>
          <w:p>
            <w:pPr>
              <w:pStyle w:val="Compact"/>
            </w:pPr>
          </w:p>
        </w:tc>
        <w:tc>
          <w:tcPr/>
          <w:p>
            <w:pPr>
              <w:pStyle w:val="Compact"/>
              <w:jc w:val="left"/>
            </w:pPr>
            <w:r>
              <w:t xml:space="preserve">40 (10%)</w:t>
            </w:r>
          </w:p>
        </w:tc>
        <w:tc>
          <w:tcPr/>
          <w:p>
            <w:pPr>
              <w:pStyle w:val="Compact"/>
              <w:jc w:val="left"/>
            </w:pPr>
            <w:r>
              <w:t xml:space="preserve">35 (9%)</w:t>
            </w:r>
          </w:p>
        </w:tc>
      </w:tr>
    </w:tbl>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5" name="Picture"/>
            <a:graphic>
              <a:graphicData uri="http://schemas.openxmlformats.org/drawingml/2006/picture">
                <pic:pic>
                  <pic:nvPicPr>
                    <pic:cNvPr descr="manuscrip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28" name="Picture"/>
            <a:graphic>
              <a:graphicData uri="http://schemas.openxmlformats.org/drawingml/2006/picture">
                <pic:pic>
                  <pic:nvPicPr>
                    <pic:cNvPr descr="manuscript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t xml:space="preserve"> </w:t>
      </w:r>
      <w:r>
        <w:t xml:space="preserve"> </w:t>
      </w:r>
      <w:r>
        <w:t xml:space="preserve"> </w:t>
      </w:r>
    </w:p>
    <w:p>
      <w:r>
        <w:br w:type="page"/>
      </w:r>
    </w:p>
    <w:bookmarkEnd w:id="30"/>
    <w:bookmarkEnd w:id="31"/>
    <w:bookmarkStart w:id="39" w:name="results"/>
    <w:p>
      <w:pPr>
        <w:pStyle w:val="Heading1"/>
      </w:pPr>
      <w:r>
        <w:t xml:space="preserve">5. Results</w:t>
      </w:r>
    </w:p>
    <w:bookmarkStart w:id="38" w:name="basic-statistical-analysis"/>
    <w:p>
      <w:pPr>
        <w:pStyle w:val="Heading2"/>
      </w:pPr>
      <w:r>
        <w:t xml:space="preserve">5.1 Basic statistical analysis</w:t>
      </w:r>
    </w:p>
    <w:p>
      <w:pPr>
        <w:pStyle w:val="FirstParagraph"/>
      </w:pPr>
      <w:r>
        <w:t xml:space="preserve">Baseline characteristics were similar across IPTp treatment arms, with comparable maternal age, gestational age, education, gravidity, and parity (Table 1). Although overall malaria exposure was similar between groups, the SP arm exhibited a significantly higher stillbirth rate (14% vs. 9%; p = 0.044) (Table 2).</w:t>
      </w:r>
    </w:p>
    <w:p>
      <w:pPr>
        <w:pStyle w:val="BodyText"/>
      </w:pPr>
      <w:r>
        <w:t xml:space="preserve">Multivariable logistic regression analyses, adjusted for maternal age, gravidity, and education revealed that the main effects of total malaria episodes (OR = 0.88, 95% CI: 0.75–1.03, p = 0.121) and treatment arm (OR = 0.69, 95% CI: 0.44–1.08, p = 0.102) were not statistically significant. However, incorporating an interaction term between malaria episodes and the IPTp regimen significantly improved model fit (ΔDeviance = 10.11, p = 0.00148), with the interaction itself reaching significance (OR = 1.47, 95% CI: 1.16–1.88, p = 0.002). These findings suggest that the impact of malaria exposure on adverse birth outcomes is modified by the treatment regimen. Additionally, gravidity demonstrated a protective effect (OR = 0.89, 95% CI: 0.80–0.98, p = 0.023), indicating that prior pregnancy experience reduces the risk of adverse outcomes.</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Odds Ratio</w:t>
            </w:r>
          </w:p>
        </w:tc>
        <w:tc>
          <w:tcPr/>
          <w:p>
            <w:pPr>
              <w:pStyle w:val="Compact"/>
              <w:jc w:val="right"/>
            </w:pPr>
            <w:r>
              <w:t xml:space="preserve">Std. Error</w:t>
            </w:r>
          </w:p>
        </w:tc>
        <w:tc>
          <w:tcPr/>
          <w:p>
            <w:pPr>
              <w:pStyle w:val="Compact"/>
              <w:jc w:val="right"/>
            </w:pPr>
            <w:r>
              <w:t xml:space="preserve">z value</w:t>
            </w:r>
          </w:p>
        </w:tc>
        <w:tc>
          <w:tcPr/>
          <w:p>
            <w:pPr>
              <w:pStyle w:val="Compact"/>
              <w:jc w:val="right"/>
            </w:pPr>
            <w:r>
              <w:t xml:space="preserve">p-value</w:t>
            </w:r>
          </w:p>
        </w:tc>
        <w:tc>
          <w:tcPr/>
          <w:p>
            <w:pPr>
              <w:pStyle w:val="Compact"/>
              <w:jc w:val="right"/>
            </w:pPr>
            <w:r>
              <w:t xml:space="preserve">95% CI Lower</w:t>
            </w:r>
          </w:p>
        </w:tc>
        <w:tc>
          <w:tcPr/>
          <w:p>
            <w:pPr>
              <w:pStyle w:val="Compact"/>
              <w:jc w:val="right"/>
            </w:pPr>
            <w:r>
              <w:t xml:space="preserve">95% CI Upper</w:t>
            </w:r>
          </w:p>
        </w:tc>
      </w:tr>
      <w:tr>
        <w:tc>
          <w:tcPr/>
          <w:p>
            <w:pPr>
              <w:pStyle w:val="Compact"/>
            </w:pPr>
            <w:r>
              <w:t xml:space="preserve">Total Malaria Episodes</w:t>
            </w:r>
          </w:p>
        </w:tc>
        <w:tc>
          <w:tcPr/>
          <w:p>
            <w:pPr>
              <w:pStyle w:val="Compact"/>
              <w:jc w:val="right"/>
            </w:pPr>
            <w:r>
              <w:t xml:space="preserve">0.88</w:t>
            </w:r>
          </w:p>
        </w:tc>
        <w:tc>
          <w:tcPr/>
          <w:p>
            <w:pPr>
              <w:pStyle w:val="Compact"/>
              <w:jc w:val="right"/>
            </w:pPr>
            <w:r>
              <w:t xml:space="preserve">0.08</w:t>
            </w:r>
          </w:p>
        </w:tc>
        <w:tc>
          <w:tcPr/>
          <w:p>
            <w:pPr>
              <w:pStyle w:val="Compact"/>
              <w:jc w:val="right"/>
            </w:pPr>
            <w:r>
              <w:t xml:space="preserve">-1.55</w:t>
            </w:r>
          </w:p>
        </w:tc>
        <w:tc>
          <w:tcPr/>
          <w:p>
            <w:pPr>
              <w:pStyle w:val="Compact"/>
              <w:jc w:val="right"/>
            </w:pPr>
            <w:r>
              <w:t xml:space="preserve">0.121</w:t>
            </w:r>
          </w:p>
        </w:tc>
        <w:tc>
          <w:tcPr/>
          <w:p>
            <w:pPr>
              <w:pStyle w:val="Compact"/>
              <w:jc w:val="right"/>
            </w:pPr>
            <w:r>
              <w:t xml:space="preserve">0.75</w:t>
            </w:r>
          </w:p>
        </w:tc>
        <w:tc>
          <w:tcPr/>
          <w:p>
            <w:pPr>
              <w:pStyle w:val="Compact"/>
              <w:jc w:val="right"/>
            </w:pPr>
            <w:r>
              <w:t xml:space="preserve">1.03</w:t>
            </w:r>
          </w:p>
        </w:tc>
      </w:tr>
      <w:tr>
        <w:tc>
          <w:tcPr/>
          <w:p>
            <w:pPr>
              <w:pStyle w:val="Compact"/>
            </w:pPr>
            <w:r>
              <w:t xml:space="preserve">Treatment Arm (SP)</w:t>
            </w:r>
          </w:p>
        </w:tc>
        <w:tc>
          <w:tcPr/>
          <w:p>
            <w:pPr>
              <w:pStyle w:val="Compact"/>
              <w:jc w:val="right"/>
            </w:pPr>
            <w:r>
              <w:t xml:space="preserve">0.69</w:t>
            </w:r>
          </w:p>
        </w:tc>
        <w:tc>
          <w:tcPr/>
          <w:p>
            <w:pPr>
              <w:pStyle w:val="Compact"/>
              <w:jc w:val="right"/>
            </w:pPr>
            <w:r>
              <w:t xml:space="preserve">0.23</w:t>
            </w:r>
          </w:p>
        </w:tc>
        <w:tc>
          <w:tcPr/>
          <w:p>
            <w:pPr>
              <w:pStyle w:val="Compact"/>
              <w:jc w:val="right"/>
            </w:pPr>
            <w:r>
              <w:t xml:space="preserve">-1.64</w:t>
            </w:r>
          </w:p>
        </w:tc>
        <w:tc>
          <w:tcPr/>
          <w:p>
            <w:pPr>
              <w:pStyle w:val="Compact"/>
              <w:jc w:val="right"/>
            </w:pPr>
            <w:r>
              <w:t xml:space="preserve">0.102</w:t>
            </w:r>
          </w:p>
        </w:tc>
        <w:tc>
          <w:tcPr/>
          <w:p>
            <w:pPr>
              <w:pStyle w:val="Compact"/>
              <w:jc w:val="right"/>
            </w:pPr>
            <w:r>
              <w:t xml:space="preserve">0.44</w:t>
            </w:r>
          </w:p>
        </w:tc>
        <w:tc>
          <w:tcPr/>
          <w:p>
            <w:pPr>
              <w:pStyle w:val="Compact"/>
              <w:jc w:val="right"/>
            </w:pPr>
            <w:r>
              <w:t xml:space="preserve">1.08</w:t>
            </w:r>
          </w:p>
        </w:tc>
      </w:tr>
      <w:tr>
        <w:tc>
          <w:tcPr/>
          <w:p>
            <w:pPr>
              <w:pStyle w:val="Compact"/>
            </w:pPr>
            <w:r>
              <w:t xml:space="preserve">Age at Enrollment (years)</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-0.76</w:t>
            </w:r>
          </w:p>
        </w:tc>
        <w:tc>
          <w:tcPr/>
          <w:p>
            <w:pPr>
              <w:pStyle w:val="Compact"/>
              <w:jc w:val="right"/>
            </w:pPr>
            <w:r>
              <w:t xml:space="preserve">0.448</w:t>
            </w:r>
          </w:p>
        </w:tc>
        <w:tc>
          <w:tcPr/>
          <w:p>
            <w:pPr>
              <w:pStyle w:val="Compact"/>
              <w:jc w:val="right"/>
            </w:pPr>
            <w:r>
              <w:t xml:space="preserve">0.96</w:t>
            </w:r>
          </w:p>
        </w:tc>
        <w:tc>
          <w:tcPr/>
          <w:p>
            <w:pPr>
              <w:pStyle w:val="Compact"/>
              <w:jc w:val="right"/>
            </w:pPr>
            <w:r>
              <w:t xml:space="preserve">1.02</w:t>
            </w:r>
          </w:p>
        </w:tc>
      </w:tr>
      <w:tr>
        <w:tc>
          <w:tcPr/>
          <w:p>
            <w:pPr>
              <w:pStyle w:val="Compact"/>
            </w:pPr>
            <w:r>
              <w:t xml:space="preserve">Gravidity</w:t>
            </w:r>
          </w:p>
        </w:tc>
        <w:tc>
          <w:tcPr/>
          <w:p>
            <w:pPr>
              <w:pStyle w:val="Compact"/>
              <w:jc w:val="right"/>
            </w:pPr>
            <w:r>
              <w:t xml:space="preserve">0.89</w:t>
            </w:r>
          </w:p>
        </w:tc>
        <w:tc>
          <w:tcPr/>
          <w:p>
            <w:pPr>
              <w:pStyle w:val="Compact"/>
              <w:jc w:val="right"/>
            </w:pPr>
            <w:r>
              <w:t xml:space="preserve">0.05</w:t>
            </w:r>
          </w:p>
        </w:tc>
        <w:tc>
          <w:tcPr/>
          <w:p>
            <w:pPr>
              <w:pStyle w:val="Compact"/>
              <w:jc w:val="right"/>
            </w:pPr>
            <w:r>
              <w:t xml:space="preserve">-2.27</w:t>
            </w:r>
          </w:p>
        </w:tc>
        <w:tc>
          <w:tcPr/>
          <w:p>
            <w:pPr>
              <w:pStyle w:val="Compact"/>
              <w:jc w:val="right"/>
            </w:pPr>
            <w:r>
              <w:t xml:space="preserve">0.023</w:t>
            </w:r>
          </w:p>
        </w:tc>
        <w:tc>
          <w:tcPr/>
          <w:p>
            <w:pPr>
              <w:pStyle w:val="Compact"/>
              <w:jc w:val="right"/>
            </w:pPr>
            <w:r>
              <w:t xml:space="preserve">0.80</w:t>
            </w:r>
          </w:p>
        </w:tc>
        <w:tc>
          <w:tcPr/>
          <w:p>
            <w:pPr>
              <w:pStyle w:val="Compact"/>
              <w:jc w:val="right"/>
            </w:pPr>
            <w:r>
              <w:t xml:space="preserve">0.98</w:t>
            </w:r>
          </w:p>
        </w:tc>
      </w:tr>
      <w:tr>
        <w:tc>
          <w:tcPr/>
          <w:p>
            <w:pPr>
              <w:pStyle w:val="Compact"/>
            </w:pPr>
            <w:r>
              <w:t xml:space="preserve">Secondary Education</w:t>
            </w:r>
          </w:p>
        </w:tc>
        <w:tc>
          <w:tcPr/>
          <w:p>
            <w:pPr>
              <w:pStyle w:val="Compact"/>
              <w:jc w:val="right"/>
            </w:pPr>
            <w:r>
              <w:t xml:space="preserve">1.68</w:t>
            </w:r>
          </w:p>
        </w:tc>
        <w:tc>
          <w:tcPr/>
          <w:p>
            <w:pPr>
              <w:pStyle w:val="Compact"/>
              <w:jc w:val="right"/>
            </w:pPr>
            <w:r>
              <w:t xml:space="preserve">0.22</w:t>
            </w:r>
          </w:p>
        </w:tc>
        <w:tc>
          <w:tcPr/>
          <w:p>
            <w:pPr>
              <w:pStyle w:val="Compact"/>
              <w:jc w:val="right"/>
            </w:pPr>
            <w:r>
              <w:t xml:space="preserve">2.39</w:t>
            </w:r>
          </w:p>
        </w:tc>
        <w:tc>
          <w:tcPr/>
          <w:p>
            <w:pPr>
              <w:pStyle w:val="Compact"/>
              <w:jc w:val="right"/>
            </w:pPr>
            <w:r>
              <w:t xml:space="preserve">0.017</w:t>
            </w:r>
          </w:p>
        </w:tc>
        <w:tc>
          <w:tcPr/>
          <w:p>
            <w:pPr>
              <w:pStyle w:val="Compact"/>
              <w:jc w:val="right"/>
            </w:pPr>
            <w:r>
              <w:t xml:space="preserve">1.10</w:t>
            </w:r>
          </w:p>
        </w:tc>
        <w:tc>
          <w:tcPr/>
          <w:p>
            <w:pPr>
              <w:pStyle w:val="Compact"/>
              <w:jc w:val="right"/>
            </w:pPr>
            <w:r>
              <w:t xml:space="preserve">2.57</w:t>
            </w:r>
          </w:p>
        </w:tc>
      </w:tr>
      <w:tr>
        <w:tc>
          <w:tcPr/>
          <w:p>
            <w:pPr>
              <w:pStyle w:val="Compact"/>
            </w:pPr>
            <w:r>
              <w:t xml:space="preserve">Tertiary Education</w:t>
            </w:r>
          </w:p>
        </w:tc>
        <w:tc>
          <w:tcPr/>
          <w:p>
            <w:pPr>
              <w:pStyle w:val="Compact"/>
              <w:jc w:val="right"/>
            </w:pPr>
            <w:r>
              <w:t xml:space="preserve">0.85</w:t>
            </w:r>
          </w:p>
        </w:tc>
        <w:tc>
          <w:tcPr/>
          <w:p>
            <w:pPr>
              <w:pStyle w:val="Compact"/>
              <w:jc w:val="right"/>
            </w:pPr>
            <w:r>
              <w:t xml:space="preserve">0.21</w:t>
            </w:r>
          </w:p>
        </w:tc>
        <w:tc>
          <w:tcPr/>
          <w:p>
            <w:pPr>
              <w:pStyle w:val="Compact"/>
              <w:jc w:val="right"/>
            </w:pPr>
            <w:r>
              <w:t xml:space="preserve">-0.79</w:t>
            </w:r>
          </w:p>
        </w:tc>
        <w:tc>
          <w:tcPr/>
          <w:p>
            <w:pPr>
              <w:pStyle w:val="Compact"/>
              <w:jc w:val="right"/>
            </w:pPr>
            <w:r>
              <w:t xml:space="preserve">0.428</w:t>
            </w:r>
          </w:p>
        </w:tc>
        <w:tc>
          <w:tcPr/>
          <w:p>
            <w:pPr>
              <w:pStyle w:val="Compact"/>
              <w:jc w:val="right"/>
            </w:pPr>
            <w:r>
              <w:t xml:space="preserve">0.56</w:t>
            </w:r>
          </w:p>
        </w:tc>
        <w:tc>
          <w:tcPr/>
          <w:p>
            <w:pPr>
              <w:pStyle w:val="Compact"/>
              <w:jc w:val="right"/>
            </w:pPr>
            <w:r>
              <w:t xml:space="preserve">1.27</w:t>
            </w:r>
          </w:p>
        </w:tc>
      </w:tr>
      <w:tr>
        <w:tc>
          <w:tcPr/>
          <w:p>
            <w:pPr>
              <w:pStyle w:val="Compact"/>
            </w:pPr>
            <w:r>
              <w:t xml:space="preserve">University Education</w:t>
            </w:r>
          </w:p>
        </w:tc>
        <w:tc>
          <w:tcPr/>
          <w:p>
            <w:pPr>
              <w:pStyle w:val="Compact"/>
              <w:jc w:val="right"/>
            </w:pPr>
            <w:r>
              <w:t xml:space="preserve">1.37</w:t>
            </w:r>
          </w:p>
        </w:tc>
        <w:tc>
          <w:tcPr/>
          <w:p>
            <w:pPr>
              <w:pStyle w:val="Compact"/>
              <w:jc w:val="right"/>
            </w:pPr>
            <w:r>
              <w:t xml:space="preserve">0.21</w:t>
            </w:r>
          </w:p>
        </w:tc>
        <w:tc>
          <w:tcPr/>
          <w:p>
            <w:pPr>
              <w:pStyle w:val="Compact"/>
              <w:jc w:val="right"/>
            </w:pPr>
            <w:r>
              <w:t xml:space="preserve">1.49</w:t>
            </w:r>
          </w:p>
        </w:tc>
        <w:tc>
          <w:tcPr/>
          <w:p>
            <w:pPr>
              <w:pStyle w:val="Compact"/>
              <w:jc w:val="right"/>
            </w:pPr>
            <w:r>
              <w:t xml:space="preserve">0.135</w:t>
            </w:r>
          </w:p>
        </w:tc>
        <w:tc>
          <w:tcPr/>
          <w:p>
            <w:pPr>
              <w:pStyle w:val="Compact"/>
              <w:jc w:val="right"/>
            </w:pPr>
            <w:r>
              <w:t xml:space="preserve">0.91</w:t>
            </w:r>
          </w:p>
        </w:tc>
        <w:tc>
          <w:tcPr/>
          <w:p>
            <w:pPr>
              <w:pStyle w:val="Compact"/>
              <w:jc w:val="right"/>
            </w:pPr>
            <w:r>
              <w:t xml:space="preserve">2.06</w:t>
            </w:r>
          </w:p>
        </w:tc>
      </w:tr>
      <w:tr>
        <w:tc>
          <w:tcPr/>
          <w:p>
            <w:pPr>
              <w:pStyle w:val="Compact"/>
            </w:pPr>
            <w:r>
              <w:t xml:space="preserve">Interaction: Malaria Episodes × SP</w:t>
            </w:r>
          </w:p>
        </w:tc>
        <w:tc>
          <w:tcPr/>
          <w:p>
            <w:pPr>
              <w:pStyle w:val="Compact"/>
              <w:jc w:val="right"/>
            </w:pPr>
            <w:r>
              <w:t xml:space="preserve">1.47</w:t>
            </w:r>
          </w:p>
        </w:tc>
        <w:tc>
          <w:tcPr/>
          <w:p>
            <w:pPr>
              <w:pStyle w:val="Compact"/>
              <w:jc w:val="right"/>
            </w:pPr>
            <w:r>
              <w:t xml:space="preserve">0.12</w:t>
            </w:r>
          </w:p>
        </w:tc>
        <w:tc>
          <w:tcPr/>
          <w:p>
            <w:pPr>
              <w:pStyle w:val="Compact"/>
              <w:jc w:val="right"/>
            </w:pPr>
            <w:r>
              <w:t xml:space="preserve">3.13</w:t>
            </w:r>
          </w:p>
        </w:tc>
        <w:tc>
          <w:tcPr/>
          <w:p>
            <w:pPr>
              <w:pStyle w:val="Compact"/>
              <w:jc w:val="right"/>
            </w:pPr>
            <w:r>
              <w:t xml:space="preserve">0.002</w:t>
            </w:r>
          </w:p>
        </w:tc>
        <w:tc>
          <w:tcPr/>
          <w:p>
            <w:pPr>
              <w:pStyle w:val="Compact"/>
              <w:jc w:val="right"/>
            </w:pPr>
            <w:r>
              <w:t xml:space="preserve">1.16</w:t>
            </w:r>
          </w:p>
        </w:tc>
        <w:tc>
          <w:tcPr/>
          <w:p>
            <w:pPr>
              <w:pStyle w:val="Compact"/>
              <w:jc w:val="right"/>
            </w:pPr>
            <w:r>
              <w:t xml:space="preserve">1.88</w:t>
            </w:r>
          </w:p>
        </w:tc>
      </w:tr>
    </w:tbl>
    <w:p>
      <w:pPr>
        <w:pStyle w:val="BodyText"/>
      </w:pPr>
      <w:r>
        <w:t xml:space="preserve"> </w:t>
      </w:r>
      <w:r>
        <w:t xml:space="preserve"> </w:t>
      </w:r>
      <w:r>
        <w:t xml:space="preserve"> </w:t>
      </w:r>
    </w:p>
    <w:p>
      <w:pPr>
        <w:pStyle w:val="BodyText"/>
      </w:pPr>
      <w:r>
        <w:rPr>
          <w:b/>
          <w:bCs/>
        </w:rPr>
        <w:t xml:space="preserve">Table 5: Regression Diagnostics for IPTp Treatment Effect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t xml:space="preserve">Residual Df</w:t>
            </w:r>
          </w:p>
        </w:tc>
        <w:tc>
          <w:tcPr/>
          <w:p>
            <w:pPr>
              <w:pStyle w:val="Compact"/>
              <w:jc w:val="right"/>
            </w:pPr>
            <w:r>
              <w:t xml:space="preserve">Residual Dev</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p-value</w:t>
            </w:r>
          </w:p>
        </w:tc>
      </w:tr>
      <w:tr>
        <w:tc>
          <w:tcPr/>
          <w:p>
            <w:pPr>
              <w:pStyle w:val="Compact"/>
              <w:jc w:val="left"/>
            </w:pPr>
            <w:r>
              <w:t xml:space="preserve">No Interaction</w:t>
            </w:r>
          </w:p>
        </w:tc>
        <w:tc>
          <w:tcPr/>
          <w:p>
            <w:pPr>
              <w:pStyle w:val="Compact"/>
              <w:jc w:val="right"/>
            </w:pPr>
            <w:r>
              <w:t xml:space="preserve">774</w:t>
            </w:r>
          </w:p>
        </w:tc>
        <w:tc>
          <w:tcPr/>
          <w:p>
            <w:pPr>
              <w:pStyle w:val="Compact"/>
              <w:jc w:val="right"/>
            </w:pPr>
            <w:r>
              <w:t xml:space="preserve">1045.674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With Interaction</w:t>
            </w:r>
          </w:p>
        </w:tc>
        <w:tc>
          <w:tcPr/>
          <w:p>
            <w:pPr>
              <w:pStyle w:val="Compact"/>
              <w:jc w:val="right"/>
            </w:pPr>
            <w:r>
              <w:t xml:space="preserve">773</w:t>
            </w:r>
          </w:p>
        </w:tc>
        <w:tc>
          <w:tcPr/>
          <w:p>
            <w:pPr>
              <w:pStyle w:val="Compact"/>
              <w:jc w:val="right"/>
            </w:pPr>
            <w:r>
              <w:t xml:space="preserve">1035.565</w:t>
            </w:r>
          </w:p>
        </w:tc>
        <w:tc>
          <w:tcPr/>
          <w:p>
            <w:pPr>
              <w:pStyle w:val="Compact"/>
              <w:jc w:val="right"/>
            </w:pPr>
            <w:r>
              <w:t xml:space="preserve">1</w:t>
            </w:r>
          </w:p>
        </w:tc>
        <w:tc>
          <w:tcPr/>
          <w:p>
            <w:pPr>
              <w:pStyle w:val="Compact"/>
              <w:jc w:val="right"/>
            </w:pPr>
            <w:r>
              <w:t xml:space="preserve">10.10871</w:t>
            </w:r>
          </w:p>
        </w:tc>
        <w:tc>
          <w:tcPr/>
          <w:p>
            <w:pPr>
              <w:pStyle w:val="Compact"/>
              <w:jc w:val="right"/>
            </w:pPr>
            <w:r>
              <w:t xml:space="preserve">0.0014757</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Variable</w:t>
            </w:r>
          </w:p>
        </w:tc>
        <w:tc>
          <w:tcPr/>
          <w:p>
            <w:pPr>
              <w:pStyle w:val="Compact"/>
              <w:jc w:val="right"/>
            </w:pPr>
            <w:r>
              <w:t xml:space="preserve">GVIF</w:t>
            </w:r>
          </w:p>
        </w:tc>
        <w:tc>
          <w:tcPr/>
          <w:p>
            <w:pPr>
              <w:pStyle w:val="Compact"/>
              <w:jc w:val="right"/>
            </w:pPr>
            <w:r>
              <w:t xml:space="preserve">Df (VIF)</w:t>
            </w:r>
          </w:p>
        </w:tc>
        <w:tc>
          <w:tcPr/>
          <w:p>
            <w:pPr>
              <w:pStyle w:val="Compact"/>
              <w:jc w:val="right"/>
            </w:pPr>
            <w:r>
              <w:t xml:space="preserve">GVIF^(1/(2*Df))</w:t>
            </w:r>
          </w:p>
        </w:tc>
      </w:tr>
      <w:tr>
        <w:tc>
          <w:tcPr/>
          <w:p>
            <w:pPr>
              <w:pStyle w:val="Compact"/>
            </w:pPr>
            <w:r>
              <w:t xml:space="preserve">total_malaria_episodes</w:t>
            </w:r>
          </w:p>
        </w:tc>
        <w:tc>
          <w:tcPr/>
          <w:p>
            <w:pPr>
              <w:pStyle w:val="Compact"/>
              <w:jc w:val="left"/>
            </w:pPr>
            <w:r>
              <w:t xml:space="preserve">Total Malaria Episodes</w:t>
            </w:r>
          </w:p>
        </w:tc>
        <w:tc>
          <w:tcPr/>
          <w:p>
            <w:pPr>
              <w:pStyle w:val="Compact"/>
              <w:jc w:val="right"/>
            </w:pPr>
            <w:r>
              <w:t xml:space="preserve">1.798086</w:t>
            </w:r>
          </w:p>
        </w:tc>
        <w:tc>
          <w:tcPr/>
          <w:p>
            <w:pPr>
              <w:pStyle w:val="Compact"/>
              <w:jc w:val="right"/>
            </w:pPr>
            <w:r>
              <w:t xml:space="preserve">1</w:t>
            </w:r>
          </w:p>
        </w:tc>
        <w:tc>
          <w:tcPr/>
          <w:p>
            <w:pPr>
              <w:pStyle w:val="Compact"/>
              <w:jc w:val="right"/>
            </w:pPr>
            <w:r>
              <w:t xml:space="preserve">1.340927</w:t>
            </w:r>
          </w:p>
        </w:tc>
      </w:tr>
      <w:tr>
        <w:tc>
          <w:tcPr/>
          <w:p>
            <w:pPr>
              <w:pStyle w:val="Compact"/>
            </w:pPr>
            <w:r>
              <w:t xml:space="preserve">study_arm</w:t>
            </w:r>
          </w:p>
        </w:tc>
        <w:tc>
          <w:tcPr/>
          <w:p>
            <w:pPr>
              <w:pStyle w:val="Compact"/>
              <w:jc w:val="left"/>
            </w:pPr>
            <w:r>
              <w:t xml:space="preserve">Treatment Arm</w:t>
            </w:r>
          </w:p>
        </w:tc>
        <w:tc>
          <w:tcPr/>
          <w:p>
            <w:pPr>
              <w:pStyle w:val="Compact"/>
              <w:jc w:val="right"/>
            </w:pPr>
            <w:r>
              <w:t xml:space="preserve">2.368263</w:t>
            </w:r>
          </w:p>
        </w:tc>
        <w:tc>
          <w:tcPr/>
          <w:p>
            <w:pPr>
              <w:pStyle w:val="Compact"/>
              <w:jc w:val="right"/>
            </w:pPr>
            <w:r>
              <w:t xml:space="preserve">1</w:t>
            </w:r>
          </w:p>
        </w:tc>
        <w:tc>
          <w:tcPr/>
          <w:p>
            <w:pPr>
              <w:pStyle w:val="Compact"/>
              <w:jc w:val="right"/>
            </w:pPr>
            <w:r>
              <w:t xml:space="preserve">1.538916</w:t>
            </w:r>
          </w:p>
        </w:tc>
      </w:tr>
      <w:tr>
        <w:tc>
          <w:tcPr/>
          <w:p>
            <w:pPr>
              <w:pStyle w:val="Compact"/>
            </w:pPr>
            <w:r>
              <w:t xml:space="preserve">age_at_enrollment_years</w:t>
            </w:r>
          </w:p>
        </w:tc>
        <w:tc>
          <w:tcPr/>
          <w:p>
            <w:pPr>
              <w:pStyle w:val="Compact"/>
              <w:jc w:val="left"/>
            </w:pPr>
            <w:r>
              <w:t xml:space="preserve">Age at Enrollment</w:t>
            </w:r>
          </w:p>
        </w:tc>
        <w:tc>
          <w:tcPr/>
          <w:p>
            <w:pPr>
              <w:pStyle w:val="Compact"/>
              <w:jc w:val="right"/>
            </w:pPr>
            <w:r>
              <w:t xml:space="preserve">1.005887</w:t>
            </w:r>
          </w:p>
        </w:tc>
        <w:tc>
          <w:tcPr/>
          <w:p>
            <w:pPr>
              <w:pStyle w:val="Compact"/>
              <w:jc w:val="right"/>
            </w:pPr>
            <w:r>
              <w:t xml:space="preserve">1</w:t>
            </w:r>
          </w:p>
        </w:tc>
        <w:tc>
          <w:tcPr/>
          <w:p>
            <w:pPr>
              <w:pStyle w:val="Compact"/>
              <w:jc w:val="right"/>
            </w:pPr>
            <w:r>
              <w:t xml:space="preserve">1.002939</w:t>
            </w:r>
          </w:p>
        </w:tc>
      </w:tr>
      <w:tr>
        <w:tc>
          <w:tcPr/>
          <w:p>
            <w:pPr>
              <w:pStyle w:val="Compact"/>
            </w:pPr>
            <w:r>
              <w:t xml:space="preserve">gravidity</w:t>
            </w:r>
          </w:p>
        </w:tc>
        <w:tc>
          <w:tcPr/>
          <w:p>
            <w:pPr>
              <w:pStyle w:val="Compact"/>
              <w:jc w:val="left"/>
            </w:pPr>
            <w:r>
              <w:t xml:space="preserve">Gravidity</w:t>
            </w:r>
          </w:p>
        </w:tc>
        <w:tc>
          <w:tcPr/>
          <w:p>
            <w:pPr>
              <w:pStyle w:val="Compact"/>
              <w:jc w:val="right"/>
            </w:pPr>
            <w:r>
              <w:t xml:space="preserve">1.010161</w:t>
            </w:r>
          </w:p>
        </w:tc>
        <w:tc>
          <w:tcPr/>
          <w:p>
            <w:pPr>
              <w:pStyle w:val="Compact"/>
              <w:jc w:val="right"/>
            </w:pPr>
            <w:r>
              <w:t xml:space="preserve">1</w:t>
            </w:r>
          </w:p>
        </w:tc>
        <w:tc>
          <w:tcPr/>
          <w:p>
            <w:pPr>
              <w:pStyle w:val="Compact"/>
              <w:jc w:val="right"/>
            </w:pPr>
            <w:r>
              <w:t xml:space="preserve">1.005068</w:t>
            </w:r>
          </w:p>
        </w:tc>
      </w:tr>
      <w:tr>
        <w:tc>
          <w:tcPr/>
          <w:p>
            <w:pPr>
              <w:pStyle w:val="Compact"/>
            </w:pPr>
            <w:r>
              <w:t xml:space="preserve">education_level</w:t>
            </w:r>
          </w:p>
        </w:tc>
        <w:tc>
          <w:tcPr/>
          <w:p>
            <w:pPr>
              <w:pStyle w:val="Compact"/>
              <w:jc w:val="left"/>
            </w:pPr>
            <w:r>
              <w:t xml:space="preserve">Education Level</w:t>
            </w:r>
          </w:p>
        </w:tc>
        <w:tc>
          <w:tcPr/>
          <w:p>
            <w:pPr>
              <w:pStyle w:val="Compact"/>
              <w:jc w:val="right"/>
            </w:pPr>
            <w:r>
              <w:t xml:space="preserve">1.020210</w:t>
            </w:r>
          </w:p>
        </w:tc>
        <w:tc>
          <w:tcPr/>
          <w:p>
            <w:pPr>
              <w:pStyle w:val="Compact"/>
              <w:jc w:val="right"/>
            </w:pPr>
            <w:r>
              <w:t xml:space="preserve">3</w:t>
            </w:r>
          </w:p>
        </w:tc>
        <w:tc>
          <w:tcPr/>
          <w:p>
            <w:pPr>
              <w:pStyle w:val="Compact"/>
              <w:jc w:val="right"/>
            </w:pPr>
            <w:r>
              <w:t xml:space="preserve">1.003340</w:t>
            </w:r>
          </w:p>
        </w:tc>
      </w:tr>
      <w:tr>
        <w:tc>
          <w:tcPr/>
          <w:p>
            <w:pPr>
              <w:pStyle w:val="Compact"/>
            </w:pPr>
            <w:r>
              <w:t xml:space="preserve">total_malaria_episodes:study_arm</w:t>
            </w:r>
          </w:p>
        </w:tc>
        <w:tc>
          <w:tcPr/>
          <w:p>
            <w:pPr>
              <w:pStyle w:val="Compact"/>
              <w:jc w:val="left"/>
            </w:pPr>
            <w:r>
              <w:t xml:space="preserve">Interaction: Malaria Episodes × SP</w:t>
            </w:r>
          </w:p>
        </w:tc>
        <w:tc>
          <w:tcPr/>
          <w:p>
            <w:pPr>
              <w:pStyle w:val="Compact"/>
              <w:jc w:val="right"/>
            </w:pPr>
            <w:r>
              <w:t xml:space="preserve">3.119000</w:t>
            </w:r>
          </w:p>
        </w:tc>
        <w:tc>
          <w:tcPr/>
          <w:p>
            <w:pPr>
              <w:pStyle w:val="Compact"/>
              <w:jc w:val="right"/>
            </w:pPr>
            <w:r>
              <w:t xml:space="preserve">1</w:t>
            </w:r>
          </w:p>
        </w:tc>
        <w:tc>
          <w:tcPr/>
          <w:p>
            <w:pPr>
              <w:pStyle w:val="Compact"/>
              <w:jc w:val="right"/>
            </w:pPr>
            <w:r>
              <w:t xml:space="preserve">1.766069</w:t>
            </w:r>
          </w:p>
        </w:tc>
      </w:tr>
    </w:tbl>
    <w:p>
      <w:pPr>
        <w:pStyle w:val="BodyText"/>
      </w:pPr>
      <w:r>
        <w:t xml:space="preserve"> </w:t>
      </w:r>
      <w:r>
        <w:t xml:space="preserve"> </w:t>
      </w:r>
      <w:r>
        <w:t xml:space="preserve"> </w:t>
      </w:r>
    </w:p>
    <w:p>
      <w:pPr>
        <w:pStyle w:val="BodyText"/>
      </w:pPr>
      <w:r>
        <w:rPr>
          <w:b/>
          <w:bCs/>
        </w:rPr>
        <w:t xml:space="preserve">Table 6: Evaluating Effect Modification by IPTp Treatment on Malaria-Related Adverse Birth Outcomes Through Model Comparison</w:t>
      </w:r>
    </w:p>
    <w:p>
      <w:pPr>
        <w:pStyle w:val="BodyText"/>
      </w:pPr>
      <w:r>
        <w:drawing>
          <wp:inline>
            <wp:extent cx="5334000" cy="2564295"/>
            <wp:effectExtent b="0" l="0" r="0" t="0"/>
            <wp:docPr descr="" title="" id="33" name="Picture"/>
            <a:graphic>
              <a:graphicData uri="http://schemas.openxmlformats.org/drawingml/2006/picture">
                <pic:pic>
                  <pic:nvPicPr>
                    <pic:cNvPr descr="../../Images/Table-%20Comparing%20Models%20.png" id="34" name="Picture"/>
                    <pic:cNvPicPr>
                      <a:picLocks noChangeArrowheads="1" noChangeAspect="1"/>
                    </pic:cNvPicPr>
                  </pic:nvPicPr>
                  <pic:blipFill>
                    <a:blip r:embed="rId32"/>
                    <a:stretch>
                      <a:fillRect/>
                    </a:stretch>
                  </pic:blipFill>
                  <pic:spPr bwMode="auto">
                    <a:xfrm>
                      <a:off x="0" y="0"/>
                      <a:ext cx="5334000" cy="256429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7: “Incidence Rate Ratios for Malaria Episode Occurrence among Pregnant Women</w:t>
      </w:r>
    </w:p>
    <w:tbl>
      <w:tblPr>
        <w:tblStyle w:val="Table"/>
        <w:tblW w:type="pct" w:w="5000"/>
        <w:tblLayout w:type="fixed"/>
        <w:tblLook w:firstRow="1" w:lastRow="0" w:firstColumn="0" w:lastColumn="0" w:noHBand="0" w:noVBand="0" w:val="0020"/>
      </w:tblPr>
      <w:tblGrid>
        <w:gridCol w:w="2917"/>
        <w:gridCol w:w="1042"/>
        <w:gridCol w:w="1458"/>
        <w:gridCol w:w="1458"/>
        <w:gridCol w:w="1042"/>
      </w:tblGrid>
      <w:tr>
        <w:trPr>
          <w:tblHeader w:val="on"/>
        </w:trPr>
        <w:tc>
          <w:tcPr/>
          <w:p>
            <w:pPr>
              <w:pStyle w:val="Compact"/>
              <w:jc w:val="left"/>
            </w:pPr>
            <w:r>
              <w:t xml:space="preserve">Variable</w:t>
            </w:r>
          </w:p>
        </w:tc>
        <w:tc>
          <w:tcPr/>
          <w:p>
            <w:pPr>
              <w:pStyle w:val="Compact"/>
              <w:jc w:val="right"/>
            </w:pPr>
            <w:r>
              <w:t xml:space="preserve">IRR</w:t>
            </w:r>
          </w:p>
        </w:tc>
        <w:tc>
          <w:tcPr/>
          <w:p>
            <w:pPr>
              <w:pStyle w:val="Compact"/>
              <w:jc w:val="right"/>
            </w:pPr>
            <w:r>
              <w:t xml:space="preserve">X95..CI.Lower</w:t>
            </w:r>
          </w:p>
        </w:tc>
        <w:tc>
          <w:tcPr/>
          <w:p>
            <w:pPr>
              <w:pStyle w:val="Compact"/>
              <w:jc w:val="right"/>
            </w:pPr>
            <w:r>
              <w:t xml:space="preserve">X95..CI.Upper</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1.6081682</w:t>
            </w:r>
          </w:p>
        </w:tc>
        <w:tc>
          <w:tcPr/>
          <w:p>
            <w:pPr>
              <w:pStyle w:val="Compact"/>
              <w:jc w:val="right"/>
            </w:pPr>
            <w:r>
              <w:t xml:space="preserve">1.1297705</w:t>
            </w:r>
          </w:p>
        </w:tc>
        <w:tc>
          <w:tcPr/>
          <w:p>
            <w:pPr>
              <w:pStyle w:val="Compact"/>
              <w:jc w:val="right"/>
            </w:pPr>
            <w:r>
              <w:t xml:space="preserve">2.280714</w:t>
            </w:r>
          </w:p>
        </w:tc>
        <w:tc>
          <w:tcPr/>
          <w:p>
            <w:pPr>
              <w:pStyle w:val="Compact"/>
              <w:jc w:val="right"/>
            </w:pPr>
            <w:r>
              <w:t xml:space="preserve">0.0080210</w:t>
            </w:r>
          </w:p>
        </w:tc>
      </w:tr>
      <w:tr>
        <w:tc>
          <w:tcPr/>
          <w:p>
            <w:pPr>
              <w:pStyle w:val="Compact"/>
              <w:jc w:val="left"/>
            </w:pPr>
            <w:r>
              <w:t xml:space="preserve">Treatment Arm (SP vs. DP)</w:t>
            </w:r>
          </w:p>
        </w:tc>
        <w:tc>
          <w:tcPr/>
          <w:p>
            <w:pPr>
              <w:pStyle w:val="Compact"/>
              <w:jc w:val="right"/>
            </w:pPr>
            <w:r>
              <w:t xml:space="preserve">1.0552044</w:t>
            </w:r>
          </w:p>
        </w:tc>
        <w:tc>
          <w:tcPr/>
          <w:p>
            <w:pPr>
              <w:pStyle w:val="Compact"/>
              <w:jc w:val="right"/>
            </w:pPr>
            <w:r>
              <w:t xml:space="preserve">0.9382987</w:t>
            </w:r>
          </w:p>
        </w:tc>
        <w:tc>
          <w:tcPr/>
          <w:p>
            <w:pPr>
              <w:pStyle w:val="Compact"/>
              <w:jc w:val="right"/>
            </w:pPr>
            <w:r>
              <w:t xml:space="preserve">1.186523</w:t>
            </w:r>
          </w:p>
        </w:tc>
        <w:tc>
          <w:tcPr/>
          <w:p>
            <w:pPr>
              <w:pStyle w:val="Compact"/>
              <w:jc w:val="right"/>
            </w:pPr>
            <w:r>
              <w:t xml:space="preserve">0.3693644</w:t>
            </w:r>
          </w:p>
        </w:tc>
      </w:tr>
      <w:tr>
        <w:tc>
          <w:tcPr/>
          <w:p>
            <w:pPr>
              <w:pStyle w:val="Compact"/>
              <w:jc w:val="left"/>
            </w:pPr>
            <w:r>
              <w:t xml:space="preserve">Age at Enrollment (years)</w:t>
            </w:r>
          </w:p>
        </w:tc>
        <w:tc>
          <w:tcPr/>
          <w:p>
            <w:pPr>
              <w:pStyle w:val="Compact"/>
              <w:jc w:val="right"/>
            </w:pPr>
            <w:r>
              <w:t xml:space="preserve">0.9942737</w:t>
            </w:r>
          </w:p>
        </w:tc>
        <w:tc>
          <w:tcPr/>
          <w:p>
            <w:pPr>
              <w:pStyle w:val="Compact"/>
              <w:jc w:val="right"/>
            </w:pPr>
            <w:r>
              <w:t xml:space="preserve">0.9825662</w:t>
            </w:r>
          </w:p>
        </w:tc>
        <w:tc>
          <w:tcPr/>
          <w:p>
            <w:pPr>
              <w:pStyle w:val="Compact"/>
              <w:jc w:val="right"/>
            </w:pPr>
            <w:r>
              <w:t xml:space="preserve">1.006133</w:t>
            </w:r>
          </w:p>
        </w:tc>
        <w:tc>
          <w:tcPr/>
          <w:p>
            <w:pPr>
              <w:pStyle w:val="Compact"/>
              <w:jc w:val="right"/>
            </w:pPr>
            <w:r>
              <w:t xml:space="preserve">0.3422319</w:t>
            </w:r>
          </w:p>
        </w:tc>
      </w:tr>
      <w:tr>
        <w:tc>
          <w:tcPr/>
          <w:p>
            <w:pPr>
              <w:pStyle w:val="Compact"/>
              <w:jc w:val="left"/>
            </w:pPr>
            <w:r>
              <w:t xml:space="preserve">Gravidity</w:t>
            </w:r>
          </w:p>
        </w:tc>
        <w:tc>
          <w:tcPr/>
          <w:p>
            <w:pPr>
              <w:pStyle w:val="Compact"/>
              <w:jc w:val="right"/>
            </w:pPr>
            <w:r>
              <w:t xml:space="preserve">1.0095680</w:t>
            </w:r>
          </w:p>
        </w:tc>
        <w:tc>
          <w:tcPr/>
          <w:p>
            <w:pPr>
              <w:pStyle w:val="Compact"/>
              <w:jc w:val="right"/>
            </w:pPr>
            <w:r>
              <w:t xml:space="preserve">0.9675647</w:t>
            </w:r>
          </w:p>
        </w:tc>
        <w:tc>
          <w:tcPr/>
          <w:p>
            <w:pPr>
              <w:pStyle w:val="Compact"/>
              <w:jc w:val="right"/>
            </w:pPr>
            <w:r>
              <w:t xml:space="preserve">1.053391</w:t>
            </w:r>
          </w:p>
        </w:tc>
        <w:tc>
          <w:tcPr/>
          <w:p>
            <w:pPr>
              <w:pStyle w:val="Compact"/>
              <w:jc w:val="right"/>
            </w:pPr>
            <w:r>
              <w:t xml:space="preserve">0.6604499</w:t>
            </w:r>
          </w:p>
        </w:tc>
      </w:tr>
      <w:tr>
        <w:tc>
          <w:tcPr/>
          <w:p>
            <w:pPr>
              <w:pStyle w:val="Compact"/>
              <w:jc w:val="left"/>
            </w:pPr>
            <w:r>
              <w:t xml:space="preserve">Education Level: Secondary</w:t>
            </w:r>
          </w:p>
        </w:tc>
        <w:tc>
          <w:tcPr/>
          <w:p>
            <w:pPr>
              <w:pStyle w:val="Compact"/>
              <w:jc w:val="right"/>
            </w:pPr>
            <w:r>
              <w:t xml:space="preserve">0.9884423</w:t>
            </w:r>
          </w:p>
        </w:tc>
        <w:tc>
          <w:tcPr/>
          <w:p>
            <w:pPr>
              <w:pStyle w:val="Compact"/>
              <w:jc w:val="right"/>
            </w:pPr>
            <w:r>
              <w:t xml:space="preserve">0.8348897</w:t>
            </w:r>
          </w:p>
        </w:tc>
        <w:tc>
          <w:tcPr/>
          <w:p>
            <w:pPr>
              <w:pStyle w:val="Compact"/>
              <w:jc w:val="right"/>
            </w:pPr>
            <w:r>
              <w:t xml:space="preserve">1.170522</w:t>
            </w:r>
          </w:p>
        </w:tc>
        <w:tc>
          <w:tcPr/>
          <w:p>
            <w:pPr>
              <w:pStyle w:val="Compact"/>
              <w:jc w:val="right"/>
            </w:pPr>
            <w:r>
              <w:t xml:space="preserve">0.8926618</w:t>
            </w:r>
          </w:p>
        </w:tc>
      </w:tr>
      <w:tr>
        <w:tc>
          <w:tcPr/>
          <w:p>
            <w:pPr>
              <w:pStyle w:val="Compact"/>
              <w:jc w:val="left"/>
            </w:pPr>
            <w:r>
              <w:t xml:space="preserve">Education Level: Tertiary</w:t>
            </w:r>
          </w:p>
        </w:tc>
        <w:tc>
          <w:tcPr/>
          <w:p>
            <w:pPr>
              <w:pStyle w:val="Compact"/>
              <w:jc w:val="right"/>
            </w:pPr>
            <w:r>
              <w:t xml:space="preserve">0.8900707</w:t>
            </w:r>
          </w:p>
        </w:tc>
        <w:tc>
          <w:tcPr/>
          <w:p>
            <w:pPr>
              <w:pStyle w:val="Compact"/>
              <w:jc w:val="right"/>
            </w:pPr>
            <w:r>
              <w:t xml:space="preserve">0.7505115</w:t>
            </w:r>
          </w:p>
        </w:tc>
        <w:tc>
          <w:tcPr/>
          <w:p>
            <w:pPr>
              <w:pStyle w:val="Compact"/>
              <w:jc w:val="right"/>
            </w:pPr>
            <w:r>
              <w:t xml:space="preserve">1.055600</w:t>
            </w:r>
          </w:p>
        </w:tc>
        <w:tc>
          <w:tcPr/>
          <w:p>
            <w:pPr>
              <w:pStyle w:val="Compact"/>
              <w:jc w:val="right"/>
            </w:pPr>
            <w:r>
              <w:t xml:space="preserve">0.1805472</w:t>
            </w:r>
          </w:p>
        </w:tc>
      </w:tr>
      <w:tr>
        <w:tc>
          <w:tcPr/>
          <w:p>
            <w:pPr>
              <w:pStyle w:val="Compact"/>
              <w:jc w:val="left"/>
            </w:pPr>
            <w:r>
              <w:t xml:space="preserve">Education Level: University</w:t>
            </w:r>
          </w:p>
        </w:tc>
        <w:tc>
          <w:tcPr/>
          <w:p>
            <w:pPr>
              <w:pStyle w:val="Compact"/>
              <w:jc w:val="right"/>
            </w:pPr>
            <w:r>
              <w:t xml:space="preserve">1.0363703</w:t>
            </w:r>
          </w:p>
        </w:tc>
        <w:tc>
          <w:tcPr/>
          <w:p>
            <w:pPr>
              <w:pStyle w:val="Compact"/>
              <w:jc w:val="right"/>
            </w:pPr>
            <w:r>
              <w:t xml:space="preserve">0.8805393</w:t>
            </w:r>
          </w:p>
        </w:tc>
        <w:tc>
          <w:tcPr/>
          <w:p>
            <w:pPr>
              <w:pStyle w:val="Compact"/>
              <w:jc w:val="right"/>
            </w:pPr>
            <w:r>
              <w:t xml:space="preserve">1.220799</w:t>
            </w:r>
          </w:p>
        </w:tc>
        <w:tc>
          <w:tcPr/>
          <w:p>
            <w:pPr>
              <w:pStyle w:val="Compact"/>
              <w:jc w:val="right"/>
            </w:pPr>
            <w:r>
              <w:t xml:space="preserve">0.6680350</w:t>
            </w:r>
          </w:p>
        </w:tc>
      </w:tr>
    </w:tbl>
    <w:p>
      <w:pPr>
        <w:pStyle w:val="BodyText"/>
      </w:pPr>
      <w:r>
        <w:t xml:space="preserve"> </w:t>
      </w:r>
      <w:r>
        <w:t xml:space="preserve"> </w:t>
      </w:r>
      <w:r>
        <w:t xml:space="preserve"> </w:t>
      </w:r>
    </w:p>
    <w:p>
      <w:pPr>
        <w:pStyle w:val="BodyText"/>
      </w:pPr>
      <w:r>
        <w:t xml:space="preserve">Baseline characteristics were similar across IPTp treatment arms, with comparable maternal age, gestational age, education, gravidity, and parity (Table 1). Although overall malaria exposure was similar between groups, the SP arm exhibited a significantly higher stillbirth rate (14% vs. 9%; p = 0.044) (Table 2).</w:t>
      </w:r>
    </w:p>
    <w:p>
      <w:pPr>
        <w:pStyle w:val="BodyText"/>
      </w:pPr>
      <w:r>
        <w:t xml:space="preserve">Multivariable logistic regression analyses, adjusted for maternal age, gravidity, and education revealed that the main effects of total malaria episodes (OR = 0.88, 95% CI: 0.75–1.03, p = 0.121) and treatment arm (OR = 0.69, 95% CI: 0.44–1.08, p = 0.102) were not statistically significant. However, incorporating an interaction term between malaria episodes and the IPTp regimen significantly improved model fit (ΔDeviance = 10.11, p = 0.00148), with the interaction itself reaching significance (OR = 1.47, 95% CI: 1.16–1.88, p = 0.002). These findings suggest that the impact of malaria exposure on adverse birth outcomes is modified by the treatment regimen. Additionally, gravidity demonstrated a protective effect (OR = 0.89, 95% CI: 0.80–0.98, p = 0.023), indicating that prior pregnancy experience reduces the risk of adverse outcomes.</w:t>
      </w:r>
    </w:p>
    <w:p>
      <w:pPr>
        <w:pStyle w:val="BodyText"/>
      </w:pPr>
      <w:r>
        <w:t xml:space="preserve"> </w:t>
      </w:r>
      <w:r>
        <w:t xml:space="preserve"> </w:t>
      </w:r>
      <w:r>
        <w:t xml:space="preserve"> </w:t>
      </w:r>
    </w:p>
    <w:p>
      <w:pPr>
        <w:pStyle w:val="BodyText"/>
      </w:pPr>
      <w:r>
        <w:rPr>
          <w:b/>
          <w:bCs/>
        </w:rPr>
        <w:t xml:space="preserve">Table 8: Adjusted Odds Ratios for Adverse Birth Outcomes Among Young Pregnant Women (&lt;25 Years)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Variable</w:t>
            </w:r>
          </w:p>
        </w:tc>
        <w:tc>
          <w:tcPr/>
          <w:p>
            <w:pPr>
              <w:pStyle w:val="Compact"/>
              <w:jc w:val="left"/>
            </w:pPr>
            <w:r>
              <w:t xml:space="preserve">Odds Ratio (95% CI)</w:t>
            </w:r>
          </w:p>
        </w:tc>
        <w:tc>
          <w:tcPr/>
          <w:p>
            <w:pPr>
              <w:pStyle w:val="Compact"/>
              <w:jc w:val="right"/>
            </w:pPr>
            <w:r>
              <w:t xml:space="preserve">p-value</w:t>
            </w:r>
          </w:p>
        </w:tc>
      </w:tr>
      <w:tr>
        <w:tc>
          <w:tcPr/>
          <w:p>
            <w:pPr>
              <w:pStyle w:val="Compact"/>
              <w:jc w:val="left"/>
            </w:pPr>
            <w:r>
              <w:t xml:space="preserve">Gravidity</w:t>
            </w:r>
          </w:p>
        </w:tc>
        <w:tc>
          <w:tcPr/>
          <w:p>
            <w:pPr>
              <w:pStyle w:val="Compact"/>
              <w:jc w:val="left"/>
            </w:pPr>
            <w:r>
              <w:t xml:space="preserve">0.86 (0.74, 1)</w:t>
            </w:r>
          </w:p>
        </w:tc>
        <w:tc>
          <w:tcPr/>
          <w:p>
            <w:pPr>
              <w:pStyle w:val="Compact"/>
              <w:jc w:val="right"/>
            </w:pPr>
            <w:r>
              <w:t xml:space="preserve">0.0444419</w:t>
            </w:r>
          </w:p>
        </w:tc>
      </w:tr>
      <w:tr>
        <w:tc>
          <w:tcPr/>
          <w:p>
            <w:pPr>
              <w:pStyle w:val="Compact"/>
              <w:jc w:val="left"/>
            </w:pPr>
            <w:r>
              <w:t xml:space="preserve">Total Malaria Episodes</w:t>
            </w:r>
          </w:p>
        </w:tc>
        <w:tc>
          <w:tcPr/>
          <w:p>
            <w:pPr>
              <w:pStyle w:val="Compact"/>
              <w:jc w:val="left"/>
            </w:pPr>
            <w:r>
              <w:t xml:space="preserve">0.97 (0.83, 1.15)</w:t>
            </w:r>
          </w:p>
        </w:tc>
        <w:tc>
          <w:tcPr/>
          <w:p>
            <w:pPr>
              <w:pStyle w:val="Compact"/>
              <w:jc w:val="right"/>
            </w:pPr>
            <w:r>
              <w:t xml:space="preserve">0.7447399</w:t>
            </w:r>
          </w:p>
        </w:tc>
      </w:tr>
      <w:tr>
        <w:tc>
          <w:tcPr/>
          <w:p>
            <w:pPr>
              <w:pStyle w:val="Compact"/>
              <w:jc w:val="left"/>
            </w:pPr>
            <w:r>
              <w:t xml:space="preserve">Treatment Arm (SP)</w:t>
            </w:r>
          </w:p>
        </w:tc>
        <w:tc>
          <w:tcPr/>
          <w:p>
            <w:pPr>
              <w:pStyle w:val="Compact"/>
              <w:jc w:val="left"/>
            </w:pPr>
            <w:r>
              <w:t xml:space="preserve">0.96 (0.64, 1.44)</w:t>
            </w:r>
          </w:p>
        </w:tc>
        <w:tc>
          <w:tcPr/>
          <w:p>
            <w:pPr>
              <w:pStyle w:val="Compact"/>
              <w:jc w:val="right"/>
            </w:pPr>
            <w:r>
              <w:t xml:space="preserve">0.8412639</w:t>
            </w:r>
          </w:p>
        </w:tc>
      </w:tr>
      <w:tr>
        <w:tc>
          <w:tcPr/>
          <w:p>
            <w:pPr>
              <w:pStyle w:val="Compact"/>
              <w:jc w:val="left"/>
            </w:pPr>
            <w:r>
              <w:t xml:space="preserve">Secondary Education</w:t>
            </w:r>
          </w:p>
        </w:tc>
        <w:tc>
          <w:tcPr/>
          <w:p>
            <w:pPr>
              <w:pStyle w:val="Compact"/>
              <w:jc w:val="left"/>
            </w:pPr>
            <w:r>
              <w:t xml:space="preserve">1.39 (0.77, 2.53)</w:t>
            </w:r>
          </w:p>
        </w:tc>
        <w:tc>
          <w:tcPr/>
          <w:p>
            <w:pPr>
              <w:pStyle w:val="Compact"/>
              <w:jc w:val="right"/>
            </w:pPr>
            <w:r>
              <w:t xml:space="preserve">0.2697874</w:t>
            </w:r>
          </w:p>
        </w:tc>
      </w:tr>
      <w:tr>
        <w:tc>
          <w:tcPr/>
          <w:p>
            <w:pPr>
              <w:pStyle w:val="Compact"/>
              <w:jc w:val="left"/>
            </w:pPr>
            <w:r>
              <w:t xml:space="preserve">Tertiary Education</w:t>
            </w:r>
          </w:p>
        </w:tc>
        <w:tc>
          <w:tcPr/>
          <w:p>
            <w:pPr>
              <w:pStyle w:val="Compact"/>
              <w:jc w:val="left"/>
            </w:pPr>
            <w:r>
              <w:t xml:space="preserve">1.01 (0.57, 1.8)</w:t>
            </w:r>
          </w:p>
        </w:tc>
        <w:tc>
          <w:tcPr/>
          <w:p>
            <w:pPr>
              <w:pStyle w:val="Compact"/>
              <w:jc w:val="right"/>
            </w:pPr>
            <w:r>
              <w:t xml:space="preserve">0.9668397</w:t>
            </w:r>
          </w:p>
        </w:tc>
      </w:tr>
      <w:tr>
        <w:tc>
          <w:tcPr/>
          <w:p>
            <w:pPr>
              <w:pStyle w:val="Compact"/>
              <w:jc w:val="left"/>
            </w:pPr>
            <w:r>
              <w:t xml:space="preserve">University Education</w:t>
            </w:r>
          </w:p>
        </w:tc>
        <w:tc>
          <w:tcPr/>
          <w:p>
            <w:pPr>
              <w:pStyle w:val="Compact"/>
              <w:jc w:val="left"/>
            </w:pPr>
            <w:r>
              <w:t xml:space="preserve">1.3 (0.73, 2.3)</w:t>
            </w:r>
          </w:p>
        </w:tc>
        <w:tc>
          <w:tcPr/>
          <w:p>
            <w:pPr>
              <w:pStyle w:val="Compact"/>
              <w:jc w:val="right"/>
            </w:pPr>
            <w:r>
              <w:t xml:space="preserve">0.3709861</w:t>
            </w:r>
          </w:p>
        </w:tc>
      </w:tr>
    </w:tbl>
    <w:p>
      <w:pPr>
        <w:pStyle w:val="BodyText"/>
      </w:pPr>
      <w:r>
        <w:t xml:space="preserve"> </w:t>
      </w:r>
      <w:r>
        <w:t xml:space="preserve"> </w:t>
      </w:r>
      <w:r>
        <w:t xml:space="preserve"> </w:t>
      </w:r>
    </w:p>
    <w:p>
      <w:pPr>
        <w:pStyle w:val="BodyText"/>
      </w:pPr>
      <w:r>
        <w:rPr>
          <w:b/>
          <w:bCs/>
        </w:rPr>
        <w:t xml:space="preserve">Figure 3: Predicted Probability of Adverse Outcome by Gravidity (Age &lt; 25)</w:t>
      </w:r>
    </w:p>
    <w:p>
      <w:pPr>
        <w:pStyle w:val="BodyText"/>
      </w:pPr>
      <w:r>
        <w:drawing>
          <wp:inline>
            <wp:extent cx="4620126" cy="3696101"/>
            <wp:effectExtent b="0" l="0" r="0" t="0"/>
            <wp:docPr descr="" title="" id="36" name="Picture"/>
            <a:graphic>
              <a:graphicData uri="http://schemas.openxmlformats.org/drawingml/2006/picture">
                <pic:pic>
                  <pic:nvPicPr>
                    <pic:cNvPr descr="manuscript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Based on our findings, the impact of malaria on adverse birth outcomes is significantly modified by the IPTp regimen, with a distinct interaction effect observed for the SP regimen. Additionally, increased gravidity appears to offer a protective benefit, particularly among women under 25 years. Detailed results supporting these observations are presented in Tables 3–6 and Figures 1–3.</w:t>
      </w:r>
    </w:p>
    <w:p>
      <w:r>
        <w:br w:type="page"/>
      </w:r>
    </w:p>
    <w:bookmarkEnd w:id="38"/>
    <w:bookmarkEnd w:id="39"/>
    <w:bookmarkStart w:id="44" w:name="discussion"/>
    <w:p>
      <w:pPr>
        <w:pStyle w:val="Heading1"/>
      </w:pPr>
      <w:r>
        <w:t xml:space="preserve">6. Discussion</w:t>
      </w:r>
    </w:p>
    <w:p>
      <w:pPr>
        <w:pStyle w:val="FirstParagraph"/>
      </w:pPr>
      <w:r>
        <w:t xml:space="preserve">Our data analysis from a randomized controlled trial in Uganda provides important insights into the interplay between malaria exposure, IPTp regimen, and adverse birth outcomes. Specifically, our findings reveal that while the individual effects of total malaria episodes and the treatment arm were not statistically significant, the interaction between malaria episodes and the SP regimen significantly increased the risk of adverse outcomes. Additionally, increased gravidity emerged as a robust protective factor, particularly among pregnant women under 25 years, with each additional pregnancy associated with a roughly 14% reduction in risk.</w:t>
      </w:r>
    </w:p>
    <w:p>
      <w:pPr>
        <w:pStyle w:val="BodyText"/>
      </w:pPr>
      <w:r>
        <w:t xml:space="preserve">These results align with previous studies that have highlighted the complex relationship between maternal characteristics and malaria-related complications during pregnancy. For example, similar protective effects of gravidity have been reported in the literature (Chua et al., 2021), and emerging evidence suggests that the efficacy of IPTp regimens may vary depending on the context and specific treatment used (Talapko et al., 2019 World Health Organization, 2023). Our findings extend these observations by demonstrating that the SP regimen, in particular, modifies the impact of malaria exposure on birth outcomes, emphasizing the need for tailored malaria prevention strategies.</w:t>
      </w:r>
    </w:p>
    <w:p>
      <w:pPr>
        <w:pStyle w:val="BodyText"/>
      </w:pPr>
      <w:r>
        <w:t xml:space="preserve">However, our study has several limitations. First, the data were derived from a controlled trial setting, which may limit the generalizability of the findings to broader, real-world populations. Second, the necessity to exclude or impute variables with significant missing data could have influenced the robustness of our estimates. Third, the modest discriminative ability of our models reflected in ROC curves with AUC values near 0.55–0.60 suggests that additional, unmeasured factors might contribute to adverse birth outcomes.</w:t>
      </w:r>
    </w:p>
    <w:p>
      <w:pPr>
        <w:pStyle w:val="BodyText"/>
      </w:pPr>
      <w:r>
        <w:t xml:space="preserve">Despite these limitations, our study offers valuable contributions to the field. The evidence that IPTp regimen choice can modify the relationship between malaria episodes and adverse birth outcomes, along with the protective role of gravidity, underscores the importance of developing more personalized intervention strategies. Future research should aim to validate these findings in more diverse settings and explore other potential determinants of maternal and neonatal health in malaria-endemic regions.</w:t>
      </w:r>
    </w:p>
    <w:p>
      <w:pPr>
        <w:pStyle w:val="BodyText"/>
      </w:pPr>
      <w:r>
        <w:t xml:space="preserve">In summary, our findings advocate for a nuanced approach to malaria prevention in pregnancy that considers both the specific IPTp regimen and individual maternal reproductive history. Such tailored strategies have the potential to substantially improve maternal and neonatal health outcomes in regions where malaria remains a significant public health challenge.</w:t>
      </w:r>
    </w:p>
    <w:bookmarkStart w:id="40" w:name="summary-and-interpretation"/>
    <w:p>
      <w:pPr>
        <w:pStyle w:val="Heading2"/>
      </w:pPr>
      <w:r>
        <w:t xml:space="preserve">6.1 Summary and Interpretation</w:t>
      </w:r>
    </w:p>
    <w:p>
      <w:pPr>
        <w:pStyle w:val="FirstParagraph"/>
      </w:pPr>
      <w:r>
        <w:rPr>
          <w:i/>
          <w:iCs/>
        </w:rPr>
        <w:t xml:space="preserve">Summarize what you did, what you found and what it means.</w:t>
      </w:r>
    </w:p>
    <w:bookmarkEnd w:id="40"/>
    <w:bookmarkStart w:id="41" w:name="strengths-and-limitations"/>
    <w:p>
      <w:pPr>
        <w:pStyle w:val="Heading2"/>
      </w:pPr>
      <w:r>
        <w:t xml:space="preserve">6.2 Strengths and Limitations</w:t>
      </w:r>
    </w:p>
    <w:p>
      <w:pPr>
        <w:pStyle w:val="FirstParagraph"/>
      </w:pPr>
      <w:r>
        <w:rPr>
          <w:i/>
          <w:iCs/>
        </w:rPr>
        <w:t xml:space="preserve">Discuss what you perceive as strengths and limitations of your analysis.</w:t>
      </w:r>
    </w:p>
    <w:bookmarkEnd w:id="41"/>
    <w:bookmarkStart w:id="43" w:name="conclusions"/>
    <w:p>
      <w:pPr>
        <w:pStyle w:val="Heading2"/>
      </w:pPr>
      <w:r>
        <w:t xml:space="preserve">6.3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2">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3"/>
    <w:bookmarkEnd w:id="44"/>
    <w:bookmarkStart w:id="52" w:name="references"/>
    <w:p>
      <w:pPr>
        <w:pStyle w:val="Heading1"/>
      </w:pPr>
      <w:r>
        <w:t xml:space="preserve">7. References</w:t>
      </w:r>
    </w:p>
    <w:bookmarkStart w:id="51" w:name="refs"/>
    <w:bookmarkStart w:id="46" w:name="ref-leek2015"/>
    <w:p>
      <w:pPr>
        <w:pStyle w:val="Bibliography"/>
      </w:pPr>
      <w:r>
        <w:t xml:space="preserve">1.</w:t>
      </w:r>
      <w:r>
        <w:t xml:space="preserve"> </w:t>
      </w:r>
      <w:r>
        <w:t xml:space="preserve">	</w:t>
      </w:r>
      <w:r>
        <w:t xml:space="preserve">Leek JT, Peng RD.</w:t>
      </w:r>
      <w:r>
        <w:t xml:space="preserve"> </w:t>
      </w:r>
      <w:hyperlink r:id="rId45">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46"/>
    <w:bookmarkStart w:id="48" w:name="ref-mckay2020"/>
    <w:p>
      <w:pPr>
        <w:pStyle w:val="Bibliography"/>
      </w:pPr>
      <w:r>
        <w:t xml:space="preserve">2.</w:t>
      </w:r>
      <w:r>
        <w:t xml:space="preserve"> </w:t>
      </w:r>
      <w:r>
        <w:t xml:space="preserve">	</w:t>
      </w:r>
      <w:r>
        <w:t xml:space="preserve">McKay B, Ebell M, Billings WZ, et al.</w:t>
      </w:r>
      <w:r>
        <w:t xml:space="preserve"> </w:t>
      </w:r>
      <w:hyperlink r:id="rId47">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48"/>
    <w:bookmarkStart w:id="50" w:name="ref-mckay2020a"/>
    <w:p>
      <w:pPr>
        <w:pStyle w:val="Bibliography"/>
      </w:pPr>
      <w:r>
        <w:t xml:space="preserve">3.</w:t>
      </w:r>
      <w:r>
        <w:t xml:space="preserve"> </w:t>
      </w:r>
      <w:r>
        <w:t xml:space="preserve">	</w:t>
      </w:r>
      <w:r>
        <w:t xml:space="preserve">McKay B, Ebell M, Dale AP, et al.</w:t>
      </w:r>
      <w:r>
        <w:t xml:space="preserve"> </w:t>
      </w:r>
      <w:hyperlink r:id="rId49">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47" Target="https://doi.org/10.1093/ofid/ofaa494" TargetMode="External" /><Relationship Type="http://schemas.openxmlformats.org/officeDocument/2006/relationships/hyperlink" Id="rId49" Target="https://doi.org/10.1098/rspb.2020.0496" TargetMode="External" /><Relationship Type="http://schemas.openxmlformats.org/officeDocument/2006/relationships/hyperlink" Id="rId45" Target="https://doi.org/10.1126/science.aaa6146" TargetMode="External" /><Relationship Type="http://schemas.openxmlformats.org/officeDocument/2006/relationships/hyperlink" Id="rId4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93/ofid/ofaa494" TargetMode="External" /><Relationship Type="http://schemas.openxmlformats.org/officeDocument/2006/relationships/hyperlink" Id="rId49" Target="https://doi.org/10.1098/rspb.2020.0496" TargetMode="External" /><Relationship Type="http://schemas.openxmlformats.org/officeDocument/2006/relationships/hyperlink" Id="rId45" Target="https://doi.org/10.1126/science.aaa6146" TargetMode="External" /><Relationship Type="http://schemas.openxmlformats.org/officeDocument/2006/relationships/hyperlink" Id="rId4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2025-04-05T04:26:16Z</dcterms:created>
  <dcterms:modified xsi:type="dcterms:W3CDTF">2025-04-05T04:26:16Z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