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
      <w:tblGrid>
        <w:gridCol w:w="4294"/>
        <w:gridCol w:w="3209"/>
        <w:gridCol w:w="1427"/>
        <w:gridCol w:w="2802"/>
        <w:gridCol w:w="1127"/>
        <w:gridCol w:w="3105"/>
      </w:tblGrid>
      <w:tr w:rsidR="009D337E" w:rsidRPr="000D7A74" w:rsidTr="000D7A74">
        <w:tc>
          <w:tcPr>
            <w:tcW w:w="16090" w:type="dxa"/>
            <w:gridSpan w:val="6"/>
            <w:tcBorders>
              <w:bottom w:val="single" w:sz="4" w:space="0" w:color="auto"/>
            </w:tcBorders>
            <w:shd w:val="clear" w:color="auto" w:fill="17365D" w:themeFill="text2" w:themeFillShade="BF"/>
          </w:tcPr>
          <w:p w:rsidR="009D337E" w:rsidRPr="000D7A74" w:rsidRDefault="009D337E" w:rsidP="00E20D16">
            <w:pPr>
              <w:rPr>
                <w:rFonts w:cs="Arial"/>
                <w:color w:val="FFFFFF" w:themeColor="background1"/>
                <w:sz w:val="48"/>
                <w:szCs w:val="48"/>
              </w:rPr>
            </w:pPr>
            <w:r w:rsidRPr="000D7A74">
              <w:rPr>
                <w:rFonts w:cs="Arial"/>
                <w:color w:val="FFFFFF" w:themeColor="background1"/>
                <w:sz w:val="48"/>
                <w:szCs w:val="48"/>
              </w:rPr>
              <w:t>Risk Assessment</w:t>
            </w:r>
          </w:p>
        </w:tc>
      </w:tr>
      <w:tr w:rsidR="009D337E" w:rsidTr="00952DC4">
        <w:tc>
          <w:tcPr>
            <w:tcW w:w="16090" w:type="dxa"/>
            <w:gridSpan w:val="6"/>
            <w:tcBorders>
              <w:left w:val="single" w:sz="4" w:space="0" w:color="auto"/>
              <w:bottom w:val="single" w:sz="4" w:space="0" w:color="auto"/>
            </w:tcBorders>
          </w:tcPr>
          <w:p w:rsidR="009D337E" w:rsidRPr="003547D1" w:rsidRDefault="009D337E" w:rsidP="00535A11">
            <w:pPr>
              <w:pStyle w:val="ListParagraph"/>
              <w:spacing w:after="120"/>
              <w:ind w:left="360"/>
              <w:rPr>
                <w:rFonts w:ascii="Arial" w:hAnsi="Arial" w:cs="Arial"/>
                <w:b/>
                <w:color w:val="17365D" w:themeColor="text2" w:themeShade="BF"/>
                <w:sz w:val="16"/>
                <w:szCs w:val="16"/>
              </w:rPr>
            </w:pPr>
            <w:r w:rsidRPr="003547D1">
              <w:rPr>
                <w:rFonts w:ascii="Arial" w:hAnsi="Arial" w:cs="Arial"/>
                <w:b/>
                <w:color w:val="17365D" w:themeColor="text2" w:themeShade="BF"/>
                <w:sz w:val="16"/>
                <w:szCs w:val="16"/>
              </w:rPr>
              <w:t>PROCEDURE:</w:t>
            </w:r>
          </w:p>
          <w:p w:rsidR="009D337E" w:rsidRPr="003547D1" w:rsidRDefault="009D337E" w:rsidP="00535A11">
            <w:pPr>
              <w:pStyle w:val="ListParagraph"/>
              <w:numPr>
                <w:ilvl w:val="0"/>
                <w:numId w:val="6"/>
              </w:numPr>
              <w:spacing w:after="120"/>
              <w:ind w:left="720"/>
              <w:rPr>
                <w:rFonts w:ascii="Arial" w:hAnsi="Arial" w:cs="Arial"/>
                <w:color w:val="17365D" w:themeColor="text2" w:themeShade="BF"/>
                <w:sz w:val="16"/>
                <w:szCs w:val="16"/>
              </w:rPr>
            </w:pPr>
            <w:r w:rsidRPr="003547D1">
              <w:rPr>
                <w:rFonts w:ascii="Arial" w:hAnsi="Arial" w:cs="Arial"/>
                <w:color w:val="17365D" w:themeColor="text2" w:themeShade="BF"/>
                <w:sz w:val="16"/>
                <w:szCs w:val="16"/>
              </w:rPr>
              <w:t xml:space="preserve">Complete </w:t>
            </w:r>
            <w:r w:rsidR="000D7A74">
              <w:rPr>
                <w:rFonts w:ascii="Arial" w:hAnsi="Arial" w:cs="Arial"/>
                <w:color w:val="17365D" w:themeColor="text2" w:themeShade="BF"/>
                <w:sz w:val="16"/>
                <w:szCs w:val="16"/>
              </w:rPr>
              <w:t>r</w:t>
            </w:r>
            <w:r w:rsidRPr="003547D1">
              <w:rPr>
                <w:rFonts w:ascii="Arial" w:hAnsi="Arial" w:cs="Arial"/>
                <w:color w:val="17365D" w:themeColor="text2" w:themeShade="BF"/>
                <w:sz w:val="16"/>
                <w:szCs w:val="16"/>
              </w:rPr>
              <w:t xml:space="preserve">isk </w:t>
            </w:r>
            <w:proofErr w:type="gramStart"/>
            <w:r w:rsidR="000D7A74">
              <w:rPr>
                <w:rFonts w:ascii="Arial" w:hAnsi="Arial" w:cs="Arial"/>
                <w:color w:val="17365D" w:themeColor="text2" w:themeShade="BF"/>
                <w:sz w:val="16"/>
                <w:szCs w:val="16"/>
              </w:rPr>
              <w:t>a</w:t>
            </w:r>
            <w:r w:rsidRPr="003547D1">
              <w:rPr>
                <w:rFonts w:ascii="Arial" w:hAnsi="Arial" w:cs="Arial"/>
                <w:color w:val="17365D" w:themeColor="text2" w:themeShade="BF"/>
                <w:sz w:val="16"/>
                <w:szCs w:val="16"/>
              </w:rPr>
              <w:t>ssessment  in</w:t>
            </w:r>
            <w:proofErr w:type="gramEnd"/>
            <w:r w:rsidRPr="003547D1">
              <w:rPr>
                <w:rFonts w:ascii="Arial" w:hAnsi="Arial" w:cs="Arial"/>
                <w:color w:val="17365D" w:themeColor="text2" w:themeShade="BF"/>
                <w:sz w:val="16"/>
                <w:szCs w:val="16"/>
              </w:rPr>
              <w:t xml:space="preserve"> consultation with PI/Supervisor and technical staff as appropriate. </w:t>
            </w:r>
          </w:p>
          <w:p w:rsidR="009D337E" w:rsidRPr="003547D1" w:rsidRDefault="009D337E" w:rsidP="00535A11">
            <w:pPr>
              <w:pStyle w:val="ListParagraph"/>
              <w:numPr>
                <w:ilvl w:val="0"/>
                <w:numId w:val="6"/>
              </w:numPr>
              <w:spacing w:after="120"/>
              <w:ind w:left="720"/>
              <w:rPr>
                <w:rFonts w:ascii="Arial" w:hAnsi="Arial" w:cs="Arial"/>
                <w:color w:val="17365D" w:themeColor="text2" w:themeShade="BF"/>
                <w:sz w:val="16"/>
                <w:szCs w:val="16"/>
              </w:rPr>
            </w:pPr>
            <w:r w:rsidRPr="003547D1">
              <w:rPr>
                <w:rFonts w:ascii="Arial" w:hAnsi="Arial" w:cs="Arial"/>
                <w:color w:val="17365D" w:themeColor="text2" w:themeShade="BF"/>
                <w:sz w:val="16"/>
                <w:szCs w:val="16"/>
              </w:rPr>
              <w:t>Risk assessment checked and signed by PI/Supervisor</w:t>
            </w:r>
          </w:p>
          <w:p w:rsidR="009D337E" w:rsidRPr="003547D1" w:rsidRDefault="009D337E" w:rsidP="00535A11">
            <w:pPr>
              <w:pStyle w:val="ListParagraph"/>
              <w:numPr>
                <w:ilvl w:val="0"/>
                <w:numId w:val="6"/>
              </w:numPr>
              <w:spacing w:after="120"/>
              <w:ind w:left="720"/>
              <w:rPr>
                <w:rFonts w:ascii="Arial" w:hAnsi="Arial" w:cs="Arial"/>
                <w:color w:val="17365D" w:themeColor="text2" w:themeShade="BF"/>
                <w:sz w:val="16"/>
                <w:szCs w:val="16"/>
              </w:rPr>
            </w:pPr>
            <w:r w:rsidRPr="003547D1">
              <w:rPr>
                <w:rFonts w:ascii="Arial" w:hAnsi="Arial" w:cs="Arial"/>
                <w:color w:val="17365D" w:themeColor="text2" w:themeShade="BF"/>
                <w:sz w:val="16"/>
                <w:szCs w:val="16"/>
              </w:rPr>
              <w:t xml:space="preserve">A copy or scan of the signed </w:t>
            </w:r>
            <w:proofErr w:type="gramStart"/>
            <w:r w:rsidRPr="003547D1">
              <w:rPr>
                <w:rFonts w:ascii="Arial" w:hAnsi="Arial" w:cs="Arial"/>
                <w:color w:val="17365D" w:themeColor="text2" w:themeShade="BF"/>
                <w:sz w:val="16"/>
                <w:szCs w:val="16"/>
              </w:rPr>
              <w:t>document  to</w:t>
            </w:r>
            <w:proofErr w:type="gramEnd"/>
            <w:r w:rsidRPr="003547D1">
              <w:rPr>
                <w:rFonts w:ascii="Arial" w:hAnsi="Arial" w:cs="Arial"/>
                <w:color w:val="17365D" w:themeColor="text2" w:themeShade="BF"/>
                <w:sz w:val="16"/>
                <w:szCs w:val="16"/>
              </w:rPr>
              <w:t xml:space="preserve"> be given to the lab technician, School Safety Adviser and PI/Supervisor.</w:t>
            </w:r>
          </w:p>
          <w:p w:rsidR="009D337E" w:rsidRPr="003547D1" w:rsidRDefault="009D337E" w:rsidP="00535A11">
            <w:pPr>
              <w:autoSpaceDE w:val="0"/>
              <w:autoSpaceDN w:val="0"/>
              <w:adjustRightInd w:val="0"/>
              <w:ind w:left="360"/>
              <w:rPr>
                <w:rFonts w:cs="Arial"/>
                <w:b/>
                <w:color w:val="17365D" w:themeColor="text2" w:themeShade="BF"/>
                <w:sz w:val="16"/>
                <w:szCs w:val="16"/>
              </w:rPr>
            </w:pPr>
            <w:r w:rsidRPr="003547D1">
              <w:rPr>
                <w:rFonts w:cs="Arial"/>
                <w:b/>
                <w:color w:val="17365D" w:themeColor="text2" w:themeShade="BF"/>
                <w:sz w:val="16"/>
                <w:szCs w:val="16"/>
              </w:rPr>
              <w:t>NOTES:</w:t>
            </w:r>
          </w:p>
          <w:p w:rsidR="009D337E" w:rsidRPr="003547D1" w:rsidRDefault="009D337E" w:rsidP="00535A11">
            <w:pPr>
              <w:numPr>
                <w:ilvl w:val="0"/>
                <w:numId w:val="7"/>
              </w:numPr>
              <w:autoSpaceDE w:val="0"/>
              <w:autoSpaceDN w:val="0"/>
              <w:adjustRightInd w:val="0"/>
              <w:ind w:left="720"/>
              <w:rPr>
                <w:rFonts w:cs="Arial"/>
                <w:color w:val="17365D" w:themeColor="text2" w:themeShade="BF"/>
                <w:sz w:val="16"/>
                <w:szCs w:val="16"/>
              </w:rPr>
            </w:pPr>
            <w:r w:rsidRPr="003547D1">
              <w:rPr>
                <w:rFonts w:cs="Arial"/>
                <w:color w:val="17365D" w:themeColor="text2" w:themeShade="BF"/>
                <w:sz w:val="16"/>
                <w:szCs w:val="16"/>
              </w:rPr>
              <w:t>No laboratory work is to commence without a risk assessment signed by the PI/Supervisor.</w:t>
            </w:r>
          </w:p>
          <w:p w:rsidR="009D337E" w:rsidRDefault="009D337E" w:rsidP="009D337E">
            <w:pPr>
              <w:numPr>
                <w:ilvl w:val="0"/>
                <w:numId w:val="7"/>
              </w:numPr>
              <w:autoSpaceDE w:val="0"/>
              <w:autoSpaceDN w:val="0"/>
              <w:adjustRightInd w:val="0"/>
              <w:ind w:left="720"/>
              <w:rPr>
                <w:rFonts w:cs="Arial"/>
                <w:color w:val="17365D" w:themeColor="text2" w:themeShade="BF"/>
                <w:sz w:val="16"/>
                <w:szCs w:val="16"/>
              </w:rPr>
            </w:pPr>
            <w:r w:rsidRPr="003547D1">
              <w:rPr>
                <w:rFonts w:cs="Arial"/>
                <w:color w:val="17365D" w:themeColor="text2" w:themeShade="BF"/>
                <w:sz w:val="16"/>
                <w:szCs w:val="16"/>
              </w:rPr>
              <w:t>The risk assessment must be reviewed when any changes are made to the equipment, materials, procedure or personnel.</w:t>
            </w:r>
          </w:p>
          <w:p w:rsidR="009D337E" w:rsidRDefault="009D337E" w:rsidP="009D337E">
            <w:pPr>
              <w:numPr>
                <w:ilvl w:val="0"/>
                <w:numId w:val="7"/>
              </w:numPr>
              <w:autoSpaceDE w:val="0"/>
              <w:autoSpaceDN w:val="0"/>
              <w:adjustRightInd w:val="0"/>
              <w:ind w:left="720"/>
              <w:rPr>
                <w:rFonts w:cs="Arial"/>
                <w:color w:val="17365D" w:themeColor="text2" w:themeShade="BF"/>
                <w:sz w:val="16"/>
                <w:szCs w:val="16"/>
              </w:rPr>
            </w:pPr>
            <w:r w:rsidRPr="009D337E">
              <w:rPr>
                <w:rFonts w:cs="Arial"/>
                <w:color w:val="17365D" w:themeColor="text2" w:themeShade="BF"/>
                <w:sz w:val="16"/>
                <w:szCs w:val="16"/>
              </w:rPr>
              <w:t>Technical staff can stop work if no risk assessment is in place or if, in their opinion, there is a risk to safety.</w:t>
            </w:r>
          </w:p>
          <w:p w:rsidR="00535B02" w:rsidRPr="009D337E" w:rsidRDefault="00535B02" w:rsidP="00535B02">
            <w:pPr>
              <w:numPr>
                <w:ilvl w:val="0"/>
                <w:numId w:val="7"/>
              </w:numPr>
              <w:autoSpaceDE w:val="0"/>
              <w:autoSpaceDN w:val="0"/>
              <w:adjustRightInd w:val="0"/>
              <w:ind w:left="720"/>
              <w:rPr>
                <w:rFonts w:cs="Arial"/>
                <w:color w:val="17365D" w:themeColor="text2" w:themeShade="BF"/>
                <w:sz w:val="16"/>
                <w:szCs w:val="16"/>
              </w:rPr>
            </w:pPr>
            <w:r>
              <w:rPr>
                <w:rFonts w:cs="Arial"/>
                <w:color w:val="17365D" w:themeColor="text2" w:themeShade="BF"/>
                <w:sz w:val="16"/>
                <w:szCs w:val="16"/>
              </w:rPr>
              <w:t xml:space="preserve">Examples of how to complete this form are available at </w:t>
            </w:r>
            <w:hyperlink r:id="rId7" w:history="1">
              <w:r w:rsidRPr="00655C73">
                <w:rPr>
                  <w:rStyle w:val="Hyperlink"/>
                  <w:rFonts w:cs="Arial"/>
                  <w:sz w:val="16"/>
                  <w:szCs w:val="16"/>
                </w:rPr>
                <w:t>www.hse.gov.uk/risk/casestudies/</w:t>
              </w:r>
            </w:hyperlink>
            <w:r>
              <w:rPr>
                <w:rFonts w:cs="Arial"/>
                <w:color w:val="17365D" w:themeColor="text2" w:themeShade="BF"/>
                <w:sz w:val="16"/>
                <w:szCs w:val="16"/>
              </w:rPr>
              <w:t xml:space="preserve"> </w:t>
            </w:r>
          </w:p>
        </w:tc>
      </w:tr>
      <w:tr w:rsidR="009D337E" w:rsidTr="009D337E">
        <w:trPr>
          <w:trHeight w:val="81"/>
        </w:trPr>
        <w:tc>
          <w:tcPr>
            <w:tcW w:w="4311" w:type="dxa"/>
            <w:tcBorders>
              <w:top w:val="single" w:sz="4" w:space="0" w:color="auto"/>
              <w:left w:val="nil"/>
              <w:bottom w:val="nil"/>
              <w:right w:val="nil"/>
            </w:tcBorders>
          </w:tcPr>
          <w:p w:rsidR="009D337E" w:rsidRPr="003547D1" w:rsidRDefault="009D337E" w:rsidP="00535A11">
            <w:pPr>
              <w:jc w:val="right"/>
              <w:rPr>
                <w:rFonts w:ascii="Arial Bold"/>
                <w:b/>
                <w:color w:val="0D2456"/>
                <w:sz w:val="16"/>
                <w:szCs w:val="16"/>
              </w:rPr>
            </w:pPr>
          </w:p>
        </w:tc>
        <w:tc>
          <w:tcPr>
            <w:tcW w:w="3237" w:type="dxa"/>
            <w:tcBorders>
              <w:left w:val="nil"/>
              <w:right w:val="nil"/>
            </w:tcBorders>
            <w:shd w:val="clear" w:color="auto" w:fill="auto"/>
          </w:tcPr>
          <w:p w:rsidR="009D337E" w:rsidRPr="003547D1" w:rsidRDefault="009D337E" w:rsidP="00E20D16">
            <w:pPr>
              <w:rPr>
                <w:sz w:val="16"/>
                <w:szCs w:val="16"/>
              </w:rPr>
            </w:pPr>
          </w:p>
        </w:tc>
        <w:tc>
          <w:tcPr>
            <w:tcW w:w="4271" w:type="dxa"/>
            <w:gridSpan w:val="2"/>
            <w:tcBorders>
              <w:left w:val="nil"/>
              <w:right w:val="nil"/>
            </w:tcBorders>
          </w:tcPr>
          <w:p w:rsidR="009D337E" w:rsidRPr="003547D1" w:rsidRDefault="009D337E" w:rsidP="00E20D16">
            <w:pPr>
              <w:rPr>
                <w:sz w:val="16"/>
                <w:szCs w:val="16"/>
              </w:rPr>
            </w:pPr>
          </w:p>
        </w:tc>
        <w:tc>
          <w:tcPr>
            <w:tcW w:w="4271" w:type="dxa"/>
            <w:gridSpan w:val="2"/>
            <w:tcBorders>
              <w:left w:val="nil"/>
              <w:right w:val="nil"/>
            </w:tcBorders>
          </w:tcPr>
          <w:p w:rsidR="009D337E" w:rsidRPr="003547D1" w:rsidRDefault="009D337E" w:rsidP="00E20D16">
            <w:pPr>
              <w:rPr>
                <w:sz w:val="16"/>
                <w:szCs w:val="16"/>
              </w:rPr>
            </w:pPr>
          </w:p>
        </w:tc>
      </w:tr>
      <w:tr w:rsidR="009D337E" w:rsidTr="009D337E">
        <w:tc>
          <w:tcPr>
            <w:tcW w:w="4311" w:type="dxa"/>
            <w:tcBorders>
              <w:top w:val="nil"/>
              <w:left w:val="nil"/>
              <w:bottom w:val="nil"/>
            </w:tcBorders>
          </w:tcPr>
          <w:p w:rsidR="009D337E" w:rsidRPr="00221487" w:rsidRDefault="009D337E" w:rsidP="00535A11">
            <w:pPr>
              <w:jc w:val="right"/>
              <w:rPr>
                <w:rFonts w:ascii="Arial Bold"/>
                <w:b/>
                <w:color w:val="0D2456"/>
                <w:sz w:val="24"/>
              </w:rPr>
            </w:pPr>
            <w:r>
              <w:rPr>
                <w:rFonts w:ascii="Arial Bold"/>
                <w:b/>
                <w:color w:val="0D2456"/>
                <w:sz w:val="24"/>
              </w:rPr>
              <w:t>Project name</w:t>
            </w:r>
            <w:r w:rsidRPr="00221487">
              <w:rPr>
                <w:rFonts w:ascii="Arial Bold"/>
                <w:b/>
                <w:color w:val="0D2456"/>
                <w:sz w:val="24"/>
              </w:rPr>
              <w:t>:</w:t>
            </w:r>
          </w:p>
        </w:tc>
        <w:tc>
          <w:tcPr>
            <w:tcW w:w="11779" w:type="dxa"/>
            <w:gridSpan w:val="5"/>
            <w:shd w:val="clear" w:color="auto" w:fill="auto"/>
          </w:tcPr>
          <w:p w:rsidR="009D337E" w:rsidRPr="00681F16" w:rsidRDefault="00407C1D" w:rsidP="00E20D16">
            <w:pPr>
              <w:rPr>
                <w:sz w:val="20"/>
                <w:szCs w:val="20"/>
              </w:rPr>
            </w:pPr>
            <w:r>
              <w:rPr>
                <w:sz w:val="20"/>
                <w:szCs w:val="20"/>
              </w:rPr>
              <w:t xml:space="preserve">Superconducting and </w:t>
            </w:r>
            <w:proofErr w:type="spellStart"/>
            <w:r>
              <w:rPr>
                <w:sz w:val="20"/>
                <w:szCs w:val="20"/>
              </w:rPr>
              <w:t>Superinsulating</w:t>
            </w:r>
            <w:proofErr w:type="spellEnd"/>
            <w:r>
              <w:rPr>
                <w:sz w:val="20"/>
                <w:szCs w:val="20"/>
              </w:rPr>
              <w:t xml:space="preserve"> Nanofluids</w:t>
            </w:r>
          </w:p>
        </w:tc>
      </w:tr>
      <w:tr w:rsidR="00407C1D" w:rsidTr="00952DC4">
        <w:tc>
          <w:tcPr>
            <w:tcW w:w="4311" w:type="dxa"/>
            <w:tcBorders>
              <w:top w:val="nil"/>
              <w:left w:val="nil"/>
              <w:bottom w:val="nil"/>
            </w:tcBorders>
          </w:tcPr>
          <w:p w:rsidR="00407C1D" w:rsidRDefault="00407C1D" w:rsidP="00407C1D">
            <w:pPr>
              <w:jc w:val="right"/>
              <w:rPr>
                <w:rFonts w:ascii="Arial Bold"/>
                <w:b/>
                <w:color w:val="0D2456"/>
                <w:sz w:val="24"/>
              </w:rPr>
            </w:pPr>
            <w:r>
              <w:rPr>
                <w:rFonts w:ascii="Arial Bold"/>
                <w:b/>
                <w:color w:val="0D2456"/>
                <w:sz w:val="24"/>
              </w:rPr>
              <w:t>Location of work:</w:t>
            </w:r>
          </w:p>
        </w:tc>
        <w:tc>
          <w:tcPr>
            <w:tcW w:w="11779" w:type="dxa"/>
            <w:gridSpan w:val="5"/>
            <w:tcBorders>
              <w:top w:val="single" w:sz="4" w:space="0" w:color="auto"/>
              <w:left w:val="single" w:sz="4" w:space="0" w:color="auto"/>
              <w:bottom w:val="single" w:sz="4" w:space="0" w:color="auto"/>
              <w:right w:val="single" w:sz="4" w:space="0" w:color="auto"/>
            </w:tcBorders>
          </w:tcPr>
          <w:p w:rsidR="00407C1D" w:rsidRDefault="00407C1D" w:rsidP="00407C1D">
            <w:pPr>
              <w:rPr>
                <w:sz w:val="20"/>
                <w:szCs w:val="20"/>
              </w:rPr>
            </w:pPr>
            <w:r>
              <w:rPr>
                <w:sz w:val="20"/>
                <w:szCs w:val="20"/>
              </w:rPr>
              <w:t>Home Study, FRASER NOBLE 057</w:t>
            </w:r>
          </w:p>
        </w:tc>
      </w:tr>
      <w:tr w:rsidR="00407C1D" w:rsidTr="00B62EC4">
        <w:trPr>
          <w:trHeight w:val="394"/>
        </w:trPr>
        <w:tc>
          <w:tcPr>
            <w:tcW w:w="4311" w:type="dxa"/>
            <w:tcBorders>
              <w:top w:val="nil"/>
              <w:left w:val="nil"/>
              <w:bottom w:val="nil"/>
            </w:tcBorders>
          </w:tcPr>
          <w:p w:rsidR="00407C1D" w:rsidRPr="00221487" w:rsidRDefault="00407C1D" w:rsidP="00407C1D">
            <w:pPr>
              <w:jc w:val="right"/>
              <w:rPr>
                <w:rFonts w:ascii="Arial Bold"/>
                <w:b/>
                <w:color w:val="0D2456"/>
                <w:sz w:val="24"/>
              </w:rPr>
            </w:pPr>
            <w:r>
              <w:rPr>
                <w:rFonts w:ascii="Arial Bold"/>
                <w:b/>
                <w:color w:val="0D2456"/>
                <w:sz w:val="24"/>
              </w:rPr>
              <w:t>Principal Investigator/Supervisor</w:t>
            </w:r>
            <w:r w:rsidRPr="00221487">
              <w:rPr>
                <w:rFonts w:ascii="Arial Bold"/>
                <w:b/>
                <w:color w:val="0D2456"/>
                <w:sz w:val="24"/>
              </w:rPr>
              <w:t>:</w:t>
            </w:r>
          </w:p>
        </w:tc>
        <w:tc>
          <w:tcPr>
            <w:tcW w:w="4678" w:type="dxa"/>
            <w:gridSpan w:val="2"/>
            <w:shd w:val="clear" w:color="auto" w:fill="auto"/>
          </w:tcPr>
          <w:p w:rsidR="00407C1D" w:rsidRPr="009D337E" w:rsidRDefault="00407C1D" w:rsidP="00407C1D">
            <w:pPr>
              <w:rPr>
                <w:sz w:val="20"/>
                <w:szCs w:val="20"/>
              </w:rPr>
            </w:pPr>
            <w:r>
              <w:rPr>
                <w:sz w:val="20"/>
                <w:szCs w:val="20"/>
              </w:rPr>
              <w:t>Dr Marcus Bannerman</w:t>
            </w:r>
          </w:p>
        </w:tc>
        <w:tc>
          <w:tcPr>
            <w:tcW w:w="3969" w:type="dxa"/>
            <w:gridSpan w:val="2"/>
          </w:tcPr>
          <w:p w:rsidR="00407C1D" w:rsidRPr="00B62EC4" w:rsidRDefault="00407C1D" w:rsidP="00407C1D">
            <w:pPr>
              <w:rPr>
                <w:sz w:val="16"/>
                <w:szCs w:val="16"/>
              </w:rPr>
            </w:pPr>
            <w:r w:rsidRPr="00B62EC4">
              <w:rPr>
                <w:sz w:val="16"/>
                <w:szCs w:val="16"/>
              </w:rPr>
              <w:t>Signed:</w:t>
            </w:r>
          </w:p>
        </w:tc>
        <w:tc>
          <w:tcPr>
            <w:tcW w:w="3132" w:type="dxa"/>
          </w:tcPr>
          <w:p w:rsidR="00407C1D" w:rsidRPr="00B62EC4" w:rsidRDefault="00407C1D" w:rsidP="00407C1D">
            <w:pPr>
              <w:rPr>
                <w:sz w:val="16"/>
                <w:szCs w:val="16"/>
              </w:rPr>
            </w:pPr>
            <w:r w:rsidRPr="00B62EC4">
              <w:rPr>
                <w:sz w:val="16"/>
                <w:szCs w:val="16"/>
              </w:rPr>
              <w:t>Date:</w:t>
            </w:r>
          </w:p>
        </w:tc>
      </w:tr>
      <w:tr w:rsidR="00407C1D" w:rsidTr="00B62EC4">
        <w:trPr>
          <w:trHeight w:val="445"/>
        </w:trPr>
        <w:tc>
          <w:tcPr>
            <w:tcW w:w="4311" w:type="dxa"/>
            <w:tcBorders>
              <w:top w:val="nil"/>
              <w:left w:val="nil"/>
              <w:bottom w:val="nil"/>
            </w:tcBorders>
          </w:tcPr>
          <w:p w:rsidR="00407C1D" w:rsidRDefault="00407C1D" w:rsidP="00407C1D">
            <w:pPr>
              <w:jc w:val="right"/>
              <w:rPr>
                <w:rFonts w:ascii="Arial Bold"/>
                <w:b/>
                <w:color w:val="0D2456"/>
                <w:sz w:val="24"/>
              </w:rPr>
            </w:pPr>
            <w:r>
              <w:rPr>
                <w:rFonts w:ascii="Arial Bold"/>
                <w:b/>
                <w:color w:val="0D2456"/>
                <w:sz w:val="24"/>
              </w:rPr>
              <w:t>Assessment Prepared by:</w:t>
            </w:r>
          </w:p>
        </w:tc>
        <w:tc>
          <w:tcPr>
            <w:tcW w:w="4678" w:type="dxa"/>
            <w:gridSpan w:val="2"/>
            <w:shd w:val="clear" w:color="auto" w:fill="auto"/>
          </w:tcPr>
          <w:p w:rsidR="00407C1D" w:rsidRPr="009D337E" w:rsidRDefault="00407C1D" w:rsidP="00407C1D">
            <w:pPr>
              <w:rPr>
                <w:sz w:val="20"/>
                <w:szCs w:val="20"/>
              </w:rPr>
            </w:pPr>
            <w:r>
              <w:rPr>
                <w:sz w:val="20"/>
                <w:szCs w:val="20"/>
              </w:rPr>
              <w:t>Asad Mohiuddin</w:t>
            </w:r>
          </w:p>
        </w:tc>
        <w:tc>
          <w:tcPr>
            <w:tcW w:w="3969" w:type="dxa"/>
            <w:gridSpan w:val="2"/>
          </w:tcPr>
          <w:p w:rsidR="00407C1D" w:rsidRPr="00B62EC4" w:rsidRDefault="00407C1D" w:rsidP="00407C1D">
            <w:pPr>
              <w:rPr>
                <w:sz w:val="16"/>
                <w:szCs w:val="16"/>
              </w:rPr>
            </w:pPr>
            <w:r w:rsidRPr="00B62EC4">
              <w:rPr>
                <w:sz w:val="16"/>
                <w:szCs w:val="16"/>
              </w:rPr>
              <w:t>Signed:</w:t>
            </w:r>
          </w:p>
        </w:tc>
        <w:tc>
          <w:tcPr>
            <w:tcW w:w="3132" w:type="dxa"/>
          </w:tcPr>
          <w:p w:rsidR="00407C1D" w:rsidRPr="00B62EC4" w:rsidRDefault="00407C1D" w:rsidP="00407C1D">
            <w:pPr>
              <w:rPr>
                <w:sz w:val="16"/>
                <w:szCs w:val="16"/>
              </w:rPr>
            </w:pPr>
            <w:r w:rsidRPr="00B62EC4">
              <w:rPr>
                <w:sz w:val="16"/>
                <w:szCs w:val="16"/>
              </w:rPr>
              <w:t>Date:</w:t>
            </w:r>
            <w:r w:rsidR="00717B18">
              <w:rPr>
                <w:sz w:val="16"/>
                <w:szCs w:val="16"/>
              </w:rPr>
              <w:t xml:space="preserve"> 28</w:t>
            </w:r>
            <w:r>
              <w:rPr>
                <w:sz w:val="16"/>
                <w:szCs w:val="16"/>
              </w:rPr>
              <w:t>/1</w:t>
            </w:r>
            <w:r w:rsidR="00B84032">
              <w:rPr>
                <w:sz w:val="16"/>
                <w:szCs w:val="16"/>
              </w:rPr>
              <w:t>1</w:t>
            </w:r>
            <w:r>
              <w:rPr>
                <w:sz w:val="16"/>
                <w:szCs w:val="16"/>
              </w:rPr>
              <w:t>/18</w:t>
            </w:r>
          </w:p>
        </w:tc>
      </w:tr>
      <w:tr w:rsidR="00407C1D" w:rsidTr="009D337E">
        <w:trPr>
          <w:trHeight w:val="1882"/>
        </w:trPr>
        <w:tc>
          <w:tcPr>
            <w:tcW w:w="4311" w:type="dxa"/>
            <w:tcBorders>
              <w:top w:val="nil"/>
              <w:left w:val="nil"/>
              <w:bottom w:val="nil"/>
            </w:tcBorders>
          </w:tcPr>
          <w:p w:rsidR="00407C1D" w:rsidRPr="00221487" w:rsidRDefault="00407C1D" w:rsidP="00407C1D">
            <w:pPr>
              <w:jc w:val="right"/>
              <w:rPr>
                <w:rFonts w:ascii="Arial Bold"/>
                <w:b/>
                <w:color w:val="0D2456"/>
                <w:sz w:val="24"/>
              </w:rPr>
            </w:pPr>
            <w:r>
              <w:rPr>
                <w:rFonts w:ascii="Arial Bold"/>
                <w:b/>
                <w:color w:val="0D2456"/>
                <w:sz w:val="24"/>
              </w:rPr>
              <w:t>Outline description of the work</w:t>
            </w:r>
            <w:r w:rsidRPr="00221487">
              <w:rPr>
                <w:rFonts w:ascii="Arial Bold"/>
                <w:b/>
                <w:color w:val="0D2456"/>
                <w:sz w:val="24"/>
              </w:rPr>
              <w:t>:</w:t>
            </w:r>
          </w:p>
        </w:tc>
        <w:tc>
          <w:tcPr>
            <w:tcW w:w="11779" w:type="dxa"/>
            <w:gridSpan w:val="5"/>
            <w:shd w:val="clear" w:color="auto" w:fill="auto"/>
          </w:tcPr>
          <w:p w:rsidR="00B84032" w:rsidRPr="00B84032" w:rsidRDefault="00B84032" w:rsidP="00B84032">
            <w:pPr>
              <w:rPr>
                <w:sz w:val="20"/>
                <w:szCs w:val="20"/>
              </w:rPr>
            </w:pPr>
            <w:r w:rsidRPr="00B84032">
              <w:rPr>
                <w:sz w:val="20"/>
                <w:szCs w:val="20"/>
              </w:rPr>
              <w:t>Review nanofluids and their history in thermal conductivity enhancement. This includes describing what models have already been used to approximate their behaviour and critically review their applicability.</w:t>
            </w:r>
          </w:p>
          <w:p w:rsidR="00B84032" w:rsidRPr="00B84032" w:rsidRDefault="00B84032" w:rsidP="00B84032">
            <w:pPr>
              <w:rPr>
                <w:sz w:val="20"/>
                <w:szCs w:val="20"/>
              </w:rPr>
            </w:pPr>
            <w:r w:rsidRPr="00B84032">
              <w:rPr>
                <w:sz w:val="20"/>
                <w:szCs w:val="20"/>
              </w:rPr>
              <w:t>Construct a Transient Heated Wire cell for the testing of liquid and gas mixture thermal conductivities and use this data to explore the anomalous heat transfer in nanofluids and gas mixtures which have similar dimensional properties to nanofluid systems.</w:t>
            </w:r>
          </w:p>
          <w:p w:rsidR="00B84032" w:rsidRPr="00B84032" w:rsidRDefault="00B84032" w:rsidP="00B84032">
            <w:pPr>
              <w:rPr>
                <w:sz w:val="20"/>
                <w:szCs w:val="20"/>
              </w:rPr>
            </w:pPr>
            <w:r w:rsidRPr="00B84032">
              <w:rPr>
                <w:sz w:val="20"/>
                <w:szCs w:val="20"/>
              </w:rPr>
              <w:t>Perform molecular simulations of thermal conduction to confirm if transient effects in the thermal conductivity, possible at small time/length scales, dominate conduction. These simulations may be molecular dyn</w:t>
            </w:r>
            <w:r w:rsidR="00717B18">
              <w:rPr>
                <w:sz w:val="20"/>
                <w:szCs w:val="20"/>
              </w:rPr>
              <w:t xml:space="preserve">amics simulations using </w:t>
            </w:r>
            <w:proofErr w:type="spellStart"/>
            <w:proofErr w:type="gramStart"/>
            <w:r w:rsidR="00717B18">
              <w:rPr>
                <w:sz w:val="20"/>
                <w:szCs w:val="20"/>
              </w:rPr>
              <w:t>DynamO</w:t>
            </w:r>
            <w:proofErr w:type="spellEnd"/>
            <w:r w:rsidR="00717B18">
              <w:rPr>
                <w:sz w:val="20"/>
                <w:szCs w:val="20"/>
              </w:rPr>
              <w:t xml:space="preserve">, </w:t>
            </w:r>
            <w:r w:rsidRPr="00B84032">
              <w:rPr>
                <w:sz w:val="20"/>
                <w:szCs w:val="20"/>
              </w:rPr>
              <w:t>or</w:t>
            </w:r>
            <w:proofErr w:type="gramEnd"/>
            <w:r w:rsidRPr="00B84032">
              <w:rPr>
                <w:sz w:val="20"/>
                <w:szCs w:val="20"/>
              </w:rPr>
              <w:t xml:space="preserve"> coupled kinetic theory-hydrodynamics simulations using code developed by Craig Moir, a PhD student at Aberdeen</w:t>
            </w:r>
            <w:r>
              <w:rPr>
                <w:sz w:val="20"/>
                <w:szCs w:val="20"/>
              </w:rPr>
              <w:t>.</w:t>
            </w:r>
          </w:p>
          <w:p w:rsidR="00407C1D" w:rsidRPr="00681F16" w:rsidRDefault="00B84032" w:rsidP="00B84032">
            <w:pPr>
              <w:rPr>
                <w:sz w:val="20"/>
                <w:szCs w:val="20"/>
              </w:rPr>
            </w:pPr>
            <w:r w:rsidRPr="00B84032">
              <w:rPr>
                <w:sz w:val="20"/>
                <w:szCs w:val="20"/>
              </w:rPr>
              <w:t>Explore new heat exchanger designs which incorporate any time-dependent anomalous phenomena</w:t>
            </w:r>
            <w:r>
              <w:rPr>
                <w:sz w:val="20"/>
                <w:szCs w:val="20"/>
              </w:rPr>
              <w:t>.</w:t>
            </w:r>
          </w:p>
        </w:tc>
      </w:tr>
      <w:tr w:rsidR="00407C1D" w:rsidTr="00952DC4">
        <w:trPr>
          <w:trHeight w:val="2173"/>
        </w:trPr>
        <w:tc>
          <w:tcPr>
            <w:tcW w:w="4311" w:type="dxa"/>
            <w:tcBorders>
              <w:top w:val="nil"/>
              <w:left w:val="nil"/>
              <w:bottom w:val="nil"/>
            </w:tcBorders>
          </w:tcPr>
          <w:p w:rsidR="00407C1D" w:rsidRDefault="00407C1D" w:rsidP="00407C1D">
            <w:pPr>
              <w:jc w:val="right"/>
              <w:rPr>
                <w:rFonts w:ascii="Arial Bold"/>
                <w:b/>
                <w:color w:val="0D2456"/>
                <w:sz w:val="24"/>
              </w:rPr>
            </w:pPr>
            <w:r>
              <w:rPr>
                <w:rFonts w:ascii="Arial Bold"/>
                <w:b/>
                <w:color w:val="0D2456"/>
                <w:sz w:val="24"/>
              </w:rPr>
              <w:t>Names of persons carrying out the work:</w:t>
            </w:r>
          </w:p>
        </w:tc>
        <w:tc>
          <w:tcPr>
            <w:tcW w:w="11779" w:type="dxa"/>
            <w:gridSpan w:val="5"/>
            <w:shd w:val="clear" w:color="auto" w:fill="auto"/>
          </w:tcPr>
          <w:p w:rsidR="00407C1D" w:rsidRPr="00681F16" w:rsidRDefault="00407C1D" w:rsidP="00407C1D">
            <w:pPr>
              <w:autoSpaceDE w:val="0"/>
              <w:autoSpaceDN w:val="0"/>
              <w:adjustRightInd w:val="0"/>
              <w:rPr>
                <w:rFonts w:cs="Arial"/>
                <w:color w:val="000000"/>
                <w:sz w:val="20"/>
                <w:szCs w:val="20"/>
              </w:rPr>
            </w:pPr>
            <w:r w:rsidRPr="00407C1D">
              <w:rPr>
                <w:rFonts w:cs="Arial"/>
                <w:color w:val="000000"/>
                <w:sz w:val="20"/>
                <w:szCs w:val="20"/>
              </w:rPr>
              <w:t>Asad Mohiuddin</w:t>
            </w:r>
            <w:r>
              <w:rPr>
                <w:rFonts w:cs="Arial"/>
                <w:color w:val="000000"/>
                <w:sz w:val="20"/>
                <w:szCs w:val="20"/>
              </w:rPr>
              <w:t xml:space="preserve"> (Student), Craig Moir (PhD Student), Dr Marcus Bannerman (Supervisor)</w:t>
            </w:r>
          </w:p>
        </w:tc>
      </w:tr>
    </w:tbl>
    <w:p w:rsidR="00F64DCC" w:rsidRPr="00535A11" w:rsidRDefault="00F64DCC" w:rsidP="00CE5958">
      <w:pPr>
        <w:rPr>
          <w:b/>
          <w:color w:val="0000FF"/>
        </w:rPr>
      </w:pPr>
      <w:bookmarkStart w:id="0" w:name="OLE_LINK1"/>
      <w:bookmarkStart w:id="1" w:name="OLE_LINK2"/>
    </w:p>
    <w:p w:rsidR="00681F16" w:rsidRDefault="00681F16">
      <w:pPr>
        <w:rPr>
          <w:color w:val="0000FF"/>
        </w:rPr>
      </w:pPr>
      <w:r>
        <w:rPr>
          <w:color w:val="0000FF"/>
        </w:rPr>
        <w:br w:type="page"/>
      </w:r>
    </w:p>
    <w:tbl>
      <w:tblPr>
        <w:tblpPr w:leftFromText="180" w:rightFromText="180" w:horzAnchor="margin" w:tblpY="-90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
      <w:tblGrid>
        <w:gridCol w:w="2694"/>
        <w:gridCol w:w="2436"/>
        <w:gridCol w:w="4282"/>
        <w:gridCol w:w="3541"/>
        <w:gridCol w:w="1031"/>
        <w:gridCol w:w="1271"/>
        <w:gridCol w:w="709"/>
      </w:tblGrid>
      <w:tr w:rsidR="00877019" w:rsidRPr="000D7A74" w:rsidTr="00B84032">
        <w:trPr>
          <w:tblHeader/>
        </w:trPr>
        <w:tc>
          <w:tcPr>
            <w:tcW w:w="844" w:type="pct"/>
            <w:shd w:val="clear" w:color="auto" w:fill="17365D" w:themeFill="text2" w:themeFillShade="BF"/>
          </w:tcPr>
          <w:bookmarkEnd w:id="0"/>
          <w:bookmarkEnd w:id="1"/>
          <w:p w:rsidR="00A01AA4" w:rsidRPr="000D7A74" w:rsidRDefault="00E20D16" w:rsidP="003547D1">
            <w:pPr>
              <w:rPr>
                <w:rFonts w:ascii="Arial Bold" w:hAnsi="Arial Bold"/>
                <w:b/>
                <w:color w:val="FFFFFF" w:themeColor="background1"/>
              </w:rPr>
            </w:pPr>
            <w:r w:rsidRPr="000D7A74">
              <w:rPr>
                <w:rFonts w:ascii="Arial Bold" w:hAnsi="Arial Bold"/>
                <w:b/>
                <w:color w:val="FFFFFF" w:themeColor="background1"/>
              </w:rPr>
              <w:lastRenderedPageBreak/>
              <w:t>W</w:t>
            </w:r>
            <w:r w:rsidR="00A01AA4" w:rsidRPr="000D7A74">
              <w:rPr>
                <w:rFonts w:ascii="Arial Bold" w:hAnsi="Arial Bold"/>
                <w:b/>
                <w:color w:val="FFFFFF" w:themeColor="background1"/>
              </w:rPr>
              <w:t>hat are the hazards?</w:t>
            </w:r>
          </w:p>
        </w:tc>
        <w:tc>
          <w:tcPr>
            <w:tcW w:w="763" w:type="pct"/>
            <w:shd w:val="clear" w:color="auto" w:fill="17365D" w:themeFill="text2" w:themeFillShade="BF"/>
          </w:tcPr>
          <w:p w:rsidR="00A01AA4" w:rsidRPr="000D7A74" w:rsidRDefault="00A01AA4" w:rsidP="003547D1">
            <w:pPr>
              <w:rPr>
                <w:rFonts w:ascii="Arial Bold" w:hAnsi="Arial Bold"/>
                <w:b/>
                <w:color w:val="FFFFFF" w:themeColor="background1"/>
              </w:rPr>
            </w:pPr>
            <w:r w:rsidRPr="000D7A74">
              <w:rPr>
                <w:rFonts w:ascii="Arial Bold" w:hAnsi="Arial Bold"/>
                <w:b/>
                <w:color w:val="FFFFFF" w:themeColor="background1"/>
              </w:rPr>
              <w:t>Who might be harmed and how?</w:t>
            </w:r>
          </w:p>
        </w:tc>
        <w:tc>
          <w:tcPr>
            <w:tcW w:w="1341" w:type="pct"/>
            <w:shd w:val="clear" w:color="auto" w:fill="17365D" w:themeFill="text2" w:themeFillShade="BF"/>
          </w:tcPr>
          <w:p w:rsidR="00A01AA4" w:rsidRPr="000D7A74" w:rsidRDefault="00A01AA4" w:rsidP="003547D1">
            <w:pPr>
              <w:rPr>
                <w:rFonts w:ascii="Arial Bold" w:hAnsi="Arial Bold"/>
                <w:b/>
                <w:color w:val="FFFFFF" w:themeColor="background1"/>
              </w:rPr>
            </w:pPr>
            <w:r w:rsidRPr="000D7A74">
              <w:rPr>
                <w:rFonts w:ascii="Arial Bold" w:hAnsi="Arial Bold"/>
                <w:b/>
                <w:color w:val="FFFFFF" w:themeColor="background1"/>
              </w:rPr>
              <w:t>What are you already doing?</w:t>
            </w:r>
          </w:p>
        </w:tc>
        <w:tc>
          <w:tcPr>
            <w:tcW w:w="1109" w:type="pct"/>
            <w:shd w:val="clear" w:color="auto" w:fill="17365D" w:themeFill="text2" w:themeFillShade="BF"/>
          </w:tcPr>
          <w:p w:rsidR="00A01AA4" w:rsidRPr="000D7A74" w:rsidRDefault="00157D49" w:rsidP="003547D1">
            <w:pPr>
              <w:rPr>
                <w:rFonts w:ascii="Arial Bold" w:hAnsi="Arial Bold"/>
                <w:b/>
                <w:color w:val="FFFFFF" w:themeColor="background1"/>
              </w:rPr>
            </w:pPr>
            <w:r w:rsidRPr="000D7A74">
              <w:rPr>
                <w:rFonts w:ascii="Arial Bold" w:hAnsi="Arial Bold"/>
                <w:b/>
                <w:color w:val="FFFFFF" w:themeColor="background1"/>
              </w:rPr>
              <w:t>Do you need to do anything else to manage this risk?</w:t>
            </w:r>
          </w:p>
        </w:tc>
        <w:tc>
          <w:tcPr>
            <w:tcW w:w="323" w:type="pct"/>
            <w:shd w:val="clear" w:color="auto" w:fill="17365D" w:themeFill="text2" w:themeFillShade="BF"/>
          </w:tcPr>
          <w:p w:rsidR="00A01AA4" w:rsidRPr="000D7A74" w:rsidRDefault="00A01AA4" w:rsidP="003547D1">
            <w:pPr>
              <w:rPr>
                <w:rFonts w:ascii="Arial Bold" w:hAnsi="Arial Bold"/>
                <w:b/>
                <w:color w:val="FFFFFF" w:themeColor="background1"/>
              </w:rPr>
            </w:pPr>
            <w:r w:rsidRPr="000D7A74">
              <w:rPr>
                <w:rFonts w:ascii="Arial Bold" w:hAnsi="Arial Bold"/>
                <w:b/>
                <w:color w:val="FFFFFF" w:themeColor="background1"/>
              </w:rPr>
              <w:t>Action by whom?</w:t>
            </w:r>
          </w:p>
        </w:tc>
        <w:tc>
          <w:tcPr>
            <w:tcW w:w="398" w:type="pct"/>
            <w:shd w:val="clear" w:color="auto" w:fill="17365D" w:themeFill="text2" w:themeFillShade="BF"/>
          </w:tcPr>
          <w:p w:rsidR="00A01AA4" w:rsidRPr="000D7A74" w:rsidRDefault="00A01AA4" w:rsidP="003547D1">
            <w:pPr>
              <w:rPr>
                <w:rFonts w:ascii="Arial Bold" w:hAnsi="Arial Bold"/>
                <w:b/>
                <w:color w:val="FFFFFF" w:themeColor="background1"/>
              </w:rPr>
            </w:pPr>
            <w:r w:rsidRPr="000D7A74">
              <w:rPr>
                <w:rFonts w:ascii="Arial Bold" w:hAnsi="Arial Bold"/>
                <w:b/>
                <w:color w:val="FFFFFF" w:themeColor="background1"/>
              </w:rPr>
              <w:t>Action by when?</w:t>
            </w:r>
          </w:p>
        </w:tc>
        <w:tc>
          <w:tcPr>
            <w:tcW w:w="222" w:type="pct"/>
            <w:shd w:val="clear" w:color="auto" w:fill="17365D" w:themeFill="text2" w:themeFillShade="BF"/>
          </w:tcPr>
          <w:p w:rsidR="00A01AA4" w:rsidRPr="000D7A74" w:rsidRDefault="00A01AA4" w:rsidP="003547D1">
            <w:pPr>
              <w:rPr>
                <w:rFonts w:ascii="Arial Bold" w:hAnsi="Arial Bold"/>
                <w:b/>
                <w:color w:val="FFFFFF" w:themeColor="background1"/>
              </w:rPr>
            </w:pPr>
            <w:r w:rsidRPr="000D7A74">
              <w:rPr>
                <w:rFonts w:ascii="Arial Bold" w:hAnsi="Arial Bold"/>
                <w:b/>
                <w:color w:val="FFFFFF" w:themeColor="background1"/>
              </w:rPr>
              <w:t>Done</w:t>
            </w:r>
          </w:p>
        </w:tc>
      </w:tr>
      <w:tr w:rsidR="00877019" w:rsidRPr="00681F16" w:rsidTr="00B84032">
        <w:trPr>
          <w:trHeight w:val="592"/>
        </w:trPr>
        <w:tc>
          <w:tcPr>
            <w:tcW w:w="844" w:type="pct"/>
          </w:tcPr>
          <w:p w:rsidR="00E00852" w:rsidRPr="00681F16" w:rsidRDefault="00B84032" w:rsidP="003547D1">
            <w:pPr>
              <w:rPr>
                <w:sz w:val="20"/>
                <w:szCs w:val="20"/>
              </w:rPr>
            </w:pPr>
            <w:r>
              <w:rPr>
                <w:sz w:val="20"/>
                <w:szCs w:val="20"/>
              </w:rPr>
              <w:t xml:space="preserve">Lifting heavy tools and equipment </w:t>
            </w:r>
          </w:p>
        </w:tc>
        <w:tc>
          <w:tcPr>
            <w:tcW w:w="763" w:type="pct"/>
          </w:tcPr>
          <w:p w:rsidR="00E00852" w:rsidRPr="00681F16" w:rsidRDefault="00B84032" w:rsidP="003547D1">
            <w:pPr>
              <w:jc w:val="both"/>
              <w:rPr>
                <w:sz w:val="20"/>
                <w:szCs w:val="20"/>
              </w:rPr>
            </w:pPr>
            <w:r>
              <w:rPr>
                <w:sz w:val="20"/>
                <w:szCs w:val="20"/>
              </w:rPr>
              <w:t>Student – Back and neck injuries</w:t>
            </w:r>
          </w:p>
        </w:tc>
        <w:tc>
          <w:tcPr>
            <w:tcW w:w="1341" w:type="pct"/>
          </w:tcPr>
          <w:p w:rsidR="00E00852" w:rsidRPr="00681F16" w:rsidRDefault="00B84032" w:rsidP="003547D1">
            <w:pPr>
              <w:jc w:val="both"/>
              <w:rPr>
                <w:sz w:val="20"/>
                <w:szCs w:val="20"/>
              </w:rPr>
            </w:pPr>
            <w:r>
              <w:rPr>
                <w:sz w:val="20"/>
                <w:szCs w:val="20"/>
              </w:rPr>
              <w:t>Ask for assistance when moving items</w:t>
            </w:r>
            <w:r w:rsidR="00401727">
              <w:rPr>
                <w:sz w:val="20"/>
                <w:szCs w:val="20"/>
              </w:rPr>
              <w:t>.</w:t>
            </w:r>
          </w:p>
        </w:tc>
        <w:tc>
          <w:tcPr>
            <w:tcW w:w="1109" w:type="pct"/>
          </w:tcPr>
          <w:p w:rsidR="00E00852" w:rsidRPr="00681F16" w:rsidRDefault="00B84032" w:rsidP="003547D1">
            <w:pPr>
              <w:jc w:val="both"/>
              <w:rPr>
                <w:sz w:val="20"/>
                <w:szCs w:val="20"/>
              </w:rPr>
            </w:pPr>
            <w:r>
              <w:rPr>
                <w:sz w:val="20"/>
                <w:szCs w:val="20"/>
              </w:rPr>
              <w:t>No</w:t>
            </w:r>
          </w:p>
        </w:tc>
        <w:tc>
          <w:tcPr>
            <w:tcW w:w="323" w:type="pct"/>
          </w:tcPr>
          <w:p w:rsidR="00E00852" w:rsidRPr="00681F16" w:rsidRDefault="00B84032" w:rsidP="003547D1">
            <w:pPr>
              <w:rPr>
                <w:sz w:val="20"/>
                <w:szCs w:val="20"/>
              </w:rPr>
            </w:pPr>
            <w:r>
              <w:rPr>
                <w:sz w:val="20"/>
                <w:szCs w:val="20"/>
              </w:rPr>
              <w:t>Student</w:t>
            </w:r>
          </w:p>
        </w:tc>
        <w:tc>
          <w:tcPr>
            <w:tcW w:w="398" w:type="pct"/>
          </w:tcPr>
          <w:p w:rsidR="00E00852" w:rsidRPr="00681F16" w:rsidRDefault="00B84032" w:rsidP="003547D1">
            <w:pPr>
              <w:rPr>
                <w:sz w:val="20"/>
                <w:szCs w:val="20"/>
              </w:rPr>
            </w:pPr>
            <w:r>
              <w:rPr>
                <w:sz w:val="20"/>
                <w:szCs w:val="20"/>
              </w:rPr>
              <w:t>Continuous</w:t>
            </w:r>
          </w:p>
        </w:tc>
        <w:tc>
          <w:tcPr>
            <w:tcW w:w="222" w:type="pct"/>
          </w:tcPr>
          <w:p w:rsidR="00E00852" w:rsidRPr="00681F16" w:rsidRDefault="00E00852" w:rsidP="003547D1">
            <w:pPr>
              <w:rPr>
                <w:sz w:val="20"/>
                <w:szCs w:val="20"/>
              </w:rPr>
            </w:pPr>
          </w:p>
        </w:tc>
      </w:tr>
      <w:tr w:rsidR="00877019" w:rsidRPr="00681F16" w:rsidTr="00B84032">
        <w:trPr>
          <w:trHeight w:val="588"/>
        </w:trPr>
        <w:tc>
          <w:tcPr>
            <w:tcW w:w="844" w:type="pct"/>
          </w:tcPr>
          <w:p w:rsidR="00E00852" w:rsidRPr="00681F16" w:rsidRDefault="007B0420" w:rsidP="003547D1">
            <w:pPr>
              <w:rPr>
                <w:sz w:val="20"/>
                <w:szCs w:val="20"/>
              </w:rPr>
            </w:pPr>
            <w:r>
              <w:rPr>
                <w:sz w:val="20"/>
                <w:szCs w:val="20"/>
              </w:rPr>
              <w:t>Slipping and/or tripping</w:t>
            </w:r>
          </w:p>
        </w:tc>
        <w:tc>
          <w:tcPr>
            <w:tcW w:w="763" w:type="pct"/>
          </w:tcPr>
          <w:p w:rsidR="00E00852" w:rsidRPr="00681F16" w:rsidRDefault="007B0420" w:rsidP="003547D1">
            <w:pPr>
              <w:rPr>
                <w:sz w:val="20"/>
                <w:szCs w:val="20"/>
              </w:rPr>
            </w:pPr>
            <w:r>
              <w:rPr>
                <w:sz w:val="20"/>
                <w:szCs w:val="20"/>
              </w:rPr>
              <w:t>Student – Bruises, skeletal damage</w:t>
            </w:r>
          </w:p>
        </w:tc>
        <w:tc>
          <w:tcPr>
            <w:tcW w:w="1341" w:type="pct"/>
          </w:tcPr>
          <w:p w:rsidR="00E00852" w:rsidRPr="00681F16" w:rsidRDefault="007B0420" w:rsidP="003547D1">
            <w:pPr>
              <w:jc w:val="both"/>
              <w:rPr>
                <w:sz w:val="20"/>
                <w:szCs w:val="20"/>
              </w:rPr>
            </w:pPr>
            <w:r>
              <w:rPr>
                <w:sz w:val="20"/>
                <w:szCs w:val="20"/>
              </w:rPr>
              <w:t xml:space="preserve">Keep the floor clear of any unnecessary obstructions. Use wet floor sign when appropriate. </w:t>
            </w:r>
          </w:p>
        </w:tc>
        <w:tc>
          <w:tcPr>
            <w:tcW w:w="1109" w:type="pct"/>
          </w:tcPr>
          <w:p w:rsidR="00E00852" w:rsidRPr="00681F16" w:rsidRDefault="007B0420" w:rsidP="003547D1">
            <w:pPr>
              <w:rPr>
                <w:sz w:val="20"/>
                <w:szCs w:val="20"/>
              </w:rPr>
            </w:pPr>
            <w:r>
              <w:rPr>
                <w:sz w:val="20"/>
                <w:szCs w:val="20"/>
              </w:rPr>
              <w:t>No</w:t>
            </w:r>
          </w:p>
        </w:tc>
        <w:tc>
          <w:tcPr>
            <w:tcW w:w="323" w:type="pct"/>
          </w:tcPr>
          <w:p w:rsidR="00E00852" w:rsidRPr="00681F16" w:rsidRDefault="007B0420" w:rsidP="003547D1">
            <w:pPr>
              <w:rPr>
                <w:sz w:val="20"/>
                <w:szCs w:val="20"/>
              </w:rPr>
            </w:pPr>
            <w:r>
              <w:rPr>
                <w:sz w:val="20"/>
                <w:szCs w:val="20"/>
              </w:rPr>
              <w:t>Student</w:t>
            </w:r>
          </w:p>
        </w:tc>
        <w:tc>
          <w:tcPr>
            <w:tcW w:w="398" w:type="pct"/>
          </w:tcPr>
          <w:p w:rsidR="00E00852" w:rsidRPr="00681F16" w:rsidRDefault="007B0420" w:rsidP="003547D1">
            <w:pPr>
              <w:rPr>
                <w:sz w:val="20"/>
                <w:szCs w:val="20"/>
              </w:rPr>
            </w:pPr>
            <w:r>
              <w:rPr>
                <w:sz w:val="20"/>
                <w:szCs w:val="20"/>
              </w:rPr>
              <w:t>Continuous</w:t>
            </w:r>
          </w:p>
        </w:tc>
        <w:tc>
          <w:tcPr>
            <w:tcW w:w="222" w:type="pct"/>
          </w:tcPr>
          <w:p w:rsidR="00E00852" w:rsidRPr="00681F16" w:rsidRDefault="00E00852" w:rsidP="003547D1">
            <w:pPr>
              <w:rPr>
                <w:sz w:val="20"/>
                <w:szCs w:val="20"/>
              </w:rPr>
            </w:pPr>
          </w:p>
        </w:tc>
      </w:tr>
      <w:tr w:rsidR="00877019" w:rsidRPr="00681F16" w:rsidTr="00B84032">
        <w:trPr>
          <w:trHeight w:val="725"/>
        </w:trPr>
        <w:tc>
          <w:tcPr>
            <w:tcW w:w="844" w:type="pct"/>
          </w:tcPr>
          <w:p w:rsidR="00D96B8F" w:rsidRPr="00681F16" w:rsidRDefault="007B0420" w:rsidP="003547D1">
            <w:pPr>
              <w:rPr>
                <w:sz w:val="20"/>
                <w:szCs w:val="20"/>
              </w:rPr>
            </w:pPr>
            <w:r>
              <w:rPr>
                <w:sz w:val="20"/>
                <w:szCs w:val="20"/>
              </w:rPr>
              <w:t>Extended exposure to computer screen</w:t>
            </w:r>
          </w:p>
        </w:tc>
        <w:tc>
          <w:tcPr>
            <w:tcW w:w="763" w:type="pct"/>
          </w:tcPr>
          <w:p w:rsidR="00D96B8F" w:rsidRPr="00681F16" w:rsidRDefault="007B0420" w:rsidP="003547D1">
            <w:pPr>
              <w:rPr>
                <w:sz w:val="20"/>
                <w:szCs w:val="20"/>
              </w:rPr>
            </w:pPr>
            <w:r>
              <w:rPr>
                <w:sz w:val="20"/>
                <w:szCs w:val="20"/>
              </w:rPr>
              <w:t>Student – Headache, Sore eyes</w:t>
            </w:r>
          </w:p>
        </w:tc>
        <w:tc>
          <w:tcPr>
            <w:tcW w:w="1341" w:type="pct"/>
          </w:tcPr>
          <w:p w:rsidR="00D96B8F" w:rsidRPr="00681F16" w:rsidRDefault="007B0420" w:rsidP="003547D1">
            <w:pPr>
              <w:jc w:val="both"/>
              <w:rPr>
                <w:sz w:val="20"/>
                <w:szCs w:val="20"/>
              </w:rPr>
            </w:pPr>
            <w:r>
              <w:rPr>
                <w:sz w:val="20"/>
                <w:szCs w:val="20"/>
              </w:rPr>
              <w:t xml:space="preserve">Apply a blue light filter to keep retina healthy. Take regular breaks away from the screen. </w:t>
            </w:r>
          </w:p>
        </w:tc>
        <w:tc>
          <w:tcPr>
            <w:tcW w:w="1109" w:type="pct"/>
          </w:tcPr>
          <w:p w:rsidR="00D96B8F" w:rsidRPr="00681F16" w:rsidRDefault="007B0420" w:rsidP="003547D1">
            <w:pPr>
              <w:jc w:val="both"/>
              <w:rPr>
                <w:sz w:val="20"/>
                <w:szCs w:val="20"/>
              </w:rPr>
            </w:pPr>
            <w:r>
              <w:rPr>
                <w:sz w:val="20"/>
                <w:szCs w:val="20"/>
              </w:rPr>
              <w:t>No</w:t>
            </w:r>
          </w:p>
        </w:tc>
        <w:tc>
          <w:tcPr>
            <w:tcW w:w="323" w:type="pct"/>
          </w:tcPr>
          <w:p w:rsidR="00D96B8F" w:rsidRPr="00681F16" w:rsidRDefault="007B0420" w:rsidP="003547D1">
            <w:pPr>
              <w:rPr>
                <w:sz w:val="20"/>
                <w:szCs w:val="20"/>
              </w:rPr>
            </w:pPr>
            <w:r>
              <w:rPr>
                <w:sz w:val="20"/>
                <w:szCs w:val="20"/>
              </w:rPr>
              <w:t>Student</w:t>
            </w:r>
          </w:p>
        </w:tc>
        <w:tc>
          <w:tcPr>
            <w:tcW w:w="398" w:type="pct"/>
          </w:tcPr>
          <w:p w:rsidR="00D96B8F" w:rsidRPr="00681F16" w:rsidRDefault="007B0420" w:rsidP="003547D1">
            <w:pPr>
              <w:rPr>
                <w:sz w:val="20"/>
                <w:szCs w:val="20"/>
              </w:rPr>
            </w:pPr>
            <w:r>
              <w:rPr>
                <w:sz w:val="20"/>
                <w:szCs w:val="20"/>
              </w:rPr>
              <w:t>Continuous</w:t>
            </w:r>
          </w:p>
        </w:tc>
        <w:tc>
          <w:tcPr>
            <w:tcW w:w="222" w:type="pct"/>
          </w:tcPr>
          <w:p w:rsidR="00D96B8F" w:rsidRPr="00681F16" w:rsidRDefault="00D96B8F" w:rsidP="003547D1">
            <w:pPr>
              <w:rPr>
                <w:sz w:val="20"/>
                <w:szCs w:val="20"/>
              </w:rPr>
            </w:pPr>
          </w:p>
        </w:tc>
      </w:tr>
      <w:tr w:rsidR="00877019" w:rsidRPr="00681F16" w:rsidTr="00B84032">
        <w:trPr>
          <w:trHeight w:val="724"/>
        </w:trPr>
        <w:tc>
          <w:tcPr>
            <w:tcW w:w="844" w:type="pct"/>
          </w:tcPr>
          <w:p w:rsidR="00EE6ADD" w:rsidRPr="00681F16" w:rsidRDefault="003A7458" w:rsidP="003547D1">
            <w:pPr>
              <w:rPr>
                <w:sz w:val="20"/>
                <w:szCs w:val="20"/>
              </w:rPr>
            </w:pPr>
            <w:r>
              <w:rPr>
                <w:sz w:val="20"/>
                <w:szCs w:val="20"/>
              </w:rPr>
              <w:t>Soldering skin contact</w:t>
            </w:r>
          </w:p>
        </w:tc>
        <w:tc>
          <w:tcPr>
            <w:tcW w:w="763" w:type="pct"/>
          </w:tcPr>
          <w:p w:rsidR="00EE6ADD" w:rsidRPr="00681F16" w:rsidRDefault="003A7458" w:rsidP="003547D1">
            <w:pPr>
              <w:jc w:val="both"/>
              <w:rPr>
                <w:sz w:val="20"/>
                <w:szCs w:val="20"/>
              </w:rPr>
            </w:pPr>
            <w:r>
              <w:rPr>
                <w:sz w:val="20"/>
                <w:szCs w:val="20"/>
              </w:rPr>
              <w:t>Student – Temporary scars and burns</w:t>
            </w:r>
          </w:p>
        </w:tc>
        <w:tc>
          <w:tcPr>
            <w:tcW w:w="1341" w:type="pct"/>
          </w:tcPr>
          <w:p w:rsidR="00EE6ADD" w:rsidRPr="00681F16" w:rsidRDefault="003A7458" w:rsidP="003547D1">
            <w:pPr>
              <w:jc w:val="both"/>
              <w:rPr>
                <w:sz w:val="20"/>
                <w:szCs w:val="20"/>
              </w:rPr>
            </w:pPr>
            <w:r>
              <w:rPr>
                <w:sz w:val="20"/>
                <w:szCs w:val="20"/>
              </w:rPr>
              <w:t>Take care when handling soldering iron. Insure the soldering iron is switched off or on its stand when not being used. Keep burnt skin under running cold water.</w:t>
            </w:r>
          </w:p>
        </w:tc>
        <w:tc>
          <w:tcPr>
            <w:tcW w:w="1109" w:type="pct"/>
          </w:tcPr>
          <w:p w:rsidR="00EE6ADD" w:rsidRPr="00681F16" w:rsidRDefault="003A7458" w:rsidP="003547D1">
            <w:pPr>
              <w:jc w:val="both"/>
              <w:rPr>
                <w:sz w:val="20"/>
                <w:szCs w:val="20"/>
              </w:rPr>
            </w:pPr>
            <w:r>
              <w:rPr>
                <w:sz w:val="20"/>
                <w:szCs w:val="20"/>
              </w:rPr>
              <w:t>No</w:t>
            </w:r>
          </w:p>
        </w:tc>
        <w:tc>
          <w:tcPr>
            <w:tcW w:w="323" w:type="pct"/>
          </w:tcPr>
          <w:p w:rsidR="00EE6ADD" w:rsidRPr="00681F16" w:rsidRDefault="003A7458" w:rsidP="003547D1">
            <w:pPr>
              <w:rPr>
                <w:sz w:val="20"/>
                <w:szCs w:val="20"/>
              </w:rPr>
            </w:pPr>
            <w:r>
              <w:rPr>
                <w:sz w:val="20"/>
                <w:szCs w:val="20"/>
              </w:rPr>
              <w:t>Student</w:t>
            </w:r>
          </w:p>
        </w:tc>
        <w:tc>
          <w:tcPr>
            <w:tcW w:w="398" w:type="pct"/>
          </w:tcPr>
          <w:p w:rsidR="00EE6ADD" w:rsidRPr="00681F16" w:rsidRDefault="003A7458" w:rsidP="003547D1">
            <w:pPr>
              <w:rPr>
                <w:sz w:val="20"/>
                <w:szCs w:val="20"/>
              </w:rPr>
            </w:pPr>
            <w:r>
              <w:rPr>
                <w:sz w:val="20"/>
                <w:szCs w:val="20"/>
              </w:rPr>
              <w:t>Continuous</w:t>
            </w:r>
          </w:p>
        </w:tc>
        <w:tc>
          <w:tcPr>
            <w:tcW w:w="222" w:type="pct"/>
          </w:tcPr>
          <w:p w:rsidR="00EE6ADD" w:rsidRPr="00681F16" w:rsidRDefault="00EE6ADD" w:rsidP="003547D1">
            <w:pPr>
              <w:rPr>
                <w:sz w:val="20"/>
                <w:szCs w:val="20"/>
              </w:rPr>
            </w:pPr>
          </w:p>
        </w:tc>
      </w:tr>
      <w:tr w:rsidR="00877019" w:rsidRPr="00681F16" w:rsidTr="00B84032">
        <w:trPr>
          <w:trHeight w:val="741"/>
        </w:trPr>
        <w:tc>
          <w:tcPr>
            <w:tcW w:w="844" w:type="pct"/>
          </w:tcPr>
          <w:p w:rsidR="00DB2C1F" w:rsidRPr="00681F16" w:rsidRDefault="003A7458" w:rsidP="003547D1">
            <w:pPr>
              <w:rPr>
                <w:sz w:val="20"/>
                <w:szCs w:val="20"/>
              </w:rPr>
            </w:pPr>
            <w:r>
              <w:rPr>
                <w:sz w:val="20"/>
                <w:szCs w:val="20"/>
              </w:rPr>
              <w:t>Inhalation of melting flux from soldering</w:t>
            </w:r>
          </w:p>
        </w:tc>
        <w:tc>
          <w:tcPr>
            <w:tcW w:w="763" w:type="pct"/>
          </w:tcPr>
          <w:p w:rsidR="00DB2C1F" w:rsidRPr="00681F16" w:rsidRDefault="003A7458" w:rsidP="003547D1">
            <w:pPr>
              <w:rPr>
                <w:sz w:val="20"/>
                <w:szCs w:val="20"/>
              </w:rPr>
            </w:pPr>
            <w:r>
              <w:rPr>
                <w:sz w:val="20"/>
                <w:szCs w:val="20"/>
              </w:rPr>
              <w:t>Student</w:t>
            </w:r>
            <w:r w:rsidR="00007292">
              <w:rPr>
                <w:sz w:val="20"/>
                <w:szCs w:val="20"/>
              </w:rPr>
              <w:t>, Bystanders</w:t>
            </w:r>
            <w:r>
              <w:rPr>
                <w:sz w:val="20"/>
                <w:szCs w:val="20"/>
              </w:rPr>
              <w:t xml:space="preserve"> – Dizziness, headache, coughs </w:t>
            </w:r>
          </w:p>
        </w:tc>
        <w:tc>
          <w:tcPr>
            <w:tcW w:w="1341" w:type="pct"/>
          </w:tcPr>
          <w:p w:rsidR="00DB2C1F" w:rsidRPr="00681F16" w:rsidRDefault="003A7458" w:rsidP="003547D1">
            <w:pPr>
              <w:rPr>
                <w:sz w:val="20"/>
                <w:szCs w:val="20"/>
              </w:rPr>
            </w:pPr>
            <w:r>
              <w:rPr>
                <w:sz w:val="20"/>
                <w:szCs w:val="20"/>
              </w:rPr>
              <w:t xml:space="preserve">The smoke is harmless but long exposures can lead to </w:t>
            </w:r>
            <w:r w:rsidR="00C13554">
              <w:rPr>
                <w:sz w:val="20"/>
                <w:szCs w:val="20"/>
              </w:rPr>
              <w:t>discussed symptoms. Take regular breaks and avoid breathing directly into smoke.</w:t>
            </w:r>
          </w:p>
        </w:tc>
        <w:tc>
          <w:tcPr>
            <w:tcW w:w="1109" w:type="pct"/>
          </w:tcPr>
          <w:p w:rsidR="00DB2C1F" w:rsidRPr="00681F16" w:rsidRDefault="00C13554" w:rsidP="003547D1">
            <w:pPr>
              <w:rPr>
                <w:sz w:val="20"/>
                <w:szCs w:val="20"/>
              </w:rPr>
            </w:pPr>
            <w:r>
              <w:rPr>
                <w:sz w:val="20"/>
                <w:szCs w:val="20"/>
              </w:rPr>
              <w:t>No. But potentially in the future consideration in installing a fume extraction system</w:t>
            </w:r>
            <w:r w:rsidR="00401727">
              <w:rPr>
                <w:sz w:val="20"/>
                <w:szCs w:val="20"/>
              </w:rPr>
              <w:t>.</w:t>
            </w:r>
          </w:p>
        </w:tc>
        <w:tc>
          <w:tcPr>
            <w:tcW w:w="323" w:type="pct"/>
          </w:tcPr>
          <w:p w:rsidR="00DB2C1F" w:rsidRPr="00681F16" w:rsidRDefault="00C13554" w:rsidP="003547D1">
            <w:pPr>
              <w:rPr>
                <w:sz w:val="20"/>
                <w:szCs w:val="20"/>
              </w:rPr>
            </w:pPr>
            <w:r>
              <w:rPr>
                <w:sz w:val="20"/>
                <w:szCs w:val="20"/>
              </w:rPr>
              <w:t>Student</w:t>
            </w:r>
          </w:p>
        </w:tc>
        <w:tc>
          <w:tcPr>
            <w:tcW w:w="398" w:type="pct"/>
          </w:tcPr>
          <w:p w:rsidR="00DB2C1F" w:rsidRPr="00681F16" w:rsidRDefault="00C13554" w:rsidP="003547D1">
            <w:pPr>
              <w:rPr>
                <w:sz w:val="20"/>
                <w:szCs w:val="20"/>
              </w:rPr>
            </w:pPr>
            <w:r>
              <w:rPr>
                <w:sz w:val="20"/>
                <w:szCs w:val="20"/>
              </w:rPr>
              <w:t>Continuous</w:t>
            </w:r>
          </w:p>
        </w:tc>
        <w:tc>
          <w:tcPr>
            <w:tcW w:w="222" w:type="pct"/>
          </w:tcPr>
          <w:p w:rsidR="00DB2C1F" w:rsidRPr="00681F16" w:rsidRDefault="00DB2C1F" w:rsidP="003547D1">
            <w:pPr>
              <w:rPr>
                <w:sz w:val="20"/>
                <w:szCs w:val="20"/>
              </w:rPr>
            </w:pPr>
          </w:p>
        </w:tc>
      </w:tr>
      <w:tr w:rsidR="00877019" w:rsidRPr="00681F16" w:rsidTr="00B84032">
        <w:trPr>
          <w:trHeight w:val="697"/>
        </w:trPr>
        <w:tc>
          <w:tcPr>
            <w:tcW w:w="844" w:type="pct"/>
          </w:tcPr>
          <w:p w:rsidR="00DB2C1F" w:rsidRPr="00681F16" w:rsidRDefault="00717B18" w:rsidP="003547D1">
            <w:pPr>
              <w:rPr>
                <w:sz w:val="20"/>
                <w:szCs w:val="20"/>
              </w:rPr>
            </w:pPr>
            <w:r>
              <w:rPr>
                <w:sz w:val="20"/>
                <w:szCs w:val="20"/>
              </w:rPr>
              <w:t xml:space="preserve">Malfunctioning of circuitry and equipment </w:t>
            </w:r>
          </w:p>
        </w:tc>
        <w:tc>
          <w:tcPr>
            <w:tcW w:w="763" w:type="pct"/>
          </w:tcPr>
          <w:p w:rsidR="00DB2C1F" w:rsidRPr="00681F16" w:rsidRDefault="00717B18" w:rsidP="003547D1">
            <w:pPr>
              <w:rPr>
                <w:sz w:val="20"/>
                <w:szCs w:val="20"/>
              </w:rPr>
            </w:pPr>
            <w:r>
              <w:rPr>
                <w:sz w:val="20"/>
                <w:szCs w:val="20"/>
              </w:rPr>
              <w:t>Student, Bystanders – Electrical Fire</w:t>
            </w:r>
          </w:p>
        </w:tc>
        <w:tc>
          <w:tcPr>
            <w:tcW w:w="1341" w:type="pct"/>
          </w:tcPr>
          <w:p w:rsidR="00DB2C1F" w:rsidRPr="00681F16" w:rsidRDefault="00717B18" w:rsidP="003547D1">
            <w:pPr>
              <w:rPr>
                <w:sz w:val="20"/>
                <w:szCs w:val="20"/>
              </w:rPr>
            </w:pPr>
            <w:r>
              <w:rPr>
                <w:sz w:val="20"/>
                <w:szCs w:val="20"/>
              </w:rPr>
              <w:t xml:space="preserve">Take appropriate electrical fire precautions. </w:t>
            </w:r>
            <w:r w:rsidR="00401727">
              <w:rPr>
                <w:sz w:val="20"/>
                <w:szCs w:val="20"/>
              </w:rPr>
              <w:t xml:space="preserve">Keep food and drinks away from electrical equipment. Read manual before handling equipment. </w:t>
            </w:r>
          </w:p>
        </w:tc>
        <w:tc>
          <w:tcPr>
            <w:tcW w:w="1109" w:type="pct"/>
          </w:tcPr>
          <w:p w:rsidR="00DB2C1F" w:rsidRPr="00681F16" w:rsidRDefault="00401727" w:rsidP="003547D1">
            <w:pPr>
              <w:rPr>
                <w:sz w:val="20"/>
                <w:szCs w:val="20"/>
              </w:rPr>
            </w:pPr>
            <w:r>
              <w:rPr>
                <w:sz w:val="20"/>
                <w:szCs w:val="20"/>
              </w:rPr>
              <w:t>No</w:t>
            </w:r>
          </w:p>
        </w:tc>
        <w:tc>
          <w:tcPr>
            <w:tcW w:w="323" w:type="pct"/>
          </w:tcPr>
          <w:p w:rsidR="00DB2C1F" w:rsidRPr="00681F16" w:rsidRDefault="00401727" w:rsidP="003547D1">
            <w:pPr>
              <w:rPr>
                <w:sz w:val="20"/>
                <w:szCs w:val="20"/>
              </w:rPr>
            </w:pPr>
            <w:r>
              <w:rPr>
                <w:sz w:val="20"/>
                <w:szCs w:val="20"/>
              </w:rPr>
              <w:t>Student</w:t>
            </w:r>
          </w:p>
        </w:tc>
        <w:tc>
          <w:tcPr>
            <w:tcW w:w="398" w:type="pct"/>
          </w:tcPr>
          <w:p w:rsidR="00DB2C1F" w:rsidRPr="00681F16" w:rsidRDefault="00401727" w:rsidP="003547D1">
            <w:pPr>
              <w:rPr>
                <w:sz w:val="20"/>
                <w:szCs w:val="20"/>
              </w:rPr>
            </w:pPr>
            <w:r>
              <w:rPr>
                <w:sz w:val="20"/>
                <w:szCs w:val="20"/>
              </w:rPr>
              <w:t>Continuous</w:t>
            </w:r>
          </w:p>
        </w:tc>
        <w:tc>
          <w:tcPr>
            <w:tcW w:w="222" w:type="pct"/>
          </w:tcPr>
          <w:p w:rsidR="00DB2C1F" w:rsidRPr="00681F16" w:rsidRDefault="00DB2C1F" w:rsidP="003547D1">
            <w:pPr>
              <w:rPr>
                <w:sz w:val="20"/>
                <w:szCs w:val="20"/>
              </w:rPr>
            </w:pPr>
          </w:p>
        </w:tc>
      </w:tr>
      <w:tr w:rsidR="00426399" w:rsidRPr="00681F16" w:rsidTr="00426399">
        <w:trPr>
          <w:trHeight w:val="295"/>
        </w:trPr>
        <w:tc>
          <w:tcPr>
            <w:tcW w:w="5000" w:type="pct"/>
            <w:gridSpan w:val="7"/>
          </w:tcPr>
          <w:p w:rsidR="00426399" w:rsidRPr="00681F16" w:rsidRDefault="00BE039C" w:rsidP="003547D1">
            <w:pPr>
              <w:rPr>
                <w:sz w:val="20"/>
                <w:szCs w:val="20"/>
              </w:rPr>
            </w:pPr>
            <w:r>
              <w:rPr>
                <w:sz w:val="20"/>
                <w:szCs w:val="20"/>
              </w:rPr>
              <w:t>Risk assessment for the future of the project (not currently used)</w:t>
            </w:r>
          </w:p>
        </w:tc>
      </w:tr>
      <w:tr w:rsidR="00877019" w:rsidRPr="00681F16" w:rsidTr="00B84032">
        <w:trPr>
          <w:trHeight w:val="705"/>
        </w:trPr>
        <w:tc>
          <w:tcPr>
            <w:tcW w:w="844" w:type="pct"/>
          </w:tcPr>
          <w:p w:rsidR="003547D1" w:rsidRPr="00681F16" w:rsidRDefault="00A64B7C" w:rsidP="003547D1">
            <w:pPr>
              <w:rPr>
                <w:sz w:val="20"/>
                <w:szCs w:val="20"/>
              </w:rPr>
            </w:pPr>
            <w:r>
              <w:rPr>
                <w:sz w:val="20"/>
                <w:szCs w:val="20"/>
              </w:rPr>
              <w:t>Helium Gas</w:t>
            </w:r>
          </w:p>
        </w:tc>
        <w:tc>
          <w:tcPr>
            <w:tcW w:w="763" w:type="pct"/>
          </w:tcPr>
          <w:p w:rsidR="003547D1" w:rsidRDefault="00A64B7C" w:rsidP="003547D1">
            <w:pPr>
              <w:rPr>
                <w:sz w:val="20"/>
                <w:szCs w:val="20"/>
              </w:rPr>
            </w:pPr>
            <w:r>
              <w:rPr>
                <w:sz w:val="20"/>
                <w:szCs w:val="20"/>
              </w:rPr>
              <w:t xml:space="preserve">Student, Bystanders – </w:t>
            </w:r>
          </w:p>
          <w:p w:rsidR="00A64B7C" w:rsidRPr="00681F16" w:rsidRDefault="00426399" w:rsidP="003547D1">
            <w:pPr>
              <w:rPr>
                <w:sz w:val="20"/>
                <w:szCs w:val="20"/>
              </w:rPr>
            </w:pPr>
            <w:r>
              <w:rPr>
                <w:sz w:val="20"/>
                <w:szCs w:val="20"/>
              </w:rPr>
              <w:t>A</w:t>
            </w:r>
            <w:r w:rsidR="00A64B7C" w:rsidRPr="00A64B7C">
              <w:rPr>
                <w:sz w:val="20"/>
                <w:szCs w:val="20"/>
              </w:rPr>
              <w:t>sphyxiation</w:t>
            </w:r>
          </w:p>
        </w:tc>
        <w:tc>
          <w:tcPr>
            <w:tcW w:w="1341" w:type="pct"/>
          </w:tcPr>
          <w:p w:rsidR="003547D1" w:rsidRPr="00681F16" w:rsidRDefault="00426399" w:rsidP="003547D1">
            <w:pPr>
              <w:rPr>
                <w:sz w:val="20"/>
                <w:szCs w:val="20"/>
              </w:rPr>
            </w:pPr>
            <w:r>
              <w:rPr>
                <w:sz w:val="20"/>
                <w:szCs w:val="20"/>
              </w:rPr>
              <w:t xml:space="preserve">Insure that the environment is well ventilated. </w:t>
            </w:r>
          </w:p>
        </w:tc>
        <w:tc>
          <w:tcPr>
            <w:tcW w:w="1109" w:type="pct"/>
          </w:tcPr>
          <w:p w:rsidR="003547D1" w:rsidRPr="00681F16" w:rsidRDefault="00426399" w:rsidP="003547D1">
            <w:pPr>
              <w:rPr>
                <w:sz w:val="20"/>
                <w:szCs w:val="20"/>
              </w:rPr>
            </w:pPr>
            <w:r>
              <w:rPr>
                <w:sz w:val="20"/>
                <w:szCs w:val="20"/>
              </w:rPr>
              <w:t>No</w:t>
            </w:r>
          </w:p>
        </w:tc>
        <w:tc>
          <w:tcPr>
            <w:tcW w:w="323" w:type="pct"/>
          </w:tcPr>
          <w:p w:rsidR="003547D1" w:rsidRPr="00681F16" w:rsidRDefault="00426399" w:rsidP="003547D1">
            <w:pPr>
              <w:rPr>
                <w:sz w:val="20"/>
                <w:szCs w:val="20"/>
              </w:rPr>
            </w:pPr>
            <w:r>
              <w:rPr>
                <w:sz w:val="20"/>
                <w:szCs w:val="20"/>
              </w:rPr>
              <w:t>Student</w:t>
            </w:r>
          </w:p>
        </w:tc>
        <w:tc>
          <w:tcPr>
            <w:tcW w:w="398" w:type="pct"/>
          </w:tcPr>
          <w:p w:rsidR="003547D1" w:rsidRPr="00681F16" w:rsidRDefault="00426399" w:rsidP="003547D1">
            <w:pPr>
              <w:rPr>
                <w:sz w:val="20"/>
                <w:szCs w:val="20"/>
              </w:rPr>
            </w:pPr>
            <w:r>
              <w:rPr>
                <w:sz w:val="20"/>
                <w:szCs w:val="20"/>
              </w:rPr>
              <w:t>Continuous</w:t>
            </w:r>
          </w:p>
        </w:tc>
        <w:tc>
          <w:tcPr>
            <w:tcW w:w="222" w:type="pct"/>
          </w:tcPr>
          <w:p w:rsidR="003547D1" w:rsidRPr="00681F16" w:rsidRDefault="003547D1" w:rsidP="003547D1">
            <w:pPr>
              <w:rPr>
                <w:sz w:val="20"/>
                <w:szCs w:val="20"/>
              </w:rPr>
            </w:pPr>
          </w:p>
        </w:tc>
      </w:tr>
      <w:tr w:rsidR="00877019" w:rsidRPr="00681F16" w:rsidTr="00B84032">
        <w:trPr>
          <w:trHeight w:val="713"/>
        </w:trPr>
        <w:tc>
          <w:tcPr>
            <w:tcW w:w="844" w:type="pct"/>
          </w:tcPr>
          <w:p w:rsidR="003547D1" w:rsidRPr="00681F16" w:rsidRDefault="00426399" w:rsidP="003547D1">
            <w:pPr>
              <w:rPr>
                <w:sz w:val="20"/>
                <w:szCs w:val="20"/>
              </w:rPr>
            </w:pPr>
            <w:r>
              <w:rPr>
                <w:sz w:val="20"/>
                <w:szCs w:val="20"/>
              </w:rPr>
              <w:t>Hydrogen Gas</w:t>
            </w:r>
          </w:p>
        </w:tc>
        <w:tc>
          <w:tcPr>
            <w:tcW w:w="763" w:type="pct"/>
          </w:tcPr>
          <w:p w:rsidR="003547D1" w:rsidRPr="00681F16" w:rsidRDefault="00426399" w:rsidP="003547D1">
            <w:pPr>
              <w:rPr>
                <w:sz w:val="20"/>
                <w:szCs w:val="20"/>
              </w:rPr>
            </w:pPr>
            <w:r>
              <w:rPr>
                <w:sz w:val="20"/>
                <w:szCs w:val="20"/>
              </w:rPr>
              <w:t>Student, Bystanders – Flammable, Explosive</w:t>
            </w:r>
          </w:p>
        </w:tc>
        <w:tc>
          <w:tcPr>
            <w:tcW w:w="1341" w:type="pct"/>
          </w:tcPr>
          <w:p w:rsidR="003547D1" w:rsidRPr="00681F16" w:rsidRDefault="00BE039C" w:rsidP="003547D1">
            <w:pPr>
              <w:rPr>
                <w:sz w:val="20"/>
                <w:szCs w:val="20"/>
              </w:rPr>
            </w:pPr>
            <w:r>
              <w:rPr>
                <w:sz w:val="20"/>
                <w:szCs w:val="20"/>
              </w:rPr>
              <w:t>Use inert hydrogen gas. Keep the gas under the lower flammability</w:t>
            </w:r>
            <w:r w:rsidR="00877019">
              <w:rPr>
                <w:sz w:val="20"/>
                <w:szCs w:val="20"/>
              </w:rPr>
              <w:t xml:space="preserve">. </w:t>
            </w:r>
            <w:bookmarkStart w:id="2" w:name="_GoBack"/>
            <w:bookmarkEnd w:id="2"/>
          </w:p>
        </w:tc>
        <w:tc>
          <w:tcPr>
            <w:tcW w:w="1109" w:type="pct"/>
          </w:tcPr>
          <w:p w:rsidR="003547D1" w:rsidRPr="00681F16" w:rsidRDefault="00BE039C" w:rsidP="003547D1">
            <w:pPr>
              <w:rPr>
                <w:sz w:val="20"/>
                <w:szCs w:val="20"/>
              </w:rPr>
            </w:pPr>
            <w:r>
              <w:rPr>
                <w:sz w:val="20"/>
                <w:szCs w:val="20"/>
              </w:rPr>
              <w:t>No</w:t>
            </w:r>
          </w:p>
        </w:tc>
        <w:tc>
          <w:tcPr>
            <w:tcW w:w="323" w:type="pct"/>
          </w:tcPr>
          <w:p w:rsidR="003547D1" w:rsidRPr="00681F16" w:rsidRDefault="00BE039C" w:rsidP="003547D1">
            <w:pPr>
              <w:rPr>
                <w:sz w:val="20"/>
                <w:szCs w:val="20"/>
              </w:rPr>
            </w:pPr>
            <w:r>
              <w:rPr>
                <w:sz w:val="20"/>
                <w:szCs w:val="20"/>
              </w:rPr>
              <w:t>Student</w:t>
            </w:r>
          </w:p>
        </w:tc>
        <w:tc>
          <w:tcPr>
            <w:tcW w:w="398" w:type="pct"/>
          </w:tcPr>
          <w:p w:rsidR="003547D1" w:rsidRPr="00681F16" w:rsidRDefault="00BE039C" w:rsidP="003547D1">
            <w:pPr>
              <w:rPr>
                <w:sz w:val="20"/>
                <w:szCs w:val="20"/>
              </w:rPr>
            </w:pPr>
            <w:r>
              <w:rPr>
                <w:sz w:val="20"/>
                <w:szCs w:val="20"/>
              </w:rPr>
              <w:t>Continuous</w:t>
            </w:r>
          </w:p>
        </w:tc>
        <w:tc>
          <w:tcPr>
            <w:tcW w:w="222" w:type="pct"/>
          </w:tcPr>
          <w:p w:rsidR="003547D1" w:rsidRPr="00681F16" w:rsidRDefault="003547D1" w:rsidP="003547D1">
            <w:pPr>
              <w:rPr>
                <w:sz w:val="20"/>
                <w:szCs w:val="20"/>
              </w:rPr>
            </w:pPr>
          </w:p>
        </w:tc>
      </w:tr>
      <w:tr w:rsidR="00BE039C" w:rsidRPr="00681F16" w:rsidTr="00B84032">
        <w:trPr>
          <w:trHeight w:val="713"/>
        </w:trPr>
        <w:tc>
          <w:tcPr>
            <w:tcW w:w="844" w:type="pct"/>
          </w:tcPr>
          <w:p w:rsidR="00BE039C" w:rsidRDefault="00BE039C" w:rsidP="003547D1">
            <w:pPr>
              <w:rPr>
                <w:sz w:val="20"/>
                <w:szCs w:val="20"/>
              </w:rPr>
            </w:pPr>
            <w:r>
              <w:rPr>
                <w:sz w:val="20"/>
                <w:szCs w:val="20"/>
              </w:rPr>
              <w:t>Water bath</w:t>
            </w:r>
          </w:p>
        </w:tc>
        <w:tc>
          <w:tcPr>
            <w:tcW w:w="763" w:type="pct"/>
          </w:tcPr>
          <w:p w:rsidR="00BE039C" w:rsidRDefault="00BE039C" w:rsidP="003547D1">
            <w:pPr>
              <w:rPr>
                <w:sz w:val="20"/>
                <w:szCs w:val="20"/>
              </w:rPr>
            </w:pPr>
            <w:r>
              <w:rPr>
                <w:sz w:val="20"/>
                <w:szCs w:val="20"/>
              </w:rPr>
              <w:t>Student – Water spillage, hot water/steam</w:t>
            </w:r>
          </w:p>
        </w:tc>
        <w:tc>
          <w:tcPr>
            <w:tcW w:w="1341" w:type="pct"/>
          </w:tcPr>
          <w:p w:rsidR="00BE039C" w:rsidRDefault="00BE039C" w:rsidP="003547D1">
            <w:pPr>
              <w:rPr>
                <w:sz w:val="20"/>
                <w:szCs w:val="20"/>
              </w:rPr>
            </w:pPr>
            <w:r>
              <w:rPr>
                <w:sz w:val="20"/>
                <w:szCs w:val="20"/>
              </w:rPr>
              <w:t>Avoid moving the water bath if it contains water. Avoid excessive heating of the water.</w:t>
            </w:r>
          </w:p>
        </w:tc>
        <w:tc>
          <w:tcPr>
            <w:tcW w:w="1109" w:type="pct"/>
          </w:tcPr>
          <w:p w:rsidR="00BE039C" w:rsidRDefault="00BE039C" w:rsidP="003547D1">
            <w:pPr>
              <w:rPr>
                <w:sz w:val="20"/>
                <w:szCs w:val="20"/>
              </w:rPr>
            </w:pPr>
            <w:r>
              <w:rPr>
                <w:sz w:val="20"/>
                <w:szCs w:val="20"/>
              </w:rPr>
              <w:t>No</w:t>
            </w:r>
          </w:p>
        </w:tc>
        <w:tc>
          <w:tcPr>
            <w:tcW w:w="323" w:type="pct"/>
          </w:tcPr>
          <w:p w:rsidR="00BE039C" w:rsidRDefault="00BE039C" w:rsidP="003547D1">
            <w:pPr>
              <w:rPr>
                <w:sz w:val="20"/>
                <w:szCs w:val="20"/>
              </w:rPr>
            </w:pPr>
            <w:r>
              <w:rPr>
                <w:sz w:val="20"/>
                <w:szCs w:val="20"/>
              </w:rPr>
              <w:t>Student</w:t>
            </w:r>
          </w:p>
        </w:tc>
        <w:tc>
          <w:tcPr>
            <w:tcW w:w="398" w:type="pct"/>
          </w:tcPr>
          <w:p w:rsidR="00BE039C" w:rsidRDefault="00BE039C" w:rsidP="003547D1">
            <w:pPr>
              <w:rPr>
                <w:sz w:val="20"/>
                <w:szCs w:val="20"/>
              </w:rPr>
            </w:pPr>
            <w:r>
              <w:rPr>
                <w:sz w:val="20"/>
                <w:szCs w:val="20"/>
              </w:rPr>
              <w:t>Continuous</w:t>
            </w:r>
          </w:p>
        </w:tc>
        <w:tc>
          <w:tcPr>
            <w:tcW w:w="222" w:type="pct"/>
          </w:tcPr>
          <w:p w:rsidR="00BE039C" w:rsidRPr="00681F16" w:rsidRDefault="00BE039C" w:rsidP="003547D1">
            <w:pPr>
              <w:rPr>
                <w:sz w:val="20"/>
                <w:szCs w:val="20"/>
              </w:rPr>
            </w:pPr>
          </w:p>
        </w:tc>
      </w:tr>
    </w:tbl>
    <w:p w:rsidR="003547D1" w:rsidRDefault="003547D1">
      <w:pPr>
        <w:rPr>
          <w:sz w:val="20"/>
          <w:szCs w:val="20"/>
        </w:rPr>
      </w:pPr>
    </w:p>
    <w:p w:rsidR="00645AB2" w:rsidRPr="009D337E" w:rsidRDefault="00645AB2" w:rsidP="00A01AA4">
      <w:pPr>
        <w:rPr>
          <w:sz w:val="20"/>
          <w:szCs w:val="20"/>
        </w:rPr>
      </w:pPr>
    </w:p>
    <w:sectPr w:rsidR="00645AB2" w:rsidRPr="009D337E" w:rsidSect="00105C7E">
      <w:headerReference w:type="default" r:id="rId8"/>
      <w:footerReference w:type="default" r:id="rId9"/>
      <w:pgSz w:w="16838" w:h="11906" w:orient="landscape" w:code="9"/>
      <w:pgMar w:top="1728" w:right="432" w:bottom="432" w:left="432"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F2C" w:rsidRDefault="00E24F2C" w:rsidP="00DB4E9D">
      <w:pPr>
        <w:pStyle w:val="Bullet1"/>
      </w:pPr>
      <w:r>
        <w:separator/>
      </w:r>
    </w:p>
  </w:endnote>
  <w:endnote w:type="continuationSeparator" w:id="0">
    <w:p w:rsidR="00E24F2C" w:rsidRDefault="00E24F2C" w:rsidP="00DB4E9D">
      <w:pPr>
        <w:pStyle w:val="Bullet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032" w:rsidRPr="00852D16" w:rsidRDefault="00717B18">
    <w:pPr>
      <w:pStyle w:val="Footer"/>
      <w:rPr>
        <w:sz w:val="16"/>
        <w:szCs w:val="16"/>
      </w:rPr>
    </w:pPr>
    <w:r>
      <w:rPr>
        <w:sz w:val="16"/>
        <w:szCs w:val="16"/>
      </w:rPr>
      <w:t>28</w:t>
    </w:r>
    <w:r w:rsidR="00B84032">
      <w:rPr>
        <w:sz w:val="16"/>
        <w:szCs w:val="16"/>
      </w:rPr>
      <w:t xml:space="preserve"> November 2018</w:t>
    </w:r>
  </w:p>
  <w:p w:rsidR="00852D16" w:rsidRDefault="00852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F2C" w:rsidRDefault="00E24F2C" w:rsidP="00DB4E9D">
      <w:pPr>
        <w:pStyle w:val="Bullet1"/>
      </w:pPr>
      <w:r>
        <w:separator/>
      </w:r>
    </w:p>
  </w:footnote>
  <w:footnote w:type="continuationSeparator" w:id="0">
    <w:p w:rsidR="00E24F2C" w:rsidRDefault="00E24F2C" w:rsidP="00DB4E9D">
      <w:pPr>
        <w:pStyle w:val="Bullet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37E" w:rsidRPr="00852D16" w:rsidRDefault="00952DC4" w:rsidP="00852D16">
    <w:pPr>
      <w:rPr>
        <w:sz w:val="16"/>
        <w:szCs w:val="16"/>
      </w:rPr>
    </w:pPr>
    <w:sdt>
      <w:sdtPr>
        <w:rPr>
          <w:sz w:val="16"/>
          <w:szCs w:val="16"/>
        </w:rPr>
        <w:id w:val="565049494"/>
        <w:placeholder>
          <w:docPart w:val="2FBF83C0F904468693BF8CF2B8C3B4B3"/>
        </w:placeholder>
        <w:temporary/>
        <w:showingPlcHdr/>
      </w:sdtPr>
      <w:sdtContent>
        <w:r w:rsidR="009D337E" w:rsidRPr="00852D16">
          <w:rPr>
            <w:sz w:val="16"/>
            <w:szCs w:val="16"/>
          </w:rPr>
          <w:t>School of Engineering</w:t>
        </w:r>
      </w:sdtContent>
    </w:sdt>
    <w:r w:rsidR="009D337E" w:rsidRPr="00852D16">
      <w:rPr>
        <w:sz w:val="16"/>
        <w:szCs w:val="16"/>
      </w:rPr>
      <w:ptab w:relativeTo="margin" w:alignment="center" w:leader="none"/>
    </w:r>
    <w:sdt>
      <w:sdtPr>
        <w:rPr>
          <w:sz w:val="16"/>
          <w:szCs w:val="16"/>
        </w:rPr>
        <w:id w:val="968859947"/>
        <w:placeholder>
          <w:docPart w:val="B80AFDCCE90A4BBEAD8AF07C2C085603"/>
        </w:placeholder>
        <w:temporary/>
        <w:showingPlcHdr/>
      </w:sdtPr>
      <w:sdtContent>
        <w:r w:rsidR="009D337E" w:rsidRPr="00852D16">
          <w:rPr>
            <w:sz w:val="16"/>
            <w:szCs w:val="16"/>
          </w:rPr>
          <w:t>Risk Assessment</w:t>
        </w:r>
      </w:sdtContent>
    </w:sdt>
    <w:r w:rsidR="009D337E" w:rsidRPr="00852D16">
      <w:rPr>
        <w:sz w:val="16"/>
        <w:szCs w:val="16"/>
      </w:rPr>
      <w:ptab w:relativeTo="margin" w:alignment="right" w:leader="none"/>
    </w:r>
    <w:sdt>
      <w:sdtPr>
        <w:rPr>
          <w:sz w:val="16"/>
          <w:szCs w:val="16"/>
        </w:rPr>
        <w:id w:val="968859952"/>
        <w:placeholder>
          <w:docPart w:val="7A22F64E170342C5BC188A76FB71DAF7"/>
        </w:placeholder>
        <w:temporary/>
      </w:sdtPr>
      <w:sdtContent>
        <w:sdt>
          <w:sdtPr>
            <w:rPr>
              <w:sz w:val="16"/>
              <w:szCs w:val="16"/>
            </w:rPr>
            <w:id w:val="250395305"/>
            <w:docPartObj>
              <w:docPartGallery w:val="Page Numbers (Top of Page)"/>
              <w:docPartUnique/>
            </w:docPartObj>
          </w:sdtPr>
          <w:sdtContent>
            <w:r w:rsidR="009D337E" w:rsidRPr="00852D16">
              <w:rPr>
                <w:sz w:val="16"/>
                <w:szCs w:val="16"/>
              </w:rPr>
              <w:t xml:space="preserve">Page </w:t>
            </w:r>
            <w:r w:rsidR="00347CD2" w:rsidRPr="00852D16">
              <w:rPr>
                <w:sz w:val="16"/>
                <w:szCs w:val="16"/>
              </w:rPr>
              <w:fldChar w:fldCharType="begin"/>
            </w:r>
            <w:r w:rsidR="009D337E" w:rsidRPr="00852D16">
              <w:rPr>
                <w:sz w:val="16"/>
                <w:szCs w:val="16"/>
              </w:rPr>
              <w:instrText xml:space="preserve"> PAGE </w:instrText>
            </w:r>
            <w:r w:rsidR="00347CD2" w:rsidRPr="00852D16">
              <w:rPr>
                <w:sz w:val="16"/>
                <w:szCs w:val="16"/>
              </w:rPr>
              <w:fldChar w:fldCharType="separate"/>
            </w:r>
            <w:r w:rsidR="00BA1065">
              <w:rPr>
                <w:noProof/>
                <w:sz w:val="16"/>
                <w:szCs w:val="16"/>
              </w:rPr>
              <w:t>2</w:t>
            </w:r>
            <w:r w:rsidR="00347CD2" w:rsidRPr="00852D16">
              <w:rPr>
                <w:sz w:val="16"/>
                <w:szCs w:val="16"/>
              </w:rPr>
              <w:fldChar w:fldCharType="end"/>
            </w:r>
            <w:r w:rsidR="009D337E" w:rsidRPr="00852D16">
              <w:rPr>
                <w:sz w:val="16"/>
                <w:szCs w:val="16"/>
              </w:rPr>
              <w:t xml:space="preserve"> of </w:t>
            </w:r>
            <w:r w:rsidR="00347CD2" w:rsidRPr="00852D16">
              <w:rPr>
                <w:sz w:val="16"/>
                <w:szCs w:val="16"/>
              </w:rPr>
              <w:fldChar w:fldCharType="begin"/>
            </w:r>
            <w:r w:rsidR="009D337E" w:rsidRPr="00852D16">
              <w:rPr>
                <w:sz w:val="16"/>
                <w:szCs w:val="16"/>
              </w:rPr>
              <w:instrText xml:space="preserve"> NUMPAGES  </w:instrText>
            </w:r>
            <w:r w:rsidR="00347CD2" w:rsidRPr="00852D16">
              <w:rPr>
                <w:sz w:val="16"/>
                <w:szCs w:val="16"/>
              </w:rPr>
              <w:fldChar w:fldCharType="separate"/>
            </w:r>
            <w:r w:rsidR="00BA1065">
              <w:rPr>
                <w:noProof/>
                <w:sz w:val="16"/>
                <w:szCs w:val="16"/>
              </w:rPr>
              <w:t>2</w:t>
            </w:r>
            <w:r w:rsidR="00347CD2" w:rsidRPr="00852D16">
              <w:rPr>
                <w:sz w:val="16"/>
                <w:szCs w:val="16"/>
              </w:rPr>
              <w:fldChar w:fldCharType="end"/>
            </w:r>
          </w:sdtContent>
        </w:sdt>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4A5"/>
    <w:multiLevelType w:val="hybridMultilevel"/>
    <w:tmpl w:val="ECCA9B40"/>
    <w:lvl w:ilvl="0" w:tplc="DD7C743A">
      <w:start w:val="1"/>
      <w:numFmt w:val="lowerLetter"/>
      <w:pStyle w:val="Numbera"/>
      <w:lvlText w:val="%1)"/>
      <w:lvlJc w:val="left"/>
      <w:pPr>
        <w:tabs>
          <w:tab w:val="num" w:pos="1152"/>
        </w:tabs>
        <w:ind w:left="1152" w:hanging="432"/>
      </w:pPr>
      <w:rPr>
        <w:rFonts w:ascii="Arial" w:hAnsi="Arial" w:hint="default"/>
        <w:sz w:val="24"/>
      </w:rPr>
    </w:lvl>
    <w:lvl w:ilvl="1" w:tplc="559489D2" w:tentative="1">
      <w:start w:val="1"/>
      <w:numFmt w:val="lowerLetter"/>
      <w:lvlText w:val="%2."/>
      <w:lvlJc w:val="left"/>
      <w:pPr>
        <w:tabs>
          <w:tab w:val="num" w:pos="1152"/>
        </w:tabs>
        <w:ind w:left="1152" w:hanging="360"/>
      </w:pPr>
    </w:lvl>
    <w:lvl w:ilvl="2" w:tplc="E144676C" w:tentative="1">
      <w:start w:val="1"/>
      <w:numFmt w:val="lowerRoman"/>
      <w:lvlText w:val="%3."/>
      <w:lvlJc w:val="right"/>
      <w:pPr>
        <w:tabs>
          <w:tab w:val="num" w:pos="1872"/>
        </w:tabs>
        <w:ind w:left="1872" w:hanging="180"/>
      </w:pPr>
    </w:lvl>
    <w:lvl w:ilvl="3" w:tplc="2BE8A7E2" w:tentative="1">
      <w:start w:val="1"/>
      <w:numFmt w:val="decimal"/>
      <w:lvlText w:val="%4."/>
      <w:lvlJc w:val="left"/>
      <w:pPr>
        <w:tabs>
          <w:tab w:val="num" w:pos="2592"/>
        </w:tabs>
        <w:ind w:left="2592" w:hanging="360"/>
      </w:pPr>
    </w:lvl>
    <w:lvl w:ilvl="4" w:tplc="03E8242E" w:tentative="1">
      <w:start w:val="1"/>
      <w:numFmt w:val="lowerLetter"/>
      <w:lvlText w:val="%5."/>
      <w:lvlJc w:val="left"/>
      <w:pPr>
        <w:tabs>
          <w:tab w:val="num" w:pos="3312"/>
        </w:tabs>
        <w:ind w:left="3312" w:hanging="360"/>
      </w:pPr>
    </w:lvl>
    <w:lvl w:ilvl="5" w:tplc="58042C86" w:tentative="1">
      <w:start w:val="1"/>
      <w:numFmt w:val="lowerRoman"/>
      <w:lvlText w:val="%6."/>
      <w:lvlJc w:val="right"/>
      <w:pPr>
        <w:tabs>
          <w:tab w:val="num" w:pos="4032"/>
        </w:tabs>
        <w:ind w:left="4032" w:hanging="180"/>
      </w:pPr>
    </w:lvl>
    <w:lvl w:ilvl="6" w:tplc="95F42686" w:tentative="1">
      <w:start w:val="1"/>
      <w:numFmt w:val="decimal"/>
      <w:lvlText w:val="%7."/>
      <w:lvlJc w:val="left"/>
      <w:pPr>
        <w:tabs>
          <w:tab w:val="num" w:pos="4752"/>
        </w:tabs>
        <w:ind w:left="4752" w:hanging="360"/>
      </w:pPr>
    </w:lvl>
    <w:lvl w:ilvl="7" w:tplc="32CAC66C" w:tentative="1">
      <w:start w:val="1"/>
      <w:numFmt w:val="lowerLetter"/>
      <w:lvlText w:val="%8."/>
      <w:lvlJc w:val="left"/>
      <w:pPr>
        <w:tabs>
          <w:tab w:val="num" w:pos="5472"/>
        </w:tabs>
        <w:ind w:left="5472" w:hanging="360"/>
      </w:pPr>
    </w:lvl>
    <w:lvl w:ilvl="8" w:tplc="AC34CEE0" w:tentative="1">
      <w:start w:val="1"/>
      <w:numFmt w:val="lowerRoman"/>
      <w:lvlText w:val="%9."/>
      <w:lvlJc w:val="right"/>
      <w:pPr>
        <w:tabs>
          <w:tab w:val="num" w:pos="6192"/>
        </w:tabs>
        <w:ind w:left="6192" w:hanging="180"/>
      </w:pPr>
    </w:lvl>
  </w:abstractNum>
  <w:abstractNum w:abstractNumId="1" w15:restartNumberingAfterBreak="0">
    <w:nsid w:val="076729E6"/>
    <w:multiLevelType w:val="hybridMultilevel"/>
    <w:tmpl w:val="75E0706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78D0730"/>
    <w:multiLevelType w:val="hybridMultilevel"/>
    <w:tmpl w:val="BE9859FC"/>
    <w:lvl w:ilvl="0" w:tplc="4F96AFF6">
      <w:start w:val="1"/>
      <w:numFmt w:val="bullet"/>
      <w:pStyle w:val="Bullet1"/>
      <w:lvlText w:val=""/>
      <w:lvlJc w:val="left"/>
      <w:pPr>
        <w:tabs>
          <w:tab w:val="num" w:pos="737"/>
        </w:tabs>
        <w:ind w:left="73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AE5F86"/>
    <w:multiLevelType w:val="hybridMultilevel"/>
    <w:tmpl w:val="BE869862"/>
    <w:lvl w:ilvl="0" w:tplc="0CA46EF4">
      <w:start w:val="1"/>
      <w:numFmt w:val="lowerRoman"/>
      <w:pStyle w:val="Numberi"/>
      <w:lvlText w:val="%1)"/>
      <w:lvlJc w:val="right"/>
      <w:pPr>
        <w:tabs>
          <w:tab w:val="num" w:pos="1656"/>
        </w:tabs>
        <w:ind w:left="1656" w:hanging="360"/>
      </w:pPr>
      <w:rPr>
        <w:rFonts w:ascii="Arial" w:hAnsi="Arial" w:hint="default"/>
        <w:b w:val="0"/>
        <w:i w:val="0"/>
        <w:sz w:val="24"/>
      </w:rPr>
    </w:lvl>
    <w:lvl w:ilvl="1" w:tplc="284EAE58" w:tentative="1">
      <w:start w:val="1"/>
      <w:numFmt w:val="lowerLetter"/>
      <w:lvlText w:val="%2."/>
      <w:lvlJc w:val="left"/>
      <w:pPr>
        <w:tabs>
          <w:tab w:val="num" w:pos="1440"/>
        </w:tabs>
        <w:ind w:left="1440" w:hanging="360"/>
      </w:pPr>
    </w:lvl>
    <w:lvl w:ilvl="2" w:tplc="EC5C3B40" w:tentative="1">
      <w:start w:val="1"/>
      <w:numFmt w:val="lowerRoman"/>
      <w:lvlText w:val="%3."/>
      <w:lvlJc w:val="right"/>
      <w:pPr>
        <w:tabs>
          <w:tab w:val="num" w:pos="2160"/>
        </w:tabs>
        <w:ind w:left="2160" w:hanging="180"/>
      </w:pPr>
    </w:lvl>
    <w:lvl w:ilvl="3" w:tplc="7A8A8FBC" w:tentative="1">
      <w:start w:val="1"/>
      <w:numFmt w:val="decimal"/>
      <w:lvlText w:val="%4."/>
      <w:lvlJc w:val="left"/>
      <w:pPr>
        <w:tabs>
          <w:tab w:val="num" w:pos="2880"/>
        </w:tabs>
        <w:ind w:left="2880" w:hanging="360"/>
      </w:pPr>
    </w:lvl>
    <w:lvl w:ilvl="4" w:tplc="C2D88370" w:tentative="1">
      <w:start w:val="1"/>
      <w:numFmt w:val="lowerLetter"/>
      <w:lvlText w:val="%5."/>
      <w:lvlJc w:val="left"/>
      <w:pPr>
        <w:tabs>
          <w:tab w:val="num" w:pos="3600"/>
        </w:tabs>
        <w:ind w:left="3600" w:hanging="360"/>
      </w:pPr>
    </w:lvl>
    <w:lvl w:ilvl="5" w:tplc="E3AE4C10" w:tentative="1">
      <w:start w:val="1"/>
      <w:numFmt w:val="lowerRoman"/>
      <w:lvlText w:val="%6."/>
      <w:lvlJc w:val="right"/>
      <w:pPr>
        <w:tabs>
          <w:tab w:val="num" w:pos="4320"/>
        </w:tabs>
        <w:ind w:left="4320" w:hanging="180"/>
      </w:pPr>
    </w:lvl>
    <w:lvl w:ilvl="6" w:tplc="61C8B400" w:tentative="1">
      <w:start w:val="1"/>
      <w:numFmt w:val="decimal"/>
      <w:lvlText w:val="%7."/>
      <w:lvlJc w:val="left"/>
      <w:pPr>
        <w:tabs>
          <w:tab w:val="num" w:pos="5040"/>
        </w:tabs>
        <w:ind w:left="5040" w:hanging="360"/>
      </w:pPr>
    </w:lvl>
    <w:lvl w:ilvl="7" w:tplc="03E00AF4" w:tentative="1">
      <w:start w:val="1"/>
      <w:numFmt w:val="lowerLetter"/>
      <w:lvlText w:val="%8."/>
      <w:lvlJc w:val="left"/>
      <w:pPr>
        <w:tabs>
          <w:tab w:val="num" w:pos="5760"/>
        </w:tabs>
        <w:ind w:left="5760" w:hanging="360"/>
      </w:pPr>
    </w:lvl>
    <w:lvl w:ilvl="8" w:tplc="71507626" w:tentative="1">
      <w:start w:val="1"/>
      <w:numFmt w:val="lowerRoman"/>
      <w:lvlText w:val="%9."/>
      <w:lvlJc w:val="right"/>
      <w:pPr>
        <w:tabs>
          <w:tab w:val="num" w:pos="6480"/>
        </w:tabs>
        <w:ind w:left="6480" w:hanging="180"/>
      </w:pPr>
    </w:lvl>
  </w:abstractNum>
  <w:abstractNum w:abstractNumId="4" w15:restartNumberingAfterBreak="0">
    <w:nsid w:val="3A131EFE"/>
    <w:multiLevelType w:val="multilevel"/>
    <w:tmpl w:val="603C673E"/>
    <w:lvl w:ilvl="0">
      <w:start w:val="1"/>
      <w:numFmt w:val="decimal"/>
      <w:pStyle w:val="Number"/>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lowerLetter"/>
      <w:lvlRestart w:val="0"/>
      <w:lvlText w:val="%5)"/>
      <w:lvlJc w:val="left"/>
      <w:pPr>
        <w:tabs>
          <w:tab w:val="num" w:pos="1440"/>
        </w:tabs>
        <w:ind w:left="1440" w:hanging="720"/>
      </w:pPr>
      <w:rPr>
        <w:rFonts w:hint="default"/>
      </w:rPr>
    </w:lvl>
    <w:lvl w:ilvl="5">
      <w:start w:val="1"/>
      <w:numFmt w:val="lowerRoman"/>
      <w:lvlText w:val="%6)"/>
      <w:lvlJc w:val="left"/>
      <w:pPr>
        <w:tabs>
          <w:tab w:val="num" w:pos="2041"/>
        </w:tabs>
        <w:ind w:left="2041" w:hanging="601"/>
      </w:pPr>
      <w:rPr>
        <w:rFonts w:hint="default"/>
      </w:rPr>
    </w:lvl>
    <w:lvl w:ilvl="6">
      <w:start w:val="1"/>
      <w:numFmt w:val="bullet"/>
      <w:lvlText w:val=""/>
      <w:lvlJc w:val="left"/>
      <w:pPr>
        <w:tabs>
          <w:tab w:val="num" w:pos="720"/>
        </w:tabs>
        <w:ind w:left="720" w:hanging="720"/>
      </w:pPr>
      <w:rPr>
        <w:rFonts w:ascii="Symbol" w:hAnsi="Symbol" w:hint="default"/>
        <w:sz w:val="24"/>
      </w:rPr>
    </w:lvl>
    <w:lvl w:ilvl="7">
      <w:start w:val="1"/>
      <w:numFmt w:val="bullet"/>
      <w:lvlText w:val=""/>
      <w:lvlJc w:val="left"/>
      <w:pPr>
        <w:tabs>
          <w:tab w:val="num" w:pos="1440"/>
        </w:tabs>
        <w:ind w:left="1440" w:hanging="720"/>
      </w:pPr>
      <w:rPr>
        <w:rFonts w:ascii="Symbol" w:hAnsi="Symbol" w:hint="default"/>
        <w:sz w:val="28"/>
      </w:rPr>
    </w:lvl>
    <w:lvl w:ilvl="8">
      <w:start w:val="1"/>
      <w:numFmt w:val="bullet"/>
      <w:lvlText w:val=""/>
      <w:lvlJc w:val="left"/>
      <w:pPr>
        <w:tabs>
          <w:tab w:val="num" w:pos="2041"/>
        </w:tabs>
        <w:ind w:left="2041" w:hanging="601"/>
      </w:pPr>
      <w:rPr>
        <w:rFonts w:ascii="Symbol" w:hAnsi="Symbol" w:hint="default"/>
        <w:sz w:val="28"/>
      </w:rPr>
    </w:lvl>
  </w:abstractNum>
  <w:abstractNum w:abstractNumId="5" w15:restartNumberingAfterBreak="0">
    <w:nsid w:val="4F1C1DF0"/>
    <w:multiLevelType w:val="hybridMultilevel"/>
    <w:tmpl w:val="F3A253E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5662619"/>
    <w:multiLevelType w:val="hybridMultilevel"/>
    <w:tmpl w:val="43F8FBF0"/>
    <w:lvl w:ilvl="0" w:tplc="D44C0BEE">
      <w:start w:val="1"/>
      <w:numFmt w:val="bullet"/>
      <w:pStyle w:val="Bullet2"/>
      <w:lvlText w:val=""/>
      <w:lvlJc w:val="left"/>
      <w:pPr>
        <w:tabs>
          <w:tab w:val="num" w:pos="1191"/>
        </w:tabs>
        <w:ind w:left="1191"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rawingGridVerticalSpacing w:val="187"/>
  <w:characterSpacingControl w:val="doNotCompress"/>
  <w:hdrShapeDefaults>
    <o:shapedefaults v:ext="edit" spidmax="2049">
      <o:colormru v:ext="edit" colors="#0068a6,#008c4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7E"/>
    <w:rsid w:val="00007292"/>
    <w:rsid w:val="000460E6"/>
    <w:rsid w:val="000571A0"/>
    <w:rsid w:val="000715BD"/>
    <w:rsid w:val="000B4E40"/>
    <w:rsid w:val="000C2C71"/>
    <w:rsid w:val="000D0129"/>
    <w:rsid w:val="000D7A74"/>
    <w:rsid w:val="00105C7E"/>
    <w:rsid w:val="00131ECC"/>
    <w:rsid w:val="00157D49"/>
    <w:rsid w:val="001D4970"/>
    <w:rsid w:val="00200CB7"/>
    <w:rsid w:val="0021074A"/>
    <w:rsid w:val="00216018"/>
    <w:rsid w:val="00221487"/>
    <w:rsid w:val="0023129A"/>
    <w:rsid w:val="0024049A"/>
    <w:rsid w:val="002B62F6"/>
    <w:rsid w:val="00347CD2"/>
    <w:rsid w:val="003547D1"/>
    <w:rsid w:val="00357E04"/>
    <w:rsid w:val="003606F1"/>
    <w:rsid w:val="003A7458"/>
    <w:rsid w:val="003D005E"/>
    <w:rsid w:val="003E7F3B"/>
    <w:rsid w:val="00401727"/>
    <w:rsid w:val="00407C1D"/>
    <w:rsid w:val="00423741"/>
    <w:rsid w:val="00426399"/>
    <w:rsid w:val="00494607"/>
    <w:rsid w:val="004B51B9"/>
    <w:rsid w:val="004F24BC"/>
    <w:rsid w:val="005322E6"/>
    <w:rsid w:val="00535A11"/>
    <w:rsid w:val="00535B02"/>
    <w:rsid w:val="00562F2F"/>
    <w:rsid w:val="005A1570"/>
    <w:rsid w:val="005A5A87"/>
    <w:rsid w:val="005E531C"/>
    <w:rsid w:val="006168B5"/>
    <w:rsid w:val="00624C12"/>
    <w:rsid w:val="00645AB2"/>
    <w:rsid w:val="00651B43"/>
    <w:rsid w:val="00681F16"/>
    <w:rsid w:val="006F1199"/>
    <w:rsid w:val="006F5A0F"/>
    <w:rsid w:val="00717B18"/>
    <w:rsid w:val="007B0420"/>
    <w:rsid w:val="007F7246"/>
    <w:rsid w:val="00814414"/>
    <w:rsid w:val="008179BF"/>
    <w:rsid w:val="008454EC"/>
    <w:rsid w:val="00852D16"/>
    <w:rsid w:val="00863FFD"/>
    <w:rsid w:val="00877019"/>
    <w:rsid w:val="008A7BDD"/>
    <w:rsid w:val="008B2AA3"/>
    <w:rsid w:val="008B2DB3"/>
    <w:rsid w:val="008C515B"/>
    <w:rsid w:val="009059CB"/>
    <w:rsid w:val="0091008F"/>
    <w:rsid w:val="009166BA"/>
    <w:rsid w:val="00952DC4"/>
    <w:rsid w:val="009D337E"/>
    <w:rsid w:val="009E6174"/>
    <w:rsid w:val="00A01AA4"/>
    <w:rsid w:val="00A525AF"/>
    <w:rsid w:val="00A64B7C"/>
    <w:rsid w:val="00AA642C"/>
    <w:rsid w:val="00AE4EA1"/>
    <w:rsid w:val="00B62EC4"/>
    <w:rsid w:val="00B71D75"/>
    <w:rsid w:val="00B77427"/>
    <w:rsid w:val="00B84032"/>
    <w:rsid w:val="00B97978"/>
    <w:rsid w:val="00BA1065"/>
    <w:rsid w:val="00BC42EA"/>
    <w:rsid w:val="00BD314A"/>
    <w:rsid w:val="00BE039C"/>
    <w:rsid w:val="00C13554"/>
    <w:rsid w:val="00CE5958"/>
    <w:rsid w:val="00D247D4"/>
    <w:rsid w:val="00D3061A"/>
    <w:rsid w:val="00D47837"/>
    <w:rsid w:val="00D7096E"/>
    <w:rsid w:val="00D769D8"/>
    <w:rsid w:val="00D96B8F"/>
    <w:rsid w:val="00DA7F30"/>
    <w:rsid w:val="00DB2C1F"/>
    <w:rsid w:val="00DB368F"/>
    <w:rsid w:val="00DB4E9D"/>
    <w:rsid w:val="00DC6611"/>
    <w:rsid w:val="00DE4417"/>
    <w:rsid w:val="00DF3697"/>
    <w:rsid w:val="00DF5451"/>
    <w:rsid w:val="00E00852"/>
    <w:rsid w:val="00E07134"/>
    <w:rsid w:val="00E12A39"/>
    <w:rsid w:val="00E2086D"/>
    <w:rsid w:val="00E20D16"/>
    <w:rsid w:val="00E24858"/>
    <w:rsid w:val="00E24F2C"/>
    <w:rsid w:val="00E56E4D"/>
    <w:rsid w:val="00E62805"/>
    <w:rsid w:val="00E87C8C"/>
    <w:rsid w:val="00EC288B"/>
    <w:rsid w:val="00EE6ADD"/>
    <w:rsid w:val="00EF20C0"/>
    <w:rsid w:val="00F40133"/>
    <w:rsid w:val="00F64DCC"/>
    <w:rsid w:val="00F97F22"/>
    <w:rsid w:val="00FB2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68a6,#008c44"/>
    </o:shapedefaults>
    <o:shapelayout v:ext="edit">
      <o:idmap v:ext="edit" data="1"/>
    </o:shapelayout>
  </w:shapeDefaults>
  <w:decimalSymbol w:val="."/>
  <w:listSeparator w:val=","/>
  <w14:docId w14:val="6E8B87D4"/>
  <w15:docId w15:val="{01A93C16-F3E1-4556-B218-FE9BA240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5C7E"/>
    <w:rPr>
      <w:rFonts w:ascii="Arial" w:hAnsi="Arial"/>
      <w:sz w:val="18"/>
      <w:szCs w:val="24"/>
      <w:lang w:eastAsia="en-US"/>
    </w:rPr>
  </w:style>
  <w:style w:type="paragraph" w:styleId="Heading1">
    <w:name w:val="heading 1"/>
    <w:aliases w:val="Centre"/>
    <w:basedOn w:val="Normal"/>
    <w:next w:val="Normal"/>
    <w:qFormat/>
    <w:rsid w:val="00200CB7"/>
    <w:pPr>
      <w:keepNext/>
      <w:jc w:val="center"/>
      <w:outlineLvl w:val="0"/>
    </w:pPr>
    <w:rPr>
      <w:rFonts w:cs="Arial"/>
      <w:b/>
      <w:bCs/>
      <w:caps/>
      <w:kern w:val="32"/>
      <w:sz w:val="28"/>
      <w:szCs w:val="32"/>
    </w:rPr>
  </w:style>
  <w:style w:type="paragraph" w:styleId="Heading2">
    <w:name w:val="heading 2"/>
    <w:aliases w:val="Left"/>
    <w:basedOn w:val="Normal"/>
    <w:next w:val="Normal"/>
    <w:qFormat/>
    <w:rsid w:val="00200CB7"/>
    <w:pPr>
      <w:keepNext/>
      <w:outlineLvl w:val="1"/>
    </w:pPr>
    <w:rPr>
      <w:rFonts w:cs="Arial"/>
      <w:b/>
      <w:bCs/>
      <w:iCs/>
      <w:caps/>
      <w:szCs w:val="28"/>
    </w:rPr>
  </w:style>
  <w:style w:type="paragraph" w:styleId="Heading3">
    <w:name w:val="heading 3"/>
    <w:aliases w:val="Sub"/>
    <w:basedOn w:val="Normal"/>
    <w:next w:val="Normal"/>
    <w:qFormat/>
    <w:rsid w:val="00200CB7"/>
    <w:pPr>
      <w:keepNext/>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200CB7"/>
    <w:pPr>
      <w:numPr>
        <w:numId w:val="1"/>
      </w:numPr>
    </w:pPr>
  </w:style>
  <w:style w:type="paragraph" w:customStyle="1" w:styleId="Bullet2">
    <w:name w:val="Bullet 2"/>
    <w:basedOn w:val="Bullet1"/>
    <w:rsid w:val="00200CB7"/>
    <w:pPr>
      <w:numPr>
        <w:numId w:val="2"/>
      </w:numPr>
    </w:pPr>
  </w:style>
  <w:style w:type="paragraph" w:customStyle="1" w:styleId="Number">
    <w:name w:val="Number"/>
    <w:basedOn w:val="Normal"/>
    <w:rsid w:val="00200CB7"/>
    <w:pPr>
      <w:numPr>
        <w:numId w:val="3"/>
      </w:numPr>
    </w:pPr>
  </w:style>
  <w:style w:type="paragraph" w:customStyle="1" w:styleId="Numbera">
    <w:name w:val="Number a)"/>
    <w:basedOn w:val="Normal"/>
    <w:rsid w:val="00200CB7"/>
    <w:pPr>
      <w:numPr>
        <w:numId w:val="4"/>
      </w:numPr>
    </w:pPr>
  </w:style>
  <w:style w:type="paragraph" w:customStyle="1" w:styleId="Numberi">
    <w:name w:val="Number i)"/>
    <w:basedOn w:val="Normal"/>
    <w:rsid w:val="00200CB7"/>
    <w:pPr>
      <w:numPr>
        <w:numId w:val="5"/>
      </w:numPr>
    </w:pPr>
  </w:style>
  <w:style w:type="table" w:styleId="TableGrid">
    <w:name w:val="Table Grid"/>
    <w:basedOn w:val="TableNormal"/>
    <w:rsid w:val="00131EC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style>
  <w:style w:type="paragraph" w:styleId="Header">
    <w:name w:val="header"/>
    <w:basedOn w:val="Normal"/>
    <w:rsid w:val="00105C7E"/>
    <w:pPr>
      <w:tabs>
        <w:tab w:val="center" w:pos="4153"/>
        <w:tab w:val="right" w:pos="8306"/>
      </w:tabs>
    </w:pPr>
  </w:style>
  <w:style w:type="paragraph" w:styleId="Footer">
    <w:name w:val="footer"/>
    <w:basedOn w:val="Normal"/>
    <w:link w:val="FooterChar"/>
    <w:uiPriority w:val="99"/>
    <w:rsid w:val="00105C7E"/>
    <w:pPr>
      <w:tabs>
        <w:tab w:val="center" w:pos="4153"/>
        <w:tab w:val="right" w:pos="8306"/>
      </w:tabs>
    </w:pPr>
  </w:style>
  <w:style w:type="character" w:styleId="Hyperlink">
    <w:name w:val="Hyperlink"/>
    <w:basedOn w:val="DefaultParagraphFont"/>
    <w:rsid w:val="00DB4E9D"/>
    <w:rPr>
      <w:color w:val="0000FF"/>
      <w:u w:val="single"/>
    </w:rPr>
  </w:style>
  <w:style w:type="character" w:styleId="FollowedHyperlink">
    <w:name w:val="FollowedHyperlink"/>
    <w:basedOn w:val="DefaultParagraphFont"/>
    <w:rsid w:val="00E00852"/>
    <w:rPr>
      <w:color w:val="800080"/>
      <w:u w:val="single"/>
    </w:rPr>
  </w:style>
  <w:style w:type="character" w:customStyle="1" w:styleId="FooterChar">
    <w:name w:val="Footer Char"/>
    <w:basedOn w:val="DefaultParagraphFont"/>
    <w:link w:val="Footer"/>
    <w:uiPriority w:val="99"/>
    <w:rsid w:val="00E20D16"/>
    <w:rPr>
      <w:rFonts w:ascii="Arial" w:hAnsi="Arial"/>
      <w:sz w:val="18"/>
      <w:szCs w:val="24"/>
      <w:lang w:eastAsia="en-US"/>
    </w:rPr>
  </w:style>
  <w:style w:type="paragraph" w:styleId="ListParagraph">
    <w:name w:val="List Paragraph"/>
    <w:basedOn w:val="Normal"/>
    <w:uiPriority w:val="34"/>
    <w:qFormat/>
    <w:rsid w:val="00535A11"/>
    <w:pPr>
      <w:ind w:left="720"/>
      <w:contextualSpacing/>
    </w:pPr>
    <w:rPr>
      <w:rFonts w:ascii="Times New Roman" w:hAnsi="Times New Roman"/>
      <w:sz w:val="20"/>
      <w:szCs w:val="20"/>
      <w:lang w:eastAsia="en-GB"/>
    </w:rPr>
  </w:style>
  <w:style w:type="paragraph" w:styleId="BalloonText">
    <w:name w:val="Balloon Text"/>
    <w:basedOn w:val="Normal"/>
    <w:link w:val="BalloonTextChar"/>
    <w:rsid w:val="009D337E"/>
    <w:rPr>
      <w:rFonts w:ascii="Tahoma" w:hAnsi="Tahoma" w:cs="Tahoma"/>
      <w:sz w:val="16"/>
      <w:szCs w:val="16"/>
    </w:rPr>
  </w:style>
  <w:style w:type="character" w:customStyle="1" w:styleId="BalloonTextChar">
    <w:name w:val="Balloon Text Char"/>
    <w:basedOn w:val="DefaultParagraphFont"/>
    <w:link w:val="BalloonText"/>
    <w:rsid w:val="009D337E"/>
    <w:rPr>
      <w:rFonts w:ascii="Tahoma" w:hAnsi="Tahoma" w:cs="Tahoma"/>
      <w:sz w:val="16"/>
      <w:szCs w:val="16"/>
      <w:lang w:eastAsia="en-US"/>
    </w:rPr>
  </w:style>
  <w:style w:type="character" w:styleId="PlaceholderText">
    <w:name w:val="Placeholder Text"/>
    <w:basedOn w:val="DefaultParagraphFont"/>
    <w:uiPriority w:val="99"/>
    <w:semiHidden/>
    <w:rsid w:val="00535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96783">
      <w:bodyDiv w:val="1"/>
      <w:marLeft w:val="0"/>
      <w:marRight w:val="0"/>
      <w:marTop w:val="0"/>
      <w:marBottom w:val="0"/>
      <w:divBdr>
        <w:top w:val="none" w:sz="0" w:space="0" w:color="auto"/>
        <w:left w:val="none" w:sz="0" w:space="0" w:color="auto"/>
        <w:bottom w:val="none" w:sz="0" w:space="0" w:color="auto"/>
        <w:right w:val="none" w:sz="0" w:space="0" w:color="auto"/>
      </w:divBdr>
    </w:div>
    <w:div w:id="401759909">
      <w:bodyDiv w:val="1"/>
      <w:marLeft w:val="0"/>
      <w:marRight w:val="0"/>
      <w:marTop w:val="0"/>
      <w:marBottom w:val="0"/>
      <w:divBdr>
        <w:top w:val="none" w:sz="0" w:space="0" w:color="auto"/>
        <w:left w:val="none" w:sz="0" w:space="0" w:color="auto"/>
        <w:bottom w:val="none" w:sz="0" w:space="0" w:color="auto"/>
        <w:right w:val="none" w:sz="0" w:space="0" w:color="auto"/>
      </w:divBdr>
    </w:div>
    <w:div w:id="6449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se.gov.uk/risk/casestud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BF83C0F904468693BF8CF2B8C3B4B3"/>
        <w:category>
          <w:name w:val="General"/>
          <w:gallery w:val="placeholder"/>
        </w:category>
        <w:types>
          <w:type w:val="bbPlcHdr"/>
        </w:types>
        <w:behaviors>
          <w:behavior w:val="content"/>
        </w:behaviors>
        <w:guid w:val="{DEA2A546-2EF4-4E10-8DF1-3A77852B9FD4}"/>
      </w:docPartPr>
      <w:docPartBody>
        <w:p w:rsidR="00D601AB" w:rsidRDefault="00D601AB" w:rsidP="00D601AB">
          <w:pPr>
            <w:pStyle w:val="2FBF83C0F904468693BF8CF2B8C3B4B31"/>
          </w:pPr>
          <w:r w:rsidRPr="009D337E">
            <w:rPr>
              <w:sz w:val="20"/>
              <w:szCs w:val="20"/>
            </w:rPr>
            <w:t>School of Engineering</w:t>
          </w:r>
        </w:p>
      </w:docPartBody>
    </w:docPart>
    <w:docPart>
      <w:docPartPr>
        <w:name w:val="B80AFDCCE90A4BBEAD8AF07C2C085603"/>
        <w:category>
          <w:name w:val="General"/>
          <w:gallery w:val="placeholder"/>
        </w:category>
        <w:types>
          <w:type w:val="bbPlcHdr"/>
        </w:types>
        <w:behaviors>
          <w:behavior w:val="content"/>
        </w:behaviors>
        <w:guid w:val="{AAD481E7-A210-42E0-B582-C16CEE4060B7}"/>
      </w:docPartPr>
      <w:docPartBody>
        <w:p w:rsidR="00D601AB" w:rsidRDefault="00D601AB" w:rsidP="00D601AB">
          <w:pPr>
            <w:pStyle w:val="B80AFDCCE90A4BBEAD8AF07C2C0856031"/>
          </w:pPr>
          <w:r w:rsidRPr="009D337E">
            <w:rPr>
              <w:sz w:val="20"/>
              <w:szCs w:val="20"/>
            </w:rPr>
            <w:t>Risk Assessment</w:t>
          </w:r>
        </w:p>
      </w:docPartBody>
    </w:docPart>
    <w:docPart>
      <w:docPartPr>
        <w:name w:val="7A22F64E170342C5BC188A76FB71DAF7"/>
        <w:category>
          <w:name w:val="General"/>
          <w:gallery w:val="placeholder"/>
        </w:category>
        <w:types>
          <w:type w:val="bbPlcHdr"/>
        </w:types>
        <w:behaviors>
          <w:behavior w:val="content"/>
        </w:behaviors>
        <w:guid w:val="{C2BBFBB7-670E-4605-BDA7-E7AF4748B7DB}"/>
      </w:docPartPr>
      <w:docPartBody>
        <w:p w:rsidR="00D601AB" w:rsidRDefault="00504C96" w:rsidP="00504C96">
          <w:pPr>
            <w:pStyle w:val="7A22F64E170342C5BC188A76FB71DAF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C96"/>
    <w:rsid w:val="003F487F"/>
    <w:rsid w:val="004F7C86"/>
    <w:rsid w:val="00504C96"/>
    <w:rsid w:val="00D60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F83C0F904468693BF8CF2B8C3B4B3">
    <w:name w:val="2FBF83C0F904468693BF8CF2B8C3B4B3"/>
    <w:rsid w:val="00504C96"/>
  </w:style>
  <w:style w:type="paragraph" w:customStyle="1" w:styleId="B80AFDCCE90A4BBEAD8AF07C2C085603">
    <w:name w:val="B80AFDCCE90A4BBEAD8AF07C2C085603"/>
    <w:rsid w:val="00504C96"/>
  </w:style>
  <w:style w:type="paragraph" w:customStyle="1" w:styleId="7A22F64E170342C5BC188A76FB71DAF7">
    <w:name w:val="7A22F64E170342C5BC188A76FB71DAF7"/>
    <w:rsid w:val="00504C96"/>
  </w:style>
  <w:style w:type="character" w:styleId="PlaceholderText">
    <w:name w:val="Placeholder Text"/>
    <w:basedOn w:val="DefaultParagraphFont"/>
    <w:uiPriority w:val="99"/>
    <w:semiHidden/>
    <w:rsid w:val="00D601AB"/>
    <w:rPr>
      <w:color w:val="808080"/>
    </w:rPr>
  </w:style>
  <w:style w:type="paragraph" w:customStyle="1" w:styleId="2FBF83C0F904468693BF8CF2B8C3B4B31">
    <w:name w:val="2FBF83C0F904468693BF8CF2B8C3B4B31"/>
    <w:rsid w:val="00D601AB"/>
    <w:pPr>
      <w:spacing w:after="0" w:line="240" w:lineRule="auto"/>
    </w:pPr>
    <w:rPr>
      <w:rFonts w:ascii="Arial" w:eastAsia="Times New Roman" w:hAnsi="Arial" w:cs="Times New Roman"/>
      <w:sz w:val="18"/>
      <w:szCs w:val="24"/>
      <w:lang w:eastAsia="en-US"/>
    </w:rPr>
  </w:style>
  <w:style w:type="paragraph" w:customStyle="1" w:styleId="B80AFDCCE90A4BBEAD8AF07C2C0856031">
    <w:name w:val="B80AFDCCE90A4BBEAD8AF07C2C0856031"/>
    <w:rsid w:val="00D601AB"/>
    <w:pPr>
      <w:spacing w:after="0" w:line="240" w:lineRule="auto"/>
    </w:pPr>
    <w:rPr>
      <w:rFonts w:ascii="Arial" w:eastAsia="Times New Roman" w:hAnsi="Arial" w:cs="Times New Roman"/>
      <w:sz w:val="18"/>
      <w:szCs w:val="24"/>
      <w:lang w:eastAsia="en-US"/>
    </w:rPr>
  </w:style>
  <w:style w:type="paragraph" w:customStyle="1" w:styleId="B495E2F3C2B74ADD8AE307C4B1F35822">
    <w:name w:val="B495E2F3C2B74ADD8AE307C4B1F35822"/>
    <w:rsid w:val="004F7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This is the statement  of general policy and arrangements for:</vt:lpstr>
    </vt:vector>
  </TitlesOfParts>
  <Company>Health and Safety Executive</Company>
  <LinksUpToDate>false</LinksUpToDate>
  <CharactersWithSpaces>4070</CharactersWithSpaces>
  <SharedDoc>false</SharedDoc>
  <HLinks>
    <vt:vector size="6" baseType="variant">
      <vt:variant>
        <vt:i4>1179742</vt:i4>
      </vt:variant>
      <vt:variant>
        <vt:i4>0</vt:i4>
      </vt:variant>
      <vt:variant>
        <vt:i4>0</vt:i4>
      </vt:variant>
      <vt:variant>
        <vt:i4>5</vt:i4>
      </vt:variant>
      <vt:variant>
        <vt:lpwstr>http://www.hse.gov.uk/riddor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statement  of general policy and arrangements for:</dc:title>
  <dc:subject/>
  <dc:creator>ppaul</dc:creator>
  <cp:keywords/>
  <cp:lastModifiedBy>Mohiuddin, Asad</cp:lastModifiedBy>
  <cp:revision>3</cp:revision>
  <cp:lastPrinted>2018-12-25T21:21:00Z</cp:lastPrinted>
  <dcterms:created xsi:type="dcterms:W3CDTF">2018-12-25T19:05:00Z</dcterms:created>
  <dcterms:modified xsi:type="dcterms:W3CDTF">2018-12-25T21:39:00Z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