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054" w14:textId="77777777" w:rsidR="004C26F5" w:rsidRPr="00291A69" w:rsidRDefault="004C26F5" w:rsidP="004C26F5">
      <w:pPr>
        <w:rPr>
          <w:b/>
          <w:bCs/>
          <w:sz w:val="28"/>
          <w:szCs w:val="28"/>
        </w:rPr>
      </w:pPr>
      <w:r w:rsidRPr="00291A69">
        <w:rPr>
          <w:b/>
          <w:bCs/>
          <w:sz w:val="28"/>
          <w:szCs w:val="28"/>
        </w:rPr>
        <w:t>Тема 8. Организация телекоммуникационных систем. Телекоммуникационные</w:t>
      </w:r>
    </w:p>
    <w:p w14:paraId="29DA08E6" w14:textId="034AF17B" w:rsidR="004C26F5" w:rsidRPr="00291A69" w:rsidRDefault="004C26F5" w:rsidP="004C26F5">
      <w:pPr>
        <w:rPr>
          <w:b/>
          <w:bCs/>
          <w:sz w:val="28"/>
          <w:szCs w:val="28"/>
        </w:rPr>
      </w:pPr>
      <w:r w:rsidRPr="00291A69">
        <w:rPr>
          <w:b/>
          <w:bCs/>
          <w:sz w:val="28"/>
          <w:szCs w:val="28"/>
        </w:rPr>
        <w:t>протоколы. Методы уплотнения при передаче цифровых сигналов (SDH,</w:t>
      </w:r>
    </w:p>
    <w:p w14:paraId="2099C0D9" w14:textId="21E3F976" w:rsidR="000432B7" w:rsidRPr="00291A69" w:rsidRDefault="004C26F5" w:rsidP="004C26F5">
      <w:pPr>
        <w:rPr>
          <w:b/>
          <w:bCs/>
          <w:sz w:val="28"/>
          <w:szCs w:val="28"/>
        </w:rPr>
      </w:pPr>
      <w:r w:rsidRPr="00291A69">
        <w:rPr>
          <w:b/>
          <w:bCs/>
          <w:sz w:val="28"/>
          <w:szCs w:val="28"/>
        </w:rPr>
        <w:t>DWDM). Мультиплексоры</w:t>
      </w:r>
      <w:r w:rsidR="00B2075F" w:rsidRPr="00291A69">
        <w:rPr>
          <w:b/>
          <w:bCs/>
          <w:sz w:val="28"/>
          <w:szCs w:val="28"/>
        </w:rPr>
        <w:t>.</w:t>
      </w:r>
    </w:p>
    <w:p w14:paraId="41E5EC9F" w14:textId="77777777" w:rsidR="00B2075F" w:rsidRDefault="00B2075F" w:rsidP="004C26F5"/>
    <w:p w14:paraId="3654482E" w14:textId="77777777" w:rsidR="00B2075F" w:rsidRDefault="00B2075F" w:rsidP="00B2075F">
      <w:pPr>
        <w:pStyle w:val="4"/>
        <w:shd w:val="clear" w:color="auto" w:fill="FFFFFF"/>
        <w:spacing w:before="0"/>
        <w:rPr>
          <w:rFonts w:ascii="Fira Sans" w:hAnsi="Fira Sans"/>
          <w:color w:val="333333"/>
        </w:rPr>
      </w:pPr>
      <w:r>
        <w:rPr>
          <w:rFonts w:ascii="Fira Sans" w:hAnsi="Fira Sans"/>
          <w:b/>
          <w:bCs/>
          <w:color w:val="333333"/>
        </w:rPr>
        <w:t>SDH/PDH</w:t>
      </w:r>
    </w:p>
    <w:p w14:paraId="724D71AB" w14:textId="77777777" w:rsidR="00291A69" w:rsidRDefault="00B2075F" w:rsidP="00B2075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История развития сетей PDH </w:t>
      </w:r>
      <w:proofErr w:type="gram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(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Plesiochronous</w:t>
      </w:r>
      <w:proofErr w:type="spellEnd"/>
      <w:proofErr w:type="gram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Digital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Hierarchy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) началось с того, что к середине 70-х стало понятно, что дальнейшее частотное уплотнение невозможно в одном физическом канале связи, оно ограничивается ПП кабеля, увеличением затухания, сложностью фильтров и усилителей, поэтому и начался переход к ЦСС.</w:t>
      </w:r>
    </w:p>
    <w:p w14:paraId="18E8A561" w14:textId="77777777" w:rsidR="00291A69" w:rsidRDefault="00B2075F" w:rsidP="00B2075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В начале 80-х годов было разработано 3 таких системы (в Европе, Северной Америке и Японии). Несмотря на одинаковые принципы, в системах использовались различные коэффициенты мультиплексирования на разных уровнях иерархий. Описание стыков этих интерфейсов и уровней мультиплексирования дано в рекомендации G.703.</w:t>
      </w:r>
    </w:p>
    <w:p w14:paraId="554E900F" w14:textId="77777777" w:rsidR="00F741BA" w:rsidRDefault="00B2075F" w:rsidP="00B2075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Суть технологии довольно проста – поток Е1 состоит из 32 ОЦК, каждый из которых имеет скорость 64 кбит/с, 2 из них – служебные, в которых передаются сигнализация, синхронизация. Объединение происходит за счет мультиплексора PDH (типичный мультиплексор НАТЕКС,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Raisecom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и прочие). Не вдаваясь в подробности, выглядит это так — приходящие биты в потоках сжимаются в число раз, кратное уровню потока на выходе и вставляются на определенные позиции, затем добавляется служебная информация более высокого потока.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При мультиплексировании нескольких пользовательских потоков в мультиплексорах PDH применяется техника, называемая </w:t>
      </w:r>
      <w:proofErr w:type="gram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бит-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стаффингом</w:t>
      </w:r>
      <w:proofErr w:type="spellEnd"/>
      <w:proofErr w:type="gram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К этой технике прибегают, когда скорость пользовательского потока оказывается несколько меньше, чем скорость объединенного потока — подобные проблемы могут возникать в сети, состоящей из большого количества мультиплексоров, несмотря на все усилия по централизованной синхронизации узлов сети (в природе нет ничего идеального, в том числе идеально синхронных узлов сети). В результате мультиплексор PDH периодически сталкивается с ситуацией, когда ему «не хватает» бита для представления в объединенном потоке того или иного пользовательского потока. В этом случае мультиплексор просто вставляет в объединенный поток бит-вставку и отмечает этот факт в служебных битах объединенного кадра. При демультиплексировании объединенного потока бит-вставка удаляется из пользовательского потока, который возвращается в исходное состояние. Техника </w:t>
      </w:r>
      <w:proofErr w:type="gram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бит-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стаффинга</w:t>
      </w:r>
      <w:proofErr w:type="spellEnd"/>
      <w:proofErr w:type="gram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применяется как в международной, так и в американской версиях PDH.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Физический уровень технологии PDH поддерживает различные виды кабелей: витую пару, коаксиальный кабель, волоконно-оптический кабель. Основным </w:t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вариантом абонентского доступа к каналам Т-1/Е-1 является кабель из двух витых пар с разъемами RJ-48.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3103F1" wp14:editId="583D442E">
            <wp:extent cx="38100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Две пары требуются для организации дуплексного режима передачи данных со скоростью 1,544/2,048 Мбит/с. Для представления сигналов используются: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в каналах Т-1 — биполярный потенциальный код B8ZS;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в каналах Е-1 — биполярный потенциальный код HDB3.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70E9F9" wp14:editId="62188B10">
            <wp:extent cx="5940425" cy="1075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Такая технология имеет ряд существенных недостатков: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Одним из основных недостатков является сложность операций мультиплексирования и демультиплексирования пользовательских данных.</w:t>
      </w:r>
      <w:r w:rsidR="00291A69"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Сам термин «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плезиохронный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», используемый для этой технологии, говорит о причине такого явления — отсутствии полной синхронности потоков данных при объединении низкоскоростных каналов в более высокоскоростные. Изначально асинхронный подход к передаче кадров породил вставку бита или нескольких бит синхронизации между кадрами. В результате для извлечения пользовательских данных из объединенного канала необходимо полностью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демультиплексировать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кадры этого объединенного канала. Например, если требуется получить данные одного абонентского канала 64 Кбит/с из кадров канала ТЗ, необходимо произвести демультиплексирование этих кадров до уровня кадров Т2, затем — до уровня кадров Т1, а затем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демультиплексировать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и сами кадры Т1.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Другим существенным недостатком технологии PDH является отсутствие развитых </w:t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встроенных процедур контроля и управления сетью. Служебные биты дают мало информации о состоянии канала, не позволяют его конфигурировать и т. п.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Третий недостаток состоит в слишком низких по современным понятиям скоростях иерархии PDH. Волоконно-оптические кабели позволяют передавать данные со скоростями в несколько гигабит в секунду по одному волокну, что обеспечивает консолидацию в одном кабеле десятков тысяч пользовательских каналов, но это свойство технология PDH не реализует — ее иерархия скоростей заканчивается уровнем 139 Мбит/с.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Поэтому следующим этапом развития стали сети SDH – полностью синхронные сети.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Система SDH (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Synchronous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Digital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Hierarchy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) обеспечивает стандартные уровни информационных структур, то есть набор стандартных скоростей. Базовый уровень скорости — STM-1 155,52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Mбит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/с. Цифровые скорости более высоких уровней определяются умножением скорости потока STM-1, соответственно, на 4, 16, 64 и т. д.: 622 Мбит/с (STM-4), 2,5 Гбит/с (STM-16), 10 Гбит/с (STM-64) и 40 Гбит/с (STM-256).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Вся информация в системе SDH передается в контейнерах. Контейнер представляет собой структурированные данные, передаваемые в системе. Если система PDH генерирует трафик, который нужно передать по системе SDH, то данные PDH сначала структурируются в контейнеры, а затем к контейнеру добавляется заголовок и указатели, в результате образуется синхронный транспортный модуль STM-1. По сети контейнеры STM-1 передаются в системе SDH разных уровней (STM-n), но во всех случаях раз сформированный STM-1 может только складываться с другим транспортным модулем, т.е. имеет место мультиплексирование транспортных модулей.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Еще одно важное понятие, непосредственно связанное с общим пониманием технологии SDH — это понятие виртуального контейнера VC.В результате добавления к контейнеру трактового(маршрутного) заголовка получается виртуальный контейнер. Виртуальные контейнеры находятся в идеологической и технологической связи с контейнерами, так что контейнеру C-12 соответствует виртуальный контейнер VC-12 (передача потока E1), C-3 — VC-3 (передача потока E3), C-4 — контейнер VC-4 (передача потока STM-1).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Поскольку низкоскоростные сигналы PDH мультиплексируются в структуру фрейма высокоскоростных сигналов SDH посредством метода побайтового мультиплексирования, их расположение во фрейме высокоскоростного сигнала фиксировано и определено или, скажем, предсказуемо. Поэтому низкоскоростной сигнал SDH, например 155 Мбит/с (STM-1) может быть напрямую добавлен или выделен из высокоскоростного сигнала, например 2.5 Гбит/с (STM-16). Это упрощает процесс мультиплексирования и демультиплексирования сигнала и делает SDH иерархию особенно подходящей для высокоскоростных волоконно-оптических систем передачи, обладающих большой производительностью.</w:t>
      </w:r>
    </w:p>
    <w:p w14:paraId="5A61D803" w14:textId="1FEB6FA7" w:rsidR="00B2075F" w:rsidRPr="00291A69" w:rsidRDefault="00F741BA" w:rsidP="00B2075F">
      <w:pPr>
        <w:rPr>
          <w:rFonts w:ascii="Times New Roman" w:hAnsi="Times New Roman" w:cs="Times New Roman"/>
          <w:sz w:val="26"/>
          <w:szCs w:val="26"/>
        </w:rPr>
      </w:pPr>
      <w:r w:rsidRPr="00291A6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62711A4" wp14:editId="3952670C">
            <wp:extent cx="5940425" cy="2286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62E8F" wp14:editId="04D56AE5">
            <wp:extent cx="5667375" cy="3662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99" cy="36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75F"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B2075F"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B2075F"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B2075F"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B2075F"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Поскольку принят метод синхронного мультиплексирования и гибкого отображения структуры, низкоскоростные сигналы PDH (например, 2Мбит/с) также могут быть мультиплексированы в сигнал SDH (STM-N). Их расположение во фрейме STM-N также предсказуемо. Поэтому низкоскоростной </w:t>
      </w:r>
      <w:proofErr w:type="spellStart"/>
      <w:r w:rsidR="00B2075F"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трибутарный</w:t>
      </w:r>
      <w:proofErr w:type="spellEnd"/>
      <w:r w:rsidR="00B2075F"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сигнал (вплоть до сигнала DS-0, то есть одного тайм-слота PDH, 64 </w:t>
      </w:r>
      <w:proofErr w:type="spellStart"/>
      <w:r w:rsidR="00B2075F"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kbps</w:t>
      </w:r>
      <w:proofErr w:type="spellEnd"/>
      <w:r w:rsidR="00B2075F"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) может быть напрямую добавлен или извлечен из сигнала STM-N. Заметьте, что это не одно и то же с вышеописанным процессом добавления/выделения низкоскоростного сигнала SDH в/из высокоскоростного сигнала SDH. Здесь это относится к прямому добавлению/выделению низкоскоростного </w:t>
      </w:r>
      <w:proofErr w:type="spellStart"/>
      <w:r w:rsidR="00B2075F"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трибутарного</w:t>
      </w:r>
      <w:proofErr w:type="spellEnd"/>
      <w:r w:rsidR="00B2075F"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сигнала такого как 2Мбит/с, 34Мбит/с и 140Мбит/с в/из сигнала SDH. Это устраняет необходимость использования большого количества оборудования мультиплексирования / демультиплексирования (взаимосвязанного), повышает надежность и уменьшает вероятность ухудшения качества сигнала, снижает </w:t>
      </w:r>
      <w:r w:rsidR="00B2075F"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стоимость, потребление мощности и сложность оборудования. Добавление/выделение услуг в дальнейшем упрощается.</w:t>
      </w:r>
      <w:r w:rsidR="00B2075F"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B2075F"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B2075F" w:rsidRPr="00291A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27B4EA" wp14:editId="252B62E3">
            <wp:extent cx="3609975" cy="28287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933" cy="283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75F"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B2075F"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</w:p>
    <w:p w14:paraId="76A8D9FB" w14:textId="77777777" w:rsidR="00B2075F" w:rsidRPr="00291A69" w:rsidRDefault="00B2075F" w:rsidP="00B2075F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333333"/>
          <w:sz w:val="26"/>
          <w:szCs w:val="26"/>
        </w:rPr>
      </w:pPr>
      <w:r w:rsidRPr="00291A69">
        <w:rPr>
          <w:rFonts w:ascii="Times New Roman" w:hAnsi="Times New Roman" w:cs="Times New Roman"/>
          <w:b/>
          <w:bCs/>
          <w:color w:val="333333"/>
          <w:sz w:val="26"/>
          <w:szCs w:val="26"/>
        </w:rPr>
        <w:t>Оптические сети и системы спектрального уплотнения каналов</w:t>
      </w:r>
    </w:p>
    <w:p w14:paraId="161B1F1B" w14:textId="46BF6BCB" w:rsidR="00B2075F" w:rsidRPr="00291A69" w:rsidRDefault="00B2075F" w:rsidP="00B2075F">
      <w:pPr>
        <w:rPr>
          <w:rFonts w:ascii="Times New Roman" w:hAnsi="Times New Roman" w:cs="Times New Roman"/>
          <w:sz w:val="26"/>
          <w:szCs w:val="26"/>
        </w:rPr>
      </w:pP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Спектральное уплотнение каналов (англ.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Wavelength-division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multiplexing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 WDM, буквально мультиплексирование с разделением по длине волны) — технология, позволяющая одновременно передавать несколько информационных каналов по одному оптическому волокну на разных несущих частотах.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Технология WDM позволяет существенно увеличить пропускную способность канала (к 2003 году достигнута скорость 10,72 Тбит/с, а к 2012 — 20 Тбит/с), причем она позволяет использовать уже проложенные волоконно-оптические линии. Благодаря WDM удается организовать двустороннюю многоканальную передачу трафика по одному волокну. Преимуществом DWDM-систем является возможность передачи высокоскоростного сигнала на сверхдальние расстояния без использования промежуточных пунктов (без регенерации сигнала и промежуточных усилителей)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В простейшем случае каждый лазерный передатчик генерирует сигнал на определенной частоте из частотного плана. Все эти сигналы перед тем, как вводятся в оптическое волокно, объединяются мультиплексором (MUX). На приемном конце сигналы аналогично разделяются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демультиплексором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(DEMUX). Здесь, так </w:t>
      </w:r>
      <w:proofErr w:type="gram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же</w:t>
      </w:r>
      <w:proofErr w:type="gram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как и в SDH сетях, мультиплексор является ключевым элементом. Сигналы приходят на длинах волн оборудования клиента, а передача происходит </w:t>
      </w:r>
      <w:proofErr w:type="gram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на длинах</w:t>
      </w:r>
      <w:proofErr w:type="gram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соответствующих частотному плану ITU DWDM.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Исторически первыми возникли двухволновые WDM-системы, работающие на </w:t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 xml:space="preserve">центральных длинах волн из второго и третьего окон прозрачности кварцевого волокна (1310 и 1550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нм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). Главным достоинством таких систем является то, что из-за большого спектрального разноса полностью отсутствует влияние каналов друг на друга. Этот способ позволяет либо удвоить скорость передачи по одному оптическому волокну, либо организовать дуплексную связь.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Современные WDM-системы на основе стандартного частотного плана (ITU-T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Rec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 G.692) можно подразделить на три группы: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Грубые WDM (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Coarse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WDM — CWDM) — системы с частотным разносом каналов не менее 200 ГГц, позволяющие мультиплексировать не более 18 каналов.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(Используемые в настоящее время CWDM работают в полосе от 1270нм до 1610нм, промежуток между каналами 20нм (200Ghz), можно мультиплексировать 16 спектральных каналов)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плотные WDM (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Dense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WDM — DWDM) — системы с разносом каналов не менее 100 ГГц, позволяющие мультиплексировать не более 40 каналов.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высокоплотные WDM (High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Dense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WDM — HDWDM) — системы с разносом каналов 50 ГГц и менее, позволяющие мультиплексировать не менее 64 каналов.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Частотный план для CWDM-систем определяется стандартом ITU G.694.2. Область применения технологии CWDM — городские сети с расстоянием до 50 км. Достоинством этого вида WDM систем является низкая (по сравнению с остальными типами) стоимость оборудования вследствие меньших требований к компонентам.</w:t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Частотный план для DWDM-систем определяется стандартом ITU G.694.1. Область применения — магистральные сети. Этот вид WDM-систем предъявляет более высокие требования к компонентам, чем CWDM (ширина спектра источника излучения, температурная стабилизация источника и т. д.). Толчок к бурному развитию DWDM сетей дало появление недорогих и эффективных волоконных эрбиевых усилителей (EDFA), работающих в промежутке от 1525 до 1565 </w:t>
      </w:r>
      <w:proofErr w:type="spellStart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нм</w:t>
      </w:r>
      <w:proofErr w:type="spellEnd"/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(третье окно прозрачности кварцевого волокна).</w:t>
      </w:r>
    </w:p>
    <w:p w14:paraId="69C5B531" w14:textId="77777777" w:rsidR="004C26F5" w:rsidRPr="004C26F5" w:rsidRDefault="004C26F5" w:rsidP="004C26F5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Так, что же такое DWDM?</w:t>
      </w:r>
    </w:p>
    <w:p w14:paraId="60C50824" w14:textId="77777777" w:rsidR="004C26F5" w:rsidRPr="004C26F5" w:rsidRDefault="004C26F5" w:rsidP="004C26F5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DWDM (</w:t>
      </w:r>
      <w:proofErr w:type="spellStart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Dense</w:t>
      </w:r>
      <w:proofErr w:type="spellEnd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Wavelength</w:t>
      </w:r>
      <w:proofErr w:type="spellEnd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-Division </w:t>
      </w:r>
      <w:proofErr w:type="spellStart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Multiplexing</w:t>
      </w:r>
      <w:proofErr w:type="spellEnd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) </w:t>
      </w:r>
      <w:proofErr w:type="gramStart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- это</w:t>
      </w:r>
      <w:proofErr w:type="gramEnd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технология, использующая спектральное уплотнение для увеличения пропускной способности телекоммуникационных сетей. Она позволяет передавать несколько информационных каналов (отдельных световых волн) по одному оптическому волокну, увеличивая тем самым общую скорость передачи данных.</w:t>
      </w:r>
    </w:p>
    <w:p w14:paraId="01D64A23" w14:textId="77777777" w:rsidR="004C26F5" w:rsidRPr="004C26F5" w:rsidRDefault="004C26F5" w:rsidP="004C26F5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DWDM работает на основе разделения различных длин волн света (различных цветовых составляющих) для передачи различных информационных сигналов. Это разделение осуществляется с помощью специальных устройств, называемых мультиплексорами и </w:t>
      </w:r>
      <w:proofErr w:type="spellStart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демультиплексорами</w:t>
      </w:r>
      <w:proofErr w:type="spellEnd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 В мультиплексорах несколько сигналов объединяются в один, а на другом конце сети они разделяются обратно.</w:t>
      </w:r>
    </w:p>
    <w:p w14:paraId="14E6DA43" w14:textId="77777777" w:rsidR="004C26F5" w:rsidRPr="004C26F5" w:rsidRDefault="004C26F5" w:rsidP="004C26F5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lastRenderedPageBreak/>
        <w:t>Эта технология позволяет операторам связи увеличить пропускную способность сети, улучшить эффективность использования ресурсов и снизить затраты на инфраструктуру. DWDM используется в магистральных оптических сетях, городских и корпоративных сетях, а также в сетях доступа.</w:t>
      </w:r>
    </w:p>
    <w:p w14:paraId="538FEC7E" w14:textId="15F30BBF" w:rsidR="004C26F5" w:rsidRPr="00291A69" w:rsidRDefault="004C26F5" w:rsidP="004C26F5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Приходят сигналы на длинах волн оборудования клиента, а передаются на длинах волн</w:t>
      </w:r>
      <w:proofErr w:type="gramStart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</w:t>
      </w:r>
      <w:proofErr w:type="gramEnd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соответствующих частотному плану Сектора по стандартизации телекоммуникаций Международного союза электросвязи (International </w:t>
      </w:r>
      <w:proofErr w:type="spellStart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Telecommunication</w:t>
      </w:r>
      <w:proofErr w:type="spellEnd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Union - </w:t>
      </w:r>
      <w:proofErr w:type="spellStart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Telecommunication</w:t>
      </w:r>
      <w:proofErr w:type="spellEnd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Standardization</w:t>
      </w:r>
      <w:proofErr w:type="spellEnd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Sector</w:t>
      </w:r>
      <w:proofErr w:type="spellEnd"/>
      <w:r w:rsidRPr="004C26F5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- ITU-T). Преобразование волн осуществляется в транспондерах, а объединение оптических сигналов - в мультиплексоре. У каждой несущей имеются свой передатчик и приёмник, и сигналы могут передаваться в разных форматах.</w:t>
      </w:r>
    </w:p>
    <w:p w14:paraId="28165C47" w14:textId="08EB27ED" w:rsidR="004C26F5" w:rsidRPr="00291A69" w:rsidRDefault="004C26F5" w:rsidP="004C26F5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291A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2B5C0E" wp14:editId="5E128E54">
            <wp:extent cx="5553075" cy="1800225"/>
            <wp:effectExtent l="0" t="0" r="9525" b="9525"/>
            <wp:docPr id="1" name="Рисунок 1" descr="Dense Wavelength Division Multiplexing (DWD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se Wavelength Division Multiplexing (DWDM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A794" w14:textId="77777777" w:rsidR="00392177" w:rsidRDefault="00392177" w:rsidP="004C26F5">
      <w:pPr>
        <w:shd w:val="clear" w:color="auto" w:fill="FFFFFF"/>
        <w:spacing w:before="360"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666E8C7B" w14:textId="77777777" w:rsidR="00392177" w:rsidRDefault="00392177" w:rsidP="004C26F5">
      <w:pPr>
        <w:shd w:val="clear" w:color="auto" w:fill="FFFFFF"/>
        <w:spacing w:before="360"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1C3E4D59" w14:textId="77777777" w:rsidR="00392177" w:rsidRDefault="00392177" w:rsidP="004C26F5">
      <w:pPr>
        <w:shd w:val="clear" w:color="auto" w:fill="FFFFFF"/>
        <w:spacing w:before="360"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7335A8C7" w14:textId="77777777" w:rsidR="00392177" w:rsidRDefault="00392177" w:rsidP="004C26F5">
      <w:pPr>
        <w:shd w:val="clear" w:color="auto" w:fill="FFFFFF"/>
        <w:spacing w:before="360"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3D372093" w14:textId="77777777" w:rsidR="00392177" w:rsidRDefault="00392177" w:rsidP="004C26F5">
      <w:pPr>
        <w:shd w:val="clear" w:color="auto" w:fill="FFFFFF"/>
        <w:spacing w:before="360"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4920E166" w14:textId="77777777" w:rsidR="00392177" w:rsidRDefault="00392177" w:rsidP="004C26F5">
      <w:pPr>
        <w:shd w:val="clear" w:color="auto" w:fill="FFFFFF"/>
        <w:spacing w:before="360"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32A8D71F" w14:textId="77777777" w:rsidR="00392177" w:rsidRDefault="00392177" w:rsidP="004C26F5">
      <w:pPr>
        <w:shd w:val="clear" w:color="auto" w:fill="FFFFFF"/>
        <w:spacing w:before="360"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5E163A30" w14:textId="77777777" w:rsidR="00392177" w:rsidRDefault="00392177" w:rsidP="004C26F5">
      <w:pPr>
        <w:shd w:val="clear" w:color="auto" w:fill="FFFFFF"/>
        <w:spacing w:before="360"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210AC092" w14:textId="12519037" w:rsidR="004C26F5" w:rsidRPr="00291A69" w:rsidRDefault="004C26F5" w:rsidP="004C26F5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291A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Как примерно выглядит типовой узел DWDM. </w:t>
      </w:r>
    </w:p>
    <w:p w14:paraId="39776206" w14:textId="50EBFE9E" w:rsidR="004C26F5" w:rsidRDefault="004C26F5" w:rsidP="004C26F5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194D306" wp14:editId="415AB48E">
            <wp:extent cx="2962275" cy="8105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68" cy="814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CF30" w14:textId="29802B79" w:rsidR="002A2AB6" w:rsidRDefault="002A2AB6" w:rsidP="004C26F5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35107BED" w14:textId="546F0B10" w:rsidR="002A2AB6" w:rsidRDefault="002A2AB6" w:rsidP="004C26F5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3084818" w14:textId="669A8DE8" w:rsidR="002A2AB6" w:rsidRDefault="002A2AB6" w:rsidP="004C26F5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1F3B81F" wp14:editId="031F660C">
            <wp:extent cx="5940425" cy="3822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FC49" w14:textId="750F9DD1" w:rsidR="002A2AB6" w:rsidRDefault="002A2AB6" w:rsidP="004C26F5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карточка проекта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Оборудование MSTP 15454E Cisco Systems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Три площадки (основной ЦОД, резервный ЦОД, операторская), расстояние 5-20 км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Топология сети – полноценное кольцо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• Клиентские интерфейсы между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ЦОДами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– 10GE – 8 шт., FC-800 – 8 шт., FC-400 – 4 шт., GE – 16 шт.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Клиентские интерфейсы от каждого ЦОД до операторской площадки – FE/GE – 8 шт.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• Используется защита клиентского сигнала — в случае одиночного разрыва кольца сигнал переключается на другое направление в течение 50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мс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• Используются мультиплексоры на 40 каналов (длин волн)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• Используются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транспондерные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платы — клиенты подключаются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многомодовой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оптикой или медью</w:t>
      </w:r>
    </w:p>
    <w:p w14:paraId="763629B2" w14:textId="77777777" w:rsidR="004C26F5" w:rsidRDefault="004C26F5" w:rsidP="004C26F5">
      <w:pPr>
        <w:pStyle w:val="3"/>
        <w:shd w:val="clear" w:color="auto" w:fill="FFFFFF"/>
        <w:spacing w:before="480" w:beforeAutospacing="0" w:after="0" w:afterAutospacing="0"/>
        <w:rPr>
          <w:rFonts w:ascii="Fira Sans" w:hAnsi="Fira Sans"/>
          <w:b w:val="0"/>
          <w:bCs w:val="0"/>
          <w:color w:val="333333"/>
        </w:rPr>
      </w:pPr>
      <w:r>
        <w:rPr>
          <w:rFonts w:ascii="Fira Sans" w:hAnsi="Fira Sans"/>
          <w:b w:val="0"/>
          <w:bCs w:val="0"/>
          <w:color w:val="333333"/>
        </w:rPr>
        <w:t>Библиография</w:t>
      </w:r>
    </w:p>
    <w:p w14:paraId="119F5871" w14:textId="77777777" w:rsidR="004D1D02" w:rsidRDefault="004C26F5" w:rsidP="004D1D02">
      <w:pPr>
        <w:pStyle w:val="a3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[1] </w:t>
      </w:r>
      <w:proofErr w:type="spellStart"/>
      <w:r>
        <w:rPr>
          <w:rFonts w:ascii="Arial" w:hAnsi="Arial" w:cs="Arial"/>
          <w:color w:val="333333"/>
        </w:rPr>
        <w:t>Трещиков</w:t>
      </w:r>
      <w:proofErr w:type="spellEnd"/>
      <w:r>
        <w:rPr>
          <w:rFonts w:ascii="Arial" w:hAnsi="Arial" w:cs="Arial"/>
          <w:color w:val="333333"/>
        </w:rPr>
        <w:t xml:space="preserve"> В.Н., </w:t>
      </w:r>
      <w:proofErr w:type="spellStart"/>
      <w:r>
        <w:rPr>
          <w:rFonts w:ascii="Arial" w:hAnsi="Arial" w:cs="Arial"/>
          <w:color w:val="333333"/>
        </w:rPr>
        <w:t>Листвин</w:t>
      </w:r>
      <w:proofErr w:type="spellEnd"/>
      <w:r>
        <w:rPr>
          <w:rFonts w:ascii="Arial" w:hAnsi="Arial" w:cs="Arial"/>
          <w:color w:val="333333"/>
        </w:rPr>
        <w:t xml:space="preserve"> В.Н. DWDM-системы - Москва: ТЕХНОСФЕРА, 2023. - 420С.</w:t>
      </w:r>
    </w:p>
    <w:p w14:paraId="3BAF143A" w14:textId="6D593050" w:rsidR="004C26F5" w:rsidRDefault="004C26F5" w:rsidP="004D1D02">
      <w:pPr>
        <w:pStyle w:val="a3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[2] Коротко об МСЭ-Т. - </w:t>
      </w:r>
      <w:hyperlink r:id="rId13" w:tgtFrame="_blank" w:history="1">
        <w:r>
          <w:rPr>
            <w:rStyle w:val="a4"/>
            <w:rFonts w:ascii="Arial" w:eastAsiaTheme="majorEastAsia" w:hAnsi="Arial" w:cs="Arial"/>
          </w:rPr>
          <w:t>https://www.itu.int/ru/ITU-T/about/Pages/default.aspx</w:t>
        </w:r>
      </w:hyperlink>
      <w:r>
        <w:rPr>
          <w:rFonts w:ascii="Arial" w:hAnsi="Arial" w:cs="Arial"/>
          <w:color w:val="333333"/>
        </w:rPr>
        <w:t> (дата обращения 08.09.2023)</w:t>
      </w:r>
    </w:p>
    <w:p w14:paraId="46A7C924" w14:textId="577A0779" w:rsidR="004C26F5" w:rsidRDefault="004C26F5" w:rsidP="004C26F5">
      <w:pPr>
        <w:pStyle w:val="a3"/>
        <w:shd w:val="clear" w:color="auto" w:fill="FFFFFF"/>
        <w:spacing w:before="360" w:beforeAutospacing="0" w:after="0" w:afterAutospacing="0"/>
        <w:rPr>
          <w:rStyle w:val="a4"/>
          <w:rFonts w:ascii="Arial" w:eastAsiaTheme="majorEastAsia" w:hAnsi="Arial" w:cs="Arial"/>
        </w:rPr>
      </w:pPr>
      <w:r>
        <w:rPr>
          <w:rFonts w:ascii="Arial" w:hAnsi="Arial" w:cs="Arial"/>
          <w:color w:val="333333"/>
        </w:rPr>
        <w:t xml:space="preserve">[3] </w:t>
      </w:r>
      <w:proofErr w:type="spellStart"/>
      <w:r>
        <w:rPr>
          <w:rFonts w:ascii="Arial" w:hAnsi="Arial" w:cs="Arial"/>
          <w:color w:val="333333"/>
        </w:rPr>
        <w:t>Рекоментации</w:t>
      </w:r>
      <w:proofErr w:type="spellEnd"/>
      <w:r>
        <w:rPr>
          <w:rFonts w:ascii="Arial" w:hAnsi="Arial" w:cs="Arial"/>
          <w:color w:val="333333"/>
        </w:rPr>
        <w:t xml:space="preserve"> МСЭ-Т. - </w:t>
      </w:r>
      <w:hyperlink r:id="rId14" w:tgtFrame="_blank" w:history="1">
        <w:r>
          <w:rPr>
            <w:rStyle w:val="a4"/>
            <w:rFonts w:ascii="Arial" w:eastAsiaTheme="majorEastAsia" w:hAnsi="Arial" w:cs="Arial"/>
          </w:rPr>
          <w:t>https://www.itu.int/en/ITU-T/publications/Pages/recs.aspx</w:t>
        </w:r>
      </w:hyperlink>
    </w:p>
    <w:p w14:paraId="59954B61" w14:textId="77777777" w:rsidR="00F741BA" w:rsidRPr="00F741BA" w:rsidRDefault="00F741BA" w:rsidP="00F741BA">
      <w:pPr>
        <w:rPr>
          <w:rFonts w:ascii="Times New Roman" w:hAnsi="Times New Roman" w:cs="Times New Roman"/>
          <w:sz w:val="26"/>
          <w:szCs w:val="26"/>
        </w:rPr>
      </w:pPr>
    </w:p>
    <w:p w14:paraId="496A49FF" w14:textId="109FE1A7" w:rsidR="00F741BA" w:rsidRPr="00F741BA" w:rsidRDefault="00F741BA" w:rsidP="00F741BA">
      <w:pPr>
        <w:rPr>
          <w:rFonts w:ascii="Times New Roman" w:hAnsi="Times New Roman" w:cs="Times New Roman"/>
          <w:sz w:val="26"/>
          <w:szCs w:val="26"/>
        </w:rPr>
      </w:pPr>
      <w:r w:rsidRPr="00F741BA">
        <w:rPr>
          <w:rFonts w:ascii="Times New Roman" w:hAnsi="Times New Roman" w:cs="Times New Roman"/>
          <w:sz w:val="26"/>
          <w:szCs w:val="26"/>
        </w:rPr>
        <w:t>[</w:t>
      </w:r>
      <w:r w:rsidRPr="00F741BA">
        <w:rPr>
          <w:rFonts w:ascii="Times New Roman" w:hAnsi="Times New Roman" w:cs="Times New Roman"/>
          <w:sz w:val="26"/>
          <w:szCs w:val="26"/>
        </w:rPr>
        <w:t>4</w:t>
      </w:r>
      <w:r w:rsidRPr="00F741BA">
        <w:rPr>
          <w:rFonts w:ascii="Times New Roman" w:hAnsi="Times New Roman" w:cs="Times New Roman"/>
          <w:sz w:val="26"/>
          <w:szCs w:val="26"/>
        </w:rPr>
        <w:t xml:space="preserve">] </w:t>
      </w:r>
      <w:r w:rsidRPr="00F741BA">
        <w:rPr>
          <w:rFonts w:ascii="Times New Roman" w:hAnsi="Times New Roman" w:cs="Times New Roman"/>
          <w:color w:val="000000"/>
          <w:sz w:val="26"/>
          <w:szCs w:val="26"/>
        </w:rPr>
        <w:t>Как устроена сеть SDH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Pr="00F741B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hyperlink r:id="rId15" w:history="1">
        <w:r w:rsidRPr="00F741BA">
          <w:rPr>
            <w:rFonts w:ascii="Times New Roman" w:hAnsi="Times New Roman" w:cs="Times New Roman"/>
            <w:sz w:val="26"/>
            <w:szCs w:val="26"/>
          </w:rPr>
          <w:t>Виктор Олифер</w:t>
        </w:r>
      </w:hyperlink>
      <w:r w:rsidRPr="00F741BA">
        <w:rPr>
          <w:rFonts w:ascii="Times New Roman" w:hAnsi="Times New Roman" w:cs="Times New Roman"/>
        </w:rPr>
        <w:t xml:space="preserve"> </w:t>
      </w:r>
      <w:r w:rsidRPr="00F741BA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F741BA">
        <w:rPr>
          <w:rFonts w:ascii="Times New Roman" w:hAnsi="Times New Roman" w:cs="Times New Roman"/>
          <w:sz w:val="26"/>
          <w:szCs w:val="26"/>
        </w:rPr>
        <w:t>://</w:t>
      </w:r>
      <w:r w:rsidRPr="00F741BA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Pr="00F741BA">
        <w:rPr>
          <w:rFonts w:ascii="Times New Roman" w:hAnsi="Times New Roman" w:cs="Times New Roman"/>
          <w:sz w:val="26"/>
          <w:szCs w:val="26"/>
        </w:rPr>
        <w:t>.</w:t>
      </w:r>
      <w:r w:rsidRPr="00F741BA">
        <w:rPr>
          <w:rFonts w:ascii="Times New Roman" w:hAnsi="Times New Roman" w:cs="Times New Roman"/>
          <w:sz w:val="26"/>
          <w:szCs w:val="26"/>
          <w:lang w:val="en-US"/>
        </w:rPr>
        <w:t>olifer</w:t>
      </w:r>
      <w:r w:rsidRPr="00F741BA">
        <w:rPr>
          <w:rFonts w:ascii="Times New Roman" w:hAnsi="Times New Roman" w:cs="Times New Roman"/>
          <w:sz w:val="26"/>
          <w:szCs w:val="26"/>
        </w:rPr>
        <w:t>.</w:t>
      </w:r>
      <w:r w:rsidRPr="00F741BA">
        <w:rPr>
          <w:rFonts w:ascii="Times New Roman" w:hAnsi="Times New Roman" w:cs="Times New Roman"/>
          <w:sz w:val="26"/>
          <w:szCs w:val="26"/>
          <w:lang w:val="en-US"/>
        </w:rPr>
        <w:t>co</w:t>
      </w:r>
      <w:r w:rsidRPr="00F741BA">
        <w:rPr>
          <w:rFonts w:ascii="Times New Roman" w:hAnsi="Times New Roman" w:cs="Times New Roman"/>
          <w:sz w:val="26"/>
          <w:szCs w:val="26"/>
        </w:rPr>
        <w:t>.</w:t>
      </w:r>
      <w:r w:rsidRPr="00F741BA">
        <w:rPr>
          <w:rFonts w:ascii="Times New Roman" w:hAnsi="Times New Roman" w:cs="Times New Roman"/>
          <w:sz w:val="26"/>
          <w:szCs w:val="26"/>
          <w:lang w:val="en-US"/>
        </w:rPr>
        <w:t>uk</w:t>
      </w:r>
      <w:r w:rsidRPr="00F741BA">
        <w:rPr>
          <w:rFonts w:ascii="Times New Roman" w:hAnsi="Times New Roman" w:cs="Times New Roman"/>
          <w:sz w:val="26"/>
          <w:szCs w:val="26"/>
        </w:rPr>
        <w:t>/</w:t>
      </w:r>
      <w:r w:rsidRPr="00F741BA">
        <w:rPr>
          <w:rFonts w:ascii="Times New Roman" w:hAnsi="Times New Roman" w:cs="Times New Roman"/>
          <w:sz w:val="26"/>
          <w:szCs w:val="26"/>
          <w:lang w:val="en-US"/>
        </w:rPr>
        <w:t>articles</w:t>
      </w:r>
      <w:r w:rsidRPr="00F741BA">
        <w:rPr>
          <w:rFonts w:ascii="Times New Roman" w:hAnsi="Times New Roman" w:cs="Times New Roman"/>
          <w:sz w:val="26"/>
          <w:szCs w:val="26"/>
        </w:rPr>
        <w:t>/</w:t>
      </w:r>
      <w:r w:rsidRPr="00F741BA">
        <w:rPr>
          <w:rFonts w:ascii="Times New Roman" w:hAnsi="Times New Roman" w:cs="Times New Roman"/>
          <w:sz w:val="26"/>
          <w:szCs w:val="26"/>
          <w:lang w:val="en-US"/>
        </w:rPr>
        <w:t>kakustSDH</w:t>
      </w:r>
      <w:r w:rsidRPr="00F741BA">
        <w:rPr>
          <w:rFonts w:ascii="Times New Roman" w:hAnsi="Times New Roman" w:cs="Times New Roman"/>
          <w:sz w:val="26"/>
          <w:szCs w:val="26"/>
        </w:rPr>
        <w:t>/</w:t>
      </w:r>
      <w:r w:rsidRPr="00F741BA">
        <w:rPr>
          <w:rFonts w:ascii="Times New Roman" w:hAnsi="Times New Roman" w:cs="Times New Roman"/>
          <w:sz w:val="26"/>
          <w:szCs w:val="26"/>
          <w:lang w:val="en-US"/>
        </w:rPr>
        <w:t>kakustSDH</w:t>
      </w:r>
      <w:r w:rsidRPr="00F741BA">
        <w:rPr>
          <w:rFonts w:ascii="Times New Roman" w:hAnsi="Times New Roman" w:cs="Times New Roman"/>
          <w:sz w:val="26"/>
          <w:szCs w:val="26"/>
        </w:rPr>
        <w:t>.</w:t>
      </w:r>
      <w:r w:rsidRPr="00F741BA">
        <w:rPr>
          <w:rFonts w:ascii="Times New Roman" w:hAnsi="Times New Roman" w:cs="Times New Roman"/>
          <w:sz w:val="26"/>
          <w:szCs w:val="26"/>
          <w:lang w:val="en-US"/>
        </w:rPr>
        <w:t>htm</w:t>
      </w:r>
    </w:p>
    <w:p w14:paraId="50F1FF6A" w14:textId="77777777" w:rsidR="004C26F5" w:rsidRPr="004C26F5" w:rsidRDefault="004C26F5" w:rsidP="004C26F5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7EB30C7D" w14:textId="77777777" w:rsidR="004C26F5" w:rsidRDefault="004C26F5" w:rsidP="004C26F5"/>
    <w:sectPr w:rsidR="004C2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F4"/>
    <w:rsid w:val="000432B7"/>
    <w:rsid w:val="00291A69"/>
    <w:rsid w:val="002A2AB6"/>
    <w:rsid w:val="00392177"/>
    <w:rsid w:val="004242F4"/>
    <w:rsid w:val="004C26F5"/>
    <w:rsid w:val="004D1D02"/>
    <w:rsid w:val="00B2075F"/>
    <w:rsid w:val="00B828CA"/>
    <w:rsid w:val="00F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9B5F"/>
  <w15:chartTrackingRefBased/>
  <w15:docId w15:val="{5BC418EB-4290-4667-891D-EF28D837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74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C2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7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26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C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C26F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207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74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www.itu.int/ru/ITU-T/about/Pages/default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mailto:volifer@uni.ru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itu.int/en/ITU-T/publications/Pages/recs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A653B-8288-4DED-A873-0F4A5B46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jeckill</dc:creator>
  <cp:keywords/>
  <dc:description/>
  <cp:lastModifiedBy>jeckill</cp:lastModifiedBy>
  <cp:revision>7</cp:revision>
  <dcterms:created xsi:type="dcterms:W3CDTF">2024-11-08T22:04:00Z</dcterms:created>
  <dcterms:modified xsi:type="dcterms:W3CDTF">2024-11-08T22:47:00Z</dcterms:modified>
</cp:coreProperties>
</file>