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3A5F"/>
          <w:sz w:val="96"/>
          <w:szCs w:val="96"/>
        </w:rPr>
        <w:t xml:space="preserve">Model Evaluation</w:t>
      </w:r>
      <w:r>
        <w:rPr>
          <w:rFonts w:ascii="Calibri" w:cs="Calibri" w:eastAsia="Calibri" w:hAnsi="Calibri"/>
          <w:b/>
          <w:bCs/>
          <w:color w:val="2563EB"/>
          <w:sz w:val="96"/>
          <w:szCs w:val="96"/>
        </w:rPr>
        <w:t xml:space="preserve">Benchmarks</w:t>
      </w:r>
    </w:p>
    <w:p>
      <w:pPr>
        <w:spacing w:after="0" w:before="2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32"/>
          <w:szCs w:val="32"/>
        </w:rPr>
        <w:t xml:space="preserve">A Comprehensive Guide to Evaluating ML Models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Performance Metrics, Benchmark Suites, and Best Practices</w:t>
      </w:r>
    </w:p>
    <w:p>
      <w:pPr>
        <w:spacing w:after="0" w:before="600"/>
      </w:pPr>
    </w:p>
    <w:p>
      <w:pPr>
        <w:pBdr>
          <w:top w:val="single" w:color="2563EB" w:sz="2" w:space="12"/>
        </w:pBdr>
        <w:spacing w:after="60" w:before="2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2025-2026 Edition</w:t>
      </w:r>
    </w:p>
    <w:p>
      <w:pPr>
        <w:spacing w:after="0" w:before="200"/>
      </w:pP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Prepared by APEX Engineering Team</w:t>
      </w:r>
    </w:p>
    <w:p>
      <w:pPr>
        <w:sectPr>
          <w:pgSz w:w="11906" w:h="16838" w:orient="portrait"/>
          <w:pgMar w:top="2160" w:right="1440" w:bottom="1440" w:left="1440" w:header="708" w:footer="708" w:gutter="0"/>
          <w:pgNumType/>
          <w:docGrid w:linePitch="360"/>
        </w:sectPr>
      </w:pPr>
    </w:p>
    <w:p>
      <w:pPr>
        <w:pStyle w:val="Title"/>
        <w:spacing w:after="120" w:before="0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Table of Contents</w:t>
      </w:r>
    </w:p>
    <w:p>
      <w:pPr>
        <w:spacing w:after="0" w:before="100"/>
      </w:pP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Introduction to Model Evaluation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Classification Benchmarks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Regression Benchmarks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Natural Language Processing (NLP) Benchmarks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5. Computer Vision Benchmarks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6. Key Performance Metrics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7. Benchmark Comparison Tables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8. Performance Trend Analysis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9. Best Practices for Benchmarking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10. Limitations and Pitfalls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11. Future Directions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12. Conclusion</w:t>
      </w:r>
    </w:p>
    <w:p>
      <w:pPr>
        <w:spacing w:after="0" w:before="200"/>
      </w:pPr>
    </w:p>
    <w:p>
      <w:pPr>
        <w:pStyle w:val="Title"/>
        <w:spacing w:after="120" w:before="0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1. Introduction to Model Evaluation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Model evaluation benchmarks are standardized frameworks used to assess the performance, accuracy, and generalization capabilities of machine learning models. They provide a common ground for comparing different approaches and tracking progress in the field.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 the rapidly evolving landscape of artificial intelligence, benchmarks serve as critical yardsticks. They enable researchers and practitioners to: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Compare model performance across different architectures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Identify strengths and weaknesses of specific approaches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Track progress over time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Establish baselines for new research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Validate real-world applicability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document provides a comprehensive overview of major benchmarks across key domains, including NLP, Computer Vision, and traditional ML tasks.</w:t>
      </w:r>
    </w:p>
    <w:p>
      <w:pPr>
        <w:pStyle w:val="Title"/>
        <w:spacing w:after="120" w:before="0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2. Classification Benchmarks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Classification benchmarks evaluate a model ability to assign input data to predefined categories. These are foundational tasks in supervised learning.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2.1 Image Classification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ImageNet remains the gold standard for image classification, with over 14 million labeled images across 20,000 categories. The benchmark measures top-1 and top-5 accuracy.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CIFAR-10 and CIFAR-100 provide smaller-scale benchmarks with 60,000 32x32 color images across 10 and 100 classes respectively. These are widely used for rapid prototyping.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2.2 Text Classification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Text classification benchmarks include sentiment analysis (IMDb, SST-2), topic classification (AG News, DBpedia), and intent detection (SNIPS, ATIS).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These benchmarks measure accuracy, F1-score, and sometimes latency for production deployment scenarios.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2.3 Benchmark Scores Comparison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Top-1 Acc. SOTA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Top-5 Acc. SOTA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Introduced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ImageNet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1,000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1.2M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91.8% (ViT-H/14)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98.7%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2010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CIFAR-100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60K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96.1% (ViT-L/16)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99.5%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2009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CIFAR-10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60K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99.7% (ViT-L/16)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2009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STL-10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13K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97.8%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99.9%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2011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Food-101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101K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96.5% (ViT-L)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2014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Fashion-MNIST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70K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97.8%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99.9%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2017</w:t>
            </w:r>
          </w:p>
        </w:tc>
      </w:tr>
    </w:tbl>
    <w:p>
      <w:pPr>
        <w:spacing w:after="0" w:before="60"/>
      </w:pPr>
    </w:p>
    <w:p>
      <w:pPr>
        <w:spacing w:after="12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Table 1: Image classification benchmarks with current state-of-the-art (SOTA) performance using Vision Transformer models.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itle"/>
        <w:spacing w:after="120" w:before="0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3. Regression Benchmarks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Regression benchmarks evaluate models on continuous value prediction tasks. These benchmarks are critical for domains like finance, weather forecasting, and demand prediction.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3.1 Key Regression Datasets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Popular regression benchmarks include the Boston Housing dataset (now deprecated), California Housing, Wine Quality, and the UCI repository datasets including Abalone and Auto MPG.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Modern benchmarks have shifted to more complex tasks like stock price prediction, energy consumption forecasting, and climate modeling.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Samples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Model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Score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California Housing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20,640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RMSE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XGBoost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0.482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Wine Quality (Red)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1,599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Gradient Boost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0.426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Superconductivity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21,263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RMSE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MLP Ensemble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9.078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Energy Efficiency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768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Random Forest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1.352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Protein Tertiary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45,730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RMSD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Deep Learning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0.984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YearPredictionMSD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515,345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SVR (RBF)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8.927</w:t>
            </w:r>
          </w:p>
        </w:tc>
      </w:tr>
    </w:tbl>
    <w:p>
      <w:pPr>
        <w:spacing w:after="0" w:before="60"/>
      </w:pPr>
    </w:p>
    <w:p>
      <w:pPr>
        <w:spacing w:after="12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Table 2: Regression benchmark datasets and current best-performing models.</w:t>
      </w:r>
    </w:p>
    <w:p>
      <w:pPr>
        <w:pStyle w:val="Title"/>
        <w:spacing w:after="120" w:before="0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4. Natural Language Processing Benchmarks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NLP benchmarks have seen explosive growth with the rise of large language models (LLMs). These benchmarks evaluate everything from basic text classification to complex reasoning.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4.1 GLUE &amp; SuperGLUE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General Language Understanding Evaluation (GLUE) benchmark consists of nine tasks for evaluating general-purpose language understanding. SuperGLUE is a more challenging successor with eight harder tasks.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tasks include: CoLA (linguistic acceptability), SST-2 (sentiment analysis), MRPC (paraphrase detection), QQP (question pair similarity), MNLI (natural language inference), QNLI (question answering), RTE (textual entailment), WNLI (coreference resolution).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Human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RoBERTa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GPT-4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Claude 3.5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SST-2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97.8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93.5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95.8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97.5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99.1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98.7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MNLI-m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92.8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86.7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92.8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96.4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95.8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QQP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89.5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72.1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74.3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77.8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88.2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87.9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CoLA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MCC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66.4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60.6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68.0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72.4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78.1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77.3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MRPC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88.9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85.0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90.9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91.5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94.2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93.6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93.6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70.1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86.6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92.5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96.8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96.1</w:t>
            </w:r>
          </w:p>
        </w:tc>
      </w:tr>
    </w:tbl>
    <w:p>
      <w:pPr>
        <w:spacing w:after="0" w:before="60"/>
      </w:pPr>
    </w:p>
    <w:p>
      <w:pPr>
        <w:spacing w:after="12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Table 3: GLUE benchmark scores across major model architectures. GPT-4 and Claude 3.5 represent current LLM state-of-the-art.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4.2 LLM-Specific Benchmarks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Modern LLMs are evaluated on specialized benchmarks including: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MMLU (Massive Multitask Language Understanding) - 57 subjects from STEM to humanities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HellaSwag - Commonsense reasoning with adversarially-generated wrong answers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ARC (AI2 Reasoning Challenge) - Grade-school science questions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HumanEval - Code generation from docstrings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GSM8K - Grade-school math word problems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TruthfulQA - Measuring truthfulness and factual accuracy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itle"/>
        <w:spacing w:after="120" w:before="0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5. Computer Vision Benchmarks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Computer Vision benchmarks span image classification, object detection, segmentation, image generation, and video understanding tasks.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5.1 Object Detection &amp; Segmentation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COCO (Common Objects in Context) is the premier benchmark for object detection, segmentation, and captioning with 330K images across 80 object categories.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Pascal VOC and LVIS provide additional benchmarks with different focus areas. The key metrics include mean Average Precision (mAP) at different IoU thresholds.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Images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SOTA Score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COCO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Detection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330K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mAP@0.5:0.95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66.0 (DINO-DETR)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COCO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Segmentation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330K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Mask mAP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57.8 (Mask2Former)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Pascal VOC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Detection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mAP@0.5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97.1 (DETR)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LVIS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Segmentation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164K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1,203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Mask AP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48.5 (ViT-DETR)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Cityscapes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Segmentation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25K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mIoU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87.3 (SegFormer)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ADE20K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Segmentation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25K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Pixel Acc.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89.0 (Mask2Former)</w:t>
            </w:r>
          </w:p>
        </w:tc>
      </w:tr>
    </w:tbl>
    <w:p>
      <w:pPr>
        <w:spacing w:after="0" w:before="60"/>
      </w:pPr>
    </w:p>
    <w:p>
      <w:pPr>
        <w:spacing w:after="12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Table 4: Computer vision benchmark datasets and state-of-the-art performance.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5.2 Image Generation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Image generation benchmarks evaluate generative models on quality, diversity, and fidelity. Key benchmarks include: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FID (Frdchet Inception Distance) on CIFAR-10 / ImageNet - measures distribution similarity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CLIP Score - measures image-text alignment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Human Preference - human evaluation of generated images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MS-COCO Captioning - text-to-image alignment</w:t>
      </w:r>
    </w:p>
    <w:p>
      <w:pPr>
        <w:spacing w:after="0" w:before="100"/>
      </w:pPr>
    </w:p>
    <w:p>
      <w:pPr>
        <w:pStyle w:val="Title"/>
        <w:spacing w:after="120" w:before="0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6. Key Performance Metrics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Understanding metrics is essential for interpreting benchmark results. Below is a comprehensive reference table of common evaluation metrics.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 / Description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Accuracy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Classification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[0, 1]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Correct predictions / Total predictions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Precision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Classification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[0, 1]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TP / (TP + FP)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Recall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Classification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[0, 1]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TP / (TP + FN)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F1-Score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Classification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[0, 1]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 * Precision * Recall / (Precision + Recall)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AUC-ROC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Classification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[0, 1]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Area under ROC curve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MCC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Classification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[-1, 1]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Matthews Correlation Coefficient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Regression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[0, ∞)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Lower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Mean Absolute Error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Regression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[0, ∞)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Lower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Mean Squared Error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RMSE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Regression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[0, ∞)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Lower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Root Mean Squared Error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Regression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(- ∞, 1]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Coefficient of determination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BLEU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NLP (Translation)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[0, 1]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Bilingual Evaluation Understudy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ROUGE-L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NLP (Summarization)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[0, 1]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Recall-Oriented Understudy for Gisting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Perplexity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NLP (Language)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[0, ∞)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Lower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Exponential of cross-entropy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Detection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[0, 1]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Mean Average Precision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Generation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[0, ∞)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Lower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Frdchet Inception Distance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CLIP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Generation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[0, 1]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Cosine similarity in CLIP space</w:t>
            </w:r>
          </w:p>
        </w:tc>
      </w:tr>
    </w:tbl>
    <w:p>
      <w:pPr>
        <w:spacing w:after="0" w:before="60"/>
      </w:pPr>
    </w:p>
    <w:p>
      <w:pPr>
        <w:spacing w:after="12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Table 5: Comprehensive reference of evaluation metrics across ML domains.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itle"/>
        <w:spacing w:after="120" w:before="0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7. Benchmark Comparison Tables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section provides head-to-head comparisons of major model families across key benchmarks, showing performance evolution over generations.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7.1 LLM Comparison Across Benchmarks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following table compares leading large language models across major evaluation benchmarks as of 2025.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MMLU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HellaSwag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ARC-C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GSM8K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HumanEval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TruthfulQA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GPT-4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86.4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95.3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96.3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92.0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87.2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59.0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GPT-4o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88.7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96.1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97.2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91.6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65.0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Claude 3.5 Sonnet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88.3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96.8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92.3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68.2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Claude 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96.7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97.9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95.1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93.8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72.5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Gemini 1.5 Pro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85.9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93.7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92.9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88.9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83.2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61.4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Gemini 2.0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96.3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97.4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92.1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70.8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LLaMA 3.1 405B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87.3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94.2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95.1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80.6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59.8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Mistral Large 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92.8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86.7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78.4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56.3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DeepSeek-V3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89.4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95.8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93.2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67.1</w:t>
            </w:r>
          </w:p>
        </w:tc>
      </w:tr>
    </w:tbl>
    <w:p>
      <w:pPr>
        <w:spacing w:after="0" w:before="60"/>
      </w:pPr>
    </w:p>
    <w:p>
      <w:pPr>
        <w:spacing w:after="12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Table 6: LLM benchmark scores across major evaluation suites. Higher is better for all metrics.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7.2 Vision Model Comparison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Comparison of vision models across ImageNet top-1 accuracy, COCO detection mAP, and inference speed.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ImageNet Top-1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COCO mAP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Params (M)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FLOPs (G)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ResNet-50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76.0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37.8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25.6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2015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EfficientNet-B7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84.3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43.2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66.0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37.0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2019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ViT-L/16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87.1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49.5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307.0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190.0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2021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SwinV2-L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87.8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53.5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197.0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129.0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2022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ConvNeXt-XL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88.1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52.7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350.0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235.0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2023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DINOv2-g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88.4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1,100.0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680.0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2024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ViT-H/14 (MAE)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91.8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58.2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632.0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410.0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0" w:before="60"/>
      </w:pPr>
    </w:p>
    <w:p>
      <w:pPr>
        <w:spacing w:after="12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Table 7: Computer vision model comparison across major benchmarks and computational requirements.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7.3 Cost vs Performance Analysis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Evaluating models requires balancing performance against computational cost. The following table compares inference cost across major LLMs.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MMLU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 Cost / 1M tokens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 Cost / 1M tokens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 Window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Speed (tok/s)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GPT-4o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88.7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$2.50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$10.00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128K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85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Claude 3.5 Sonnet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88.3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$3.00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$15.00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Claude 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$3.00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$15.00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72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Gemini 2.0 Flash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$0.10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$0.40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DeepSeek-V3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89.4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$0.27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$1.10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128K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92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LLaMA 3.1 405B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87.3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$2.80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$2.80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128K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Gemma 2 27B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69.8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$0.20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$0.20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134</w:t>
            </w:r>
          </w:p>
        </w:tc>
      </w:tr>
    </w:tbl>
    <w:p>
      <w:pPr>
        <w:spacing w:after="0" w:before="60"/>
      </w:pPr>
    </w:p>
    <w:p>
      <w:pPr>
        <w:spacing w:after="12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Table 8: Cost-performance analysis of major LLMs. Costs are API pricing as of late 2025.</w:t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itle"/>
        <w:spacing w:after="120" w:before="0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8. Performance Trend Analysis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Analysis of performance trends over time reveals the accelerating pace of AI advancement. Key benchmarks show dramatic improvements driven by scale, data quality, and architectural innovations.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8.1 MMLU Score Progression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MMLU (Massive Multitask Language Understanding) has become the most widely cited benchmark for general LLM capability. The chart below shows the progression of top scores: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MMLU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Innovation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GPT-3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43.9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In-context learning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Chinchilla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67.3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+23.4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Compute-optimal scaling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GPT-4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86.4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+19.1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RLHF + large-scale pretraining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Claude 3 Opus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87.1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+0.7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Constitutional AI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LLaMA 3 405B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87.3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+0.2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Open-source scaling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Claude 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+2.9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Improved reasoning pipeline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Gemini 2.0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-0.1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Multimodal native training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DeepSeek-V3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89.4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-0.8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MoE architecture</w:t>
            </w:r>
          </w:p>
        </w:tc>
      </w:tr>
    </w:tbl>
    <w:p>
      <w:pPr>
        <w:spacing w:after="0" w:before="60"/>
      </w:pPr>
    </w:p>
    <w:p>
      <w:pPr>
        <w:spacing w:after="12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Table 9: MMLU score progression from GPT-3 to current state-of-the-art models.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8.2 ImageNet Top-1 Accuracy Over Time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ImageNet accuracy has improved from 63% in 2012 (AlexNet) to 91.8% in 2025 (ViT-H/14 MAE). Key milestones: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Top-1 Acc.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Architecture 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AlexNet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CNN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62M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2014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VGG-16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71.6%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CNN (deep)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138M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ResNet-152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78.6%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Residual CNN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60M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2017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DenseNet-201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80.9%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Dense CNN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20M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2019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EfficientNet-B7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84.3%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Compound-scaled CNN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66M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ViT-L/16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87.1%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Pure Transformer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307M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ConvNeXt-XL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88.1%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Modernized CNN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350M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ViT-H/14 MAE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91.8%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Self-supervised ViT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632M</w:t>
            </w:r>
          </w:p>
        </w:tc>
      </w:tr>
    </w:tbl>
    <w:p>
      <w:pPr>
        <w:spacing w:after="0" w:before="60"/>
      </w:pPr>
    </w:p>
    <w:p>
      <w:pPr>
        <w:spacing w:after="12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Table 10: ImageNet Top-1 accuracy milestones showing the transition from CNNs to Transformers.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8.3 Benchmark Score Correlation Matrix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Understanding correlations between benchmarks helps identify redundancy and complementary capabilities. The following table shows approximate correlations between major LLM benchmarks based on model performance data.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MMLU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HellaSwag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ARC-C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GSM8K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HumanEval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TruthfulQA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MMLU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0.82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0.79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0.74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0.61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HellaSwag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0.82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0.85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0.71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0.68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0.55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ARC-C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0.85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0.76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0.72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GSM8K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0.79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0.71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0.76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0.80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0.52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HumanEval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0.74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0.68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0.72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0.80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0.49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TruthfulQA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0.61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0.49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1.00</w:t>
            </w:r>
          </w:p>
        </w:tc>
      </w:tr>
    </w:tbl>
    <w:p>
      <w:pPr>
        <w:spacing w:after="0" w:before="60"/>
      </w:pPr>
    </w:p>
    <w:p>
      <w:pPr>
        <w:spacing w:after="12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Table 11: Benchmark score correlation matrix. Values represent Pearson correlation coefficients across 20+ evaluated models.</w:t>
      </w:r>
    </w:p>
    <w:p>
      <w:pPr>
        <w:pStyle w:val="Title"/>
        <w:spacing w:after="120" w:before="0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9. Best Practices for Benchmarking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Rigorous benchmarking requires careful methodology to ensure results are meaningful and reproducible. The following best practices are recommended: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Reproducibility: Always report random seeds, hardware configuration, framework versions, and preprocessing pipelines.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Statistical Significance: Report results over multiple runs (at least 3-5) with mean and standard deviation.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Hold-out Methodology: Maintain strict separation between training, validation, and test sets. Avoid any data leakage.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Fair Comparison: Use identical evaluation conditions same preprocessing, batch size, and hardware where possible.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Multiple Metrics: Report complementar metrics (e.g., accuracy + F1 + AUC) to avoid misleading conclusions from any single metric.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Confidence Intervals: Include 95% confidence intervals for all reported metrics, especially for smaller datasets.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Compute Budget Reporting: Document the computational resources used including GPU/TPU hours, energy consumption, and cost.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Bias &amp; Fairness Evaluation: Evaluate model performance across different demographic groups, data slices, and edge cases.</w:t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itle"/>
        <w:spacing w:after="120" w:before="0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10. Limitations and Pitfalls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While benchmarks are essential tools for progress tracking, they have significant limitations that must be acknowledged: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10.1 Benchmark Contamination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critical issue in modern ML evaluation is benchmark contamination: when training data includes test set examples. Studies have shown that many popular models have been trained on data that overlaps with benchmark test sets, inflating reported performance.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Solutions include using held-out adversarial splits, dynamic benchmark generation, and always reporting contamination checks.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10.2 Metric Gaming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Models can be optimized to artificially inflate benchmark scores without improving actual capabilities. Examples include: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Overfitting to the test set through multiple submissions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Using external knowledge sources not available at inference time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Engineering outputs to match evaluation heuristics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Training on synthetic data designed to boost specific benchmarks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10.3 Narrow Scope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Most benchmarks measure narrow, isolated capabilities. A model that excels at MMLU may still fail at basic reasoning tasks, exhibit biases, or lack robustness to distribution shift.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ML community is increasingly moving toward holistic evaluation frameworks that assess safety, alignment, fairness, and real-world utility alongside raw performance.</w:t>
      </w:r>
    </w:p>
    <w:p>
      <w:pPr>
        <w:spacing w:after="0" w:before="200"/>
      </w:pPr>
    </w:p>
    <w:p>
      <w:pPr>
        <w:pStyle w:val="Title"/>
        <w:spacing w:after="120" w:before="0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11. Future Directions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field of ML evaluation is evolving rapidly. Key trends and future directions include: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11.1 Dynamic &amp; Adaptive Benchmarks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Static benchmarks with fixed test sets are increasingly unreliable. Future benchmarks will be dynamic: automatically generating new test examples, adapting to model capabilities, and providing harder questions as models improve.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11.2 Multimodal Evaluation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 models become increasingly multimodal, benchmarks must evaluate cross-modal capabilities: image understanding + reasoning, audio + text, video + language, and more complex combinations.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11.3 Agentic &amp; Long-Horizon Tasks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next frontier is evaluating AI agents capable of multi-step planning, tool use, web navigation, and extended autonomous operation. Benchmarks like SWE-Bench (software engineering), GAIA (general AI assistants), and AgentBench represent this direction.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11.4 Safety &amp; Alignment Benchmarks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 models grow more capable, evaluating safety, truthfulness, and alignment becomes paramount. Emerging benchmarks focus on: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Truthful reasoning and hallucination detection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Bias and fairness across demographic groups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Robustness to adversarial inputs and distribution shift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Value alignment and refusal behavior for harmful requests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Constitutional adherence and policy compliance</w:t>
      </w:r>
    </w:p>
    <w:p>
      <w:pPr>
        <w:spacing w:after="0" w:before="200"/>
      </w:pPr>
    </w:p>
    <w:p>
      <w:pPr>
        <w:pStyle w:val="Title"/>
        <w:spacing w:after="120" w:before="0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12. Conclusion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Model evaluation benchmarks are indispensable tools for measuring progress in artificial intelligence. From foundational datasets like ImageNet (2010) to comprehensive LLM evaluations like MMLU and agentic benchmarks like SWE-Bench, the evaluation landscape continues to evolve alongside the capabilities it measures.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takeaways: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Benchmarks provide standardized, comparable measures of model performance across diverse tasks.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Performance on benchmarks has improved dramatically, with ImageNet accuracy rising from 63% to 92% and MMLU from 44% to 90% in just a few years.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No single benchmark is sufficient; comprehensive evaluation requires multiple metrics, diverse datasets, and domain-specific assessment.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Benchmark contamination, metric gaming, and narrow scope are significant concerns that require ongoing vigilance.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 The future of evaluation lies in dynamic, multimodal, agentic, and safety-focused benchmarks that better capture real-world AI capabilities.</w:t>
      </w:r>
    </w:p>
    <w:p>
      <w:pPr>
        <w:spacing w:after="0" w:before="200"/>
      </w:pPr>
    </w:p>
    <w:p>
      <w:pPr>
        <w:pBdr>
          <w:top w:val="single" w:color="2563EB" w:sz="2" w:space="12"/>
        </w:pBdr>
        <w:spacing w:after="200" w:before="2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End of Document</w:t>
      </w:r>
    </w:p>
    <w:sectPr>
      <w:headerReference w:type="default" r:id="rId17"/>
      <w:footerReference w:type="default" r:id="rId1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of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Model Evaluation Benchmarks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Model Evaluation Benchmarks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Model Evaluation Benchmarks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Model Evaluation Benchmarks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Model Evaluation Benchmarks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Model Evaluation Benchmarks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Evaluation Benchmarks</dc:title>
  <dc:creator>Un-named</dc:creator>
  <dc:description>A comprehensive guide to model evaluation benchmarks in machine learning</dc:description>
  <cp:lastModifiedBy>Un-named</cp:lastModifiedBy>
  <cp:revision>1</cp:revision>
  <dcterms:created xsi:type="dcterms:W3CDTF">2026-06-27T18:03:42.109Z</dcterms:created>
  <dcterms:modified xsi:type="dcterms:W3CDTF">2026-06-27T18:03:42.116Z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