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ЗИ</w:t>
      </w:r>
    </w:p>
    <w:p w:rsidR="009443EC" w:rsidRDefault="009443EC" w:rsidP="002E76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="002E760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 практическому занятию № 5-6</w:t>
      </w:r>
    </w:p>
    <w:p w:rsidR="009443EC" w:rsidRDefault="009443EC" w:rsidP="002E76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="002E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«Патентные исследования и промышленная собственность»</w:t>
      </w: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6DF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группы 82</w:t>
      </w:r>
      <w:r w:rsidR="002E760A">
        <w:rPr>
          <w:rFonts w:ascii="Times New Roman" w:hAnsi="Times New Roman" w:cs="Times New Roman"/>
          <w:sz w:val="28"/>
          <w:szCs w:val="28"/>
        </w:rPr>
        <w:t>0601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 w:rsidR="005636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6DF">
        <w:rPr>
          <w:rFonts w:ascii="Times New Roman" w:hAnsi="Times New Roman" w:cs="Times New Roman"/>
          <w:sz w:val="28"/>
          <w:szCs w:val="28"/>
        </w:rPr>
        <w:t>Столер</w:t>
      </w:r>
      <w:proofErr w:type="spellEnd"/>
      <w:r w:rsidR="005636DF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Букшта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П.А.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А.Р.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Шведов А.Р.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5636DF" w:rsidRDefault="005636DF" w:rsidP="009443EC">
      <w:pPr>
        <w:rPr>
          <w:rFonts w:ascii="yandex-sans" w:hAnsi="yandex-sans"/>
          <w:color w:val="000000"/>
          <w:sz w:val="28"/>
          <w:szCs w:val="28"/>
          <w:shd w:val="clear" w:color="auto" w:fill="FFFFFF"/>
        </w:rPr>
      </w:pPr>
    </w:p>
    <w:p w:rsidR="009443EC" w:rsidRDefault="005C4959" w:rsidP="009443EC">
      <w:pPr>
        <w:rPr>
          <w:rFonts w:ascii="yandex-sans" w:hAnsi="yandex-sans"/>
          <w:color w:val="000000"/>
          <w:sz w:val="28"/>
          <w:szCs w:val="28"/>
          <w:shd w:val="clear" w:color="auto" w:fill="FFFFFF"/>
        </w:rPr>
      </w:pPr>
      <w:r>
        <w:rPr>
          <w:rFonts w:ascii="yandex-sans" w:hAnsi="yandex-sans"/>
          <w:color w:val="000000"/>
          <w:sz w:val="28"/>
          <w:szCs w:val="28"/>
          <w:shd w:val="clear" w:color="auto" w:fill="FFFFFF"/>
        </w:rPr>
        <w:lastRenderedPageBreak/>
        <w:t>Таблица 1 – Результаты проведения патентного поиска</w:t>
      </w:r>
    </w:p>
    <w:tbl>
      <w:tblPr>
        <w:tblStyle w:val="11"/>
        <w:tblpPr w:leftFromText="180" w:rightFromText="180" w:horzAnchor="margin" w:tblpXSpec="center" w:tblpY="864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3085"/>
        <w:gridCol w:w="2410"/>
        <w:gridCol w:w="2007"/>
      </w:tblGrid>
      <w:tr w:rsidR="009443EC" w:rsidTr="00F65EA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Страна выдачи,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охранного документа,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классификационный индекс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(МПК), статус (действует/не</w:t>
            </w:r>
            <w:proofErr w:type="gramEnd"/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действует)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Заявитель (патентообладатель), авторы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страна, номер заявки, дата подачи заявки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(приоритета), дата публикации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патента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443EC" w:rsidTr="00F65EA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9443EC" w:rsidTr="00F65EA7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D845E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Торшер с регулятором освещения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страна выдачи: BY;</w:t>
            </w:r>
          </w:p>
          <w:p w:rsidR="00F65EA7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номер патента: 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U </w:t>
            </w:r>
            <w:r w:rsidR="00083211">
              <w:rPr>
                <w:rFonts w:ascii="Times New Roman" w:eastAsia="Calibri" w:hAnsi="Times New Roman" w:cs="Times New Roman"/>
                <w:sz w:val="28"/>
                <w:szCs w:val="28"/>
              </w:rPr>
              <w:t>10243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9443EC" w:rsidRDefault="0008321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индекс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9/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>4 (2006.01), 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>0 (2006.01)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статус: действует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EA7" w:rsidRPr="002E760A" w:rsidRDefault="0008321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Жуковский Юрий Владимирович</w:t>
            </w:r>
          </w:p>
          <w:p w:rsidR="009443EC" w:rsidRPr="002E760A" w:rsidRDefault="00F65EA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BY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>, номер заявки: u 201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40017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публикации: </w:t>
            </w:r>
            <w:r w:rsidR="00083211">
              <w:rPr>
                <w:rFonts w:ascii="Times New Roman" w:eastAsia="Calibri" w:hAnsi="Times New Roman" w:cs="Times New Roman"/>
                <w:sz w:val="28"/>
                <w:szCs w:val="28"/>
              </w:rPr>
              <w:t>30.08.2014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EC" w:rsidRDefault="0008321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Устройство для поддержания уровня освещенности в помещении и система регулирования уровня освещенности в помещении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443EC" w:rsidTr="00F65EA7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страна выдачи: </w:t>
            </w:r>
            <w:r w:rsidR="00F65E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</w:t>
            </w:r>
            <w:proofErr w:type="gramStart"/>
            <w:r w:rsidR="00F65E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  <w:proofErr w:type="gramEnd"/>
          </w:p>
          <w:p w:rsidR="00F65EA7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номер патента: </w:t>
            </w:r>
          </w:p>
          <w:p w:rsidR="009443EC" w:rsidRDefault="00F65EA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 10272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индекс </w:t>
            </w:r>
            <w:r w:rsidR="00F65EA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="00F65EA7"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="00F65EA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F65E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5EA7"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F65EA7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 w:rsidR="00F65EA7"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(2006.01)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статус: действует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EC" w:rsidRDefault="00F65EA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ЧАН Мэн-Лунь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TW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),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номер заявки: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Pr="002E760A">
              <w:rPr>
                <w:rFonts w:ascii="Times New Roman" w:eastAsia="Calibri" w:hAnsi="Times New Roman" w:cs="Times New Roman"/>
                <w:sz w:val="28"/>
                <w:szCs w:val="28"/>
              </w:rPr>
              <w:t>20131011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9443EC" w:rsidRDefault="00F65EA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публикации: 30.08</w:t>
            </w:r>
            <w:r w:rsidR="009443EC">
              <w:rPr>
                <w:rFonts w:ascii="Times New Roman" w:eastAsia="Calibri" w:hAnsi="Times New Roman" w:cs="Times New Roman"/>
                <w:sz w:val="28"/>
                <w:szCs w:val="28"/>
              </w:rPr>
              <w:t>.2014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EC" w:rsidRDefault="00F65EA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Устройство регулирования яркости светоизлучающего устройства в транспортном средстве </w:t>
            </w:r>
          </w:p>
          <w:p w:rsidR="009443EC" w:rsidRDefault="009443E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DC7BD1" w:rsidRDefault="00DC7BD1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DB2FE" wp14:editId="6F18A365">
            <wp:extent cx="5940425" cy="8402955"/>
            <wp:effectExtent l="0" t="0" r="3175" b="0"/>
            <wp:docPr id="5" name="Рисунок 5" descr="http://bypatents.com/patents/u10272-ustrojjstvo-regulirovaniya-yarkosti-svetoizluchayushhego-ustrojjstva-v-transportnom-sredstv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ypatents.com/patents/u10272-ustrojjstvo-regulirovaniya-yarkosti-svetoizluchayushhego-ustrojjstva-v-transportnom-sredstv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EC" w:rsidRDefault="00DC7BD1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21628" wp14:editId="3AB8EEA6">
            <wp:extent cx="5940425" cy="8402955"/>
            <wp:effectExtent l="0" t="0" r="3175" b="0"/>
            <wp:docPr id="6" name="Рисунок 6" descr="http://bypatents.com/patents/u10243-ustrojjstvo-dlya-podderzhaniya-urovnya-osveshhyonnosti-v-pomeshhenii-i-sistema-regulirovaniya-urovnya-osveshhyonnosti-v-pomeshheni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ypatents.com/patents/u10243-ustrojjstvo-dlya-podderzhaniya-urovnya-osveshhyonnosti-v-pomeshhenii-i-sistema-regulirovaniya-urovnya-osveshhyonnosti-v-pomeshhenii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20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60"/>
        <w:gridCol w:w="2877"/>
        <w:gridCol w:w="363"/>
        <w:gridCol w:w="540"/>
        <w:gridCol w:w="720"/>
        <w:gridCol w:w="180"/>
        <w:gridCol w:w="900"/>
        <w:gridCol w:w="180"/>
        <w:gridCol w:w="53"/>
        <w:gridCol w:w="847"/>
        <w:gridCol w:w="180"/>
        <w:gridCol w:w="720"/>
        <w:gridCol w:w="2700"/>
      </w:tblGrid>
      <w:tr w:rsidR="009443EC" w:rsidTr="009443EC">
        <w:trPr>
          <w:gridBefore w:val="1"/>
          <w:wBefore w:w="59" w:type="dxa"/>
          <w:trHeight w:val="1066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43EC" w:rsidRDefault="009443EC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Дата поступления заявки на выдачу патента на полезную модель:</w:t>
            </w:r>
          </w:p>
        </w:tc>
        <w:tc>
          <w:tcPr>
            <w:tcW w:w="28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43EC" w:rsidRDefault="009443EC">
            <w:pPr>
              <w:spacing w:after="0" w:line="240" w:lineRule="exact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подачи заявки на выдачу патента на полезную модель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43EC" w:rsidRDefault="009443EC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номер заявки на выдачу патента на полезную модель:</w:t>
            </w:r>
          </w:p>
        </w:tc>
      </w:tr>
      <w:tr w:rsidR="009443EC" w:rsidTr="009443EC">
        <w:trPr>
          <w:gridBefore w:val="1"/>
          <w:wBefore w:w="59" w:type="dxa"/>
          <w:cantSplit/>
          <w:trHeight w:hRule="exact" w:val="1444"/>
        </w:trPr>
        <w:tc>
          <w:tcPr>
            <w:tcW w:w="66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ЗАЯВЛЕНИЕ</w:t>
            </w:r>
          </w:p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 выдаче патента Республики Беларусь на полезную модель</w:t>
            </w:r>
          </w:p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государственное учреждение «Национальный центр 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интеллектуальной собственности»</w:t>
            </w:r>
          </w:p>
        </w:tc>
      </w:tr>
      <w:tr w:rsidR="009443EC" w:rsidTr="009443EC">
        <w:trPr>
          <w:gridBefore w:val="1"/>
          <w:wBefore w:w="59" w:type="dxa"/>
          <w:cantSplit/>
          <w:trHeight w:val="227"/>
        </w:trPr>
        <w:tc>
          <w:tcPr>
            <w:tcW w:w="102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Заявитель (заявители)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443EC" w:rsidTr="009443EC">
        <w:trPr>
          <w:gridBefore w:val="1"/>
          <w:wBefore w:w="59" w:type="dxa"/>
          <w:cantSplit/>
          <w:trHeight w:val="1666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ET" w:eastAsia="Times New Roman" w:hAnsi="TimesET" w:cs="Times New Roman"/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:rsidR="009443EC" w:rsidRDefault="00950E82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sz w:val="20"/>
                <w:szCs w:val="20"/>
              </w:rPr>
              <w:t>Букшта</w:t>
            </w:r>
            <w:proofErr w:type="spellEnd"/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Павел Александрович</w:t>
            </w:r>
          </w:p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9443EC" w:rsidRDefault="00950E82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Шведов Андрей Робертович</w:t>
            </w:r>
          </w:p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9443EC" w:rsidRDefault="00950E82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Петренко Алексей Русланович</w:t>
            </w:r>
          </w:p>
        </w:tc>
      </w:tr>
      <w:tr w:rsidR="009443EC" w:rsidTr="009443EC">
        <w:trPr>
          <w:gridBefore w:val="1"/>
          <w:wBefore w:w="59" w:type="dxa"/>
          <w:cantSplit/>
          <w:trHeight w:hRule="exact" w:val="2014"/>
        </w:trPr>
        <w:tc>
          <w:tcPr>
            <w:tcW w:w="7560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Адрес места жительства (места пребывания) или места нахождения: </w:t>
            </w:r>
          </w:p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</w:p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</w:p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</w:p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  <w:t>Номер телефона:                        Номер факса:                   Адрес электронной почты:</w:t>
            </w:r>
          </w:p>
          <w:p w:rsidR="009443EC" w:rsidRDefault="009443EC" w:rsidP="00950E82">
            <w:pPr>
              <w:autoSpaceDE w:val="0"/>
              <w:autoSpaceDN w:val="0"/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  <w:t xml:space="preserve">                                                                                               </w:t>
            </w:r>
            <w:r w:rsidR="00950E82"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  <w:lang w:val="en-US"/>
              </w:rPr>
              <w:t>mypost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ET" w:eastAsia="Times New Roman" w:hAnsi="TimesET" w:cs="Times New Roman"/>
                <w:spacing w:val="-8"/>
                <w:sz w:val="20"/>
                <w:szCs w:val="20"/>
              </w:rPr>
              <w:t>Код страны места жительства</w:t>
            </w:r>
            <w:r>
              <w:rPr>
                <w:rFonts w:ascii="TimesET" w:eastAsia="Times New Roman" w:hAnsi="TimesET" w:cs="Times New Roman"/>
                <w:sz w:val="20"/>
                <w:szCs w:val="20"/>
              </w:rPr>
              <w:t xml:space="preserve"> </w:t>
            </w:r>
            <w:r>
              <w:rPr>
                <w:rFonts w:ascii="TimesET" w:eastAsia="Times New Roman" w:hAnsi="TimesET" w:cs="Times New Roman"/>
                <w:spacing w:val="-10"/>
                <w:sz w:val="20"/>
                <w:szCs w:val="20"/>
              </w:rPr>
              <w:t>(места пребывания) или места</w:t>
            </w:r>
            <w:r>
              <w:rPr>
                <w:rFonts w:ascii="TimesET" w:eastAsia="Times New Roman" w:hAnsi="TimesET" w:cs="Times New Roman"/>
                <w:sz w:val="20"/>
                <w:szCs w:val="20"/>
              </w:rPr>
              <w:t xml:space="preserve"> нахождения по стандарту Всемирной организации интеллектуальной собственности (далее – ВОИС) </w:t>
            </w:r>
            <w:proofErr w:type="gramStart"/>
            <w:r>
              <w:rPr>
                <w:rFonts w:ascii="TimesET" w:eastAsia="Times New Roman" w:hAnsi="TimesET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ET" w:eastAsia="Times New Roman" w:hAnsi="TimesET" w:cs="Times New Roman"/>
                <w:sz w:val="20"/>
                <w:szCs w:val="20"/>
              </w:rPr>
              <w:t>Т.3 (если он установлен):</w:t>
            </w:r>
          </w:p>
          <w:p w:rsidR="009443EC" w:rsidRDefault="009443EC">
            <w:pPr>
              <w:autoSpaceDE w:val="0"/>
              <w:autoSpaceDN w:val="0"/>
              <w:spacing w:after="0" w:line="200" w:lineRule="exact"/>
              <w:jc w:val="center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BY</w:t>
            </w:r>
          </w:p>
        </w:tc>
      </w:tr>
      <w:tr w:rsidR="009443EC" w:rsidTr="009443EC">
        <w:trPr>
          <w:gridBefore w:val="1"/>
          <w:wBefore w:w="59" w:type="dxa"/>
          <w:cantSplit/>
          <w:trHeight w:val="582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ascii="TimesET" w:eastAsia="Times New Roman" w:hAnsi="TimesET" w:cs="Times New Roman"/>
                <w:sz w:val="14"/>
                <w:szCs w:val="14"/>
              </w:rPr>
            </w:pPr>
          </w:p>
          <w:p w:rsidR="009443EC" w:rsidRDefault="009443EC">
            <w:pPr>
              <w:autoSpaceDE w:val="0"/>
              <w:autoSpaceDN w:val="0"/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ET" w:eastAsia="Times New Roman" w:hAnsi="TimesET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ET" w:eastAsia="Times New Roman" w:hAnsi="TimesET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ET" w:eastAsia="Times New Roman" w:hAnsi="TimesET" w:cs="Times New Roman"/>
                <w:sz w:val="14"/>
                <w:szCs w:val="14"/>
              </w:rPr>
            </w:r>
            <w:r w:rsidR="00B537FB">
              <w:rPr>
                <w:rFonts w:ascii="TimesET" w:eastAsia="Times New Roman" w:hAnsi="TimesET" w:cs="Times New Roman"/>
                <w:sz w:val="14"/>
                <w:szCs w:val="14"/>
              </w:rPr>
              <w:fldChar w:fldCharType="separate"/>
            </w:r>
            <w:r>
              <w:rPr>
                <w:rFonts w:ascii="TimesET" w:eastAsia="Times New Roman" w:hAnsi="TimesET" w:cs="Times New Roman"/>
                <w:sz w:val="14"/>
                <w:szCs w:val="14"/>
              </w:rPr>
              <w:fldChar w:fldCharType="end"/>
            </w:r>
            <w:r>
              <w:rPr>
                <w:rFonts w:ascii="TimesET" w:eastAsia="Times New Roman" w:hAnsi="TimesET" w:cs="Times New Roman"/>
                <w:sz w:val="14"/>
                <w:szCs w:val="14"/>
              </w:rPr>
              <w:t xml:space="preserve"> </w:t>
            </w:r>
            <w:r>
              <w:rPr>
                <w:rFonts w:ascii="TimesET" w:eastAsia="Times New Roman" w:hAnsi="TimesET" w:cs="Times New Roman"/>
                <w:sz w:val="18"/>
                <w:szCs w:val="18"/>
              </w:rPr>
              <w:t>смотреть продолжение на дополнительном листе (листах)</w:t>
            </w:r>
          </w:p>
        </w:tc>
      </w:tr>
      <w:tr w:rsidR="009443EC" w:rsidTr="009443EC">
        <w:trPr>
          <w:gridBefore w:val="1"/>
          <w:wBefore w:w="59" w:type="dxa"/>
          <w:trHeight w:hRule="exact" w:val="491"/>
        </w:trPr>
        <w:tc>
          <w:tcPr>
            <w:tcW w:w="5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Общегосударственный классификатор предприятий и организаций Республики Беларусь  (далее – ОКПО)</w:t>
            </w:r>
          </w:p>
        </w:tc>
        <w:tc>
          <w:tcPr>
            <w:tcW w:w="45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Учетный номер плательщика (далее – УНП)</w:t>
            </w:r>
          </w:p>
        </w:tc>
      </w:tr>
      <w:tr w:rsidR="009443EC" w:rsidTr="009443EC">
        <w:trPr>
          <w:gridBefore w:val="1"/>
          <w:wBefore w:w="59" w:type="dxa"/>
          <w:trHeight w:val="81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наличии):</w:t>
            </w:r>
          </w:p>
        </w:tc>
      </w:tr>
      <w:tr w:rsidR="009443EC" w:rsidTr="009443EC">
        <w:trPr>
          <w:gridBefore w:val="1"/>
          <w:wBefore w:w="59" w:type="dxa"/>
          <w:trHeight w:val="1584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Название заявляемой полезной модели (группы полезных моделей),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которое должно совпадать с названием, приводимым в описании полезной модели:</w:t>
            </w:r>
          </w:p>
          <w:p w:rsidR="009443EC" w:rsidRDefault="00950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Open Sans" w:hAnsi="Open Sans"/>
                <w:b/>
                <w:color w:val="000000"/>
                <w:sz w:val="20"/>
                <w:szCs w:val="20"/>
                <w:shd w:val="clear" w:color="auto" w:fill="FFFFFF"/>
              </w:rPr>
              <w:t>Торшер с регулятором освещения</w:t>
            </w:r>
          </w:p>
        </w:tc>
      </w:tr>
      <w:tr w:rsidR="009443EC" w:rsidTr="009443EC">
        <w:trPr>
          <w:gridBefore w:val="1"/>
          <w:wBefore w:w="59" w:type="dxa"/>
          <w:cantSplit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подачи первоначальной заявки на выдачу патента на  полезную модель:</w:t>
            </w:r>
          </w:p>
        </w:tc>
      </w:tr>
      <w:tr w:rsidR="009443EC" w:rsidTr="009443EC">
        <w:trPr>
          <w:gridBefore w:val="1"/>
          <w:wBefore w:w="59" w:type="dxa"/>
          <w:cantSplit/>
          <w:trHeight w:val="550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первоначальной заявки на выдачу патента на полезную модель:</w:t>
            </w:r>
          </w:p>
        </w:tc>
      </w:tr>
      <w:tr w:rsidR="009443EC" w:rsidTr="009443EC">
        <w:trPr>
          <w:gridBefore w:val="1"/>
          <w:wBefore w:w="59" w:type="dxa"/>
          <w:trHeight w:val="37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Прошу (просим) установить приоритет полезной модели по дате:</w:t>
            </w:r>
          </w:p>
        </w:tc>
      </w:tr>
      <w:tr w:rsidR="009443EC" w:rsidTr="009443EC">
        <w:trPr>
          <w:gridBefore w:val="1"/>
          <w:wBefore w:w="59" w:type="dxa"/>
          <w:trHeight w:val="1341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ind w:left="227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9443EC" w:rsidRDefault="009443EC">
            <w:pPr>
              <w:spacing w:after="0" w:line="240" w:lineRule="auto"/>
              <w:ind w:left="227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:rsidR="009443EC" w:rsidRDefault="009443EC">
            <w:pPr>
              <w:spacing w:after="0" w:line="240" w:lineRule="auto"/>
              <w:ind w:left="227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подачи более ранней заявки на выдачу патента на полезную модель в государственное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9443EC" w:rsidTr="009443EC">
        <w:trPr>
          <w:gridBefore w:val="1"/>
          <w:wBefore w:w="59" w:type="dxa"/>
          <w:cantSplit/>
          <w:trHeight w:hRule="exact" w:val="913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Код страны подачи по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стандарту ВОИС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Т.3 (при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испрашивании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конвенционного приоритета)</w:t>
            </w:r>
          </w:p>
        </w:tc>
      </w:tr>
      <w:tr w:rsidR="009443EC" w:rsidTr="009443EC">
        <w:trPr>
          <w:gridBefore w:val="1"/>
          <w:wBefore w:w="59" w:type="dxa"/>
          <w:cantSplit/>
          <w:trHeight w:hRule="exact" w:val="551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40" w:lineRule="auto"/>
              <w:ind w:left="227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3EC" w:rsidTr="009443EC">
        <w:trPr>
          <w:trHeight w:val="916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Адрес для переписки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соответствии с правилами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 </w:t>
            </w:r>
            <w:proofErr w:type="spellStart"/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пр</w:t>
            </w:r>
            <w:proofErr w:type="gramStart"/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.Д</w:t>
            </w:r>
            <w:proofErr w:type="gramEnd"/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зержинского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, д.</w:t>
            </w:r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, кв. </w:t>
            </w:r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1112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, </w:t>
            </w:r>
            <w:r w:rsidR="0006298A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220122,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г. Минск,  </w:t>
            </w:r>
            <w:proofErr w:type="spellStart"/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Букшта</w:t>
            </w:r>
            <w:proofErr w:type="spellEnd"/>
            <w:r w:rsidR="00DC7BD1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 П.А.</w:t>
            </w:r>
          </w:p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3EC" w:rsidTr="009443EC">
        <w:trPr>
          <w:trHeight w:hRule="exact" w:val="494"/>
        </w:trPr>
        <w:tc>
          <w:tcPr>
            <w:tcW w:w="2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Номер телефона: </w:t>
            </w:r>
            <w:r w:rsidR="00DC7BD1">
              <w:rPr>
                <w:rFonts w:ascii="Times New Roman" w:eastAsia="Times New Roman" w:hAnsi="Times New Roman" w:cs="Times New Roman"/>
                <w:sz w:val="20"/>
                <w:szCs w:val="20"/>
              </w:rPr>
              <w:t>2345987</w:t>
            </w:r>
          </w:p>
        </w:tc>
        <w:tc>
          <w:tcPr>
            <w:tcW w:w="2936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факса:</w:t>
            </w:r>
          </w:p>
        </w:tc>
        <w:tc>
          <w:tcPr>
            <w:tcW w:w="4447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7BD1" w:rsidRPr="002E760A" w:rsidRDefault="009443EC" w:rsidP="00DC7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 электронной почты:</w:t>
            </w:r>
          </w:p>
          <w:p w:rsidR="009443EC" w:rsidRDefault="009443EC" w:rsidP="00DC7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  <w:t xml:space="preserve"> </w:t>
            </w:r>
            <w:proofErr w:type="spellStart"/>
            <w:r w:rsidR="00DC7BD1"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  <w:lang w:val="en-US"/>
              </w:rPr>
              <w:t>mypost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  <w:t>@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  <w:lang w:val="en-US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18"/>
                <w:lang w:val="en-US"/>
              </w:rPr>
              <w:t>com</w:t>
            </w:r>
          </w:p>
        </w:tc>
      </w:tr>
      <w:tr w:rsidR="009443EC" w:rsidTr="009443EC">
        <w:trPr>
          <w:trHeight w:val="1274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Представитель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:rsidR="009443EC" w:rsidRDefault="009443EC">
            <w:pPr>
              <w:tabs>
                <w:tab w:val="left" w:pos="284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443EC" w:rsidRDefault="009443EC">
            <w:pPr>
              <w:tabs>
                <w:tab w:val="left" w:pos="284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является: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патентным поверенным;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общим представителем </w:t>
            </w:r>
          </w:p>
          <w:p w:rsidR="009443EC" w:rsidRDefault="009443EC">
            <w:pPr>
              <w:tabs>
                <w:tab w:val="left" w:pos="284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Номер телефона:     </w:t>
            </w:r>
            <w:r w:rsidR="00DD49A9">
              <w:rPr>
                <w:rFonts w:ascii="Times New Roman" w:eastAsia="Times New Roman" w:hAnsi="Times New Roman" w:cs="Times New Roman"/>
                <w:sz w:val="20"/>
                <w:szCs w:val="20"/>
              </w:rPr>
              <w:t>2345987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Номер факса:                                     Адрес электронной почты:</w:t>
            </w:r>
          </w:p>
        </w:tc>
      </w:tr>
      <w:tr w:rsidR="009443EC" w:rsidTr="009443EC">
        <w:trPr>
          <w:trHeight w:hRule="exact" w:val="715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Перечень прилагаемых документов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Количество экземпляров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9443EC" w:rsidTr="009443EC">
        <w:trPr>
          <w:cantSplit/>
          <w:trHeight w:val="4192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полезной модели</w:t>
            </w: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формула полезной модели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8240" behindDoc="0" locked="0" layoutInCell="1" allowOverlap="1" wp14:anchorId="3EB5BAAD" wp14:editId="5CC75E01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0" t="0" r="0" b="0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"/>
                  </w:pict>
                </mc:Fallback>
              </mc:AlternateContent>
            </w: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реферат</w:t>
            </w: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9443EC" w:rsidRDefault="009443EC">
            <w:pPr>
              <w:tabs>
                <w:tab w:val="left" w:pos="28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документ об уплате патентной пошлины</w:t>
            </w:r>
          </w:p>
          <w:p w:rsidR="009443EC" w:rsidRDefault="009443EC">
            <w:pPr>
              <w:tabs>
                <w:tab w:val="left" w:pos="284"/>
              </w:tabs>
              <w:spacing w:after="0" w:line="20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9443EC" w:rsidRDefault="0094593D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593D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593D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43EC" w:rsidRDefault="009443EC">
            <w:pPr>
              <w:spacing w:after="0" w:line="180" w:lineRule="exact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Заявитель (заявители) является: 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hAnsi="Times New Roman"/>
                <w:sz w:val="14"/>
                <w:szCs w:val="14"/>
              </w:rPr>
            </w:r>
            <w:r w:rsidR="00B537FB">
              <w:rPr>
                <w:rFonts w:ascii="Times New Roman" w:hAnsi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1) автором (соавторами); 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2) нанимателем автора;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3) заказчиком по договору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 выполнение научно-исследовательских, опытно-конструкторских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лицами, указанными в пунктах 1) 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3);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:rsidR="009443EC" w:rsidRDefault="009443EC">
            <w:pPr>
              <w:spacing w:after="0" w:line="180" w:lineRule="exact"/>
              <w:jc w:val="both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:rsidR="009443EC" w:rsidRDefault="009443EC">
            <w:pPr>
              <w:tabs>
                <w:tab w:val="left" w:pos="198"/>
                <w:tab w:val="left" w:pos="425"/>
              </w:tabs>
              <w:spacing w:after="0" w:line="180" w:lineRule="exact"/>
              <w:rPr>
                <w:rFonts w:ascii="Wingdings" w:eastAsia="Times New Roman" w:hAnsi="Wingdings" w:cs="Times New Roman"/>
                <w:sz w:val="18"/>
                <w:szCs w:val="18"/>
              </w:rPr>
            </w:pPr>
          </w:p>
          <w:p w:rsidR="009443EC" w:rsidRDefault="009443EC">
            <w:pPr>
              <w:tabs>
                <w:tab w:val="left" w:pos="198"/>
                <w:tab w:val="left" w:pos="425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9443EC" w:rsidRDefault="009443EC">
            <w:pPr>
              <w:tabs>
                <w:tab w:val="left" w:pos="198"/>
                <w:tab w:val="left" w:pos="425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443EC" w:rsidRDefault="009443EC">
            <w:pPr>
              <w:tabs>
                <w:tab w:val="left" w:pos="198"/>
                <w:tab w:val="left" w:pos="425"/>
              </w:tabs>
              <w:spacing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8) правопреемником (правопреемниками)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>физического и (или) юридического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>лицами, указанными в пунктах 1) 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3)</w:t>
            </w:r>
          </w:p>
        </w:tc>
      </w:tr>
      <w:tr w:rsidR="009443EC" w:rsidTr="009443EC">
        <w:trPr>
          <w:trHeight w:val="31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Фигура №_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____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9443EC" w:rsidTr="009443EC">
        <w:trPr>
          <w:trHeight w:val="26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Автор (авторы): </w:t>
            </w:r>
          </w:p>
        </w:tc>
      </w:tr>
      <w:tr w:rsidR="009443EC" w:rsidTr="009443EC">
        <w:trPr>
          <w:trHeight w:val="1603"/>
        </w:trPr>
        <w:tc>
          <w:tcPr>
            <w:tcW w:w="4739" w:type="dxa"/>
            <w:gridSpan w:val="6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собственное имя и отчество (если таковое имеется):</w:t>
            </w:r>
          </w:p>
          <w:p w:rsidR="0006298A" w:rsidRDefault="0006298A" w:rsidP="0006298A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sz w:val="20"/>
                <w:szCs w:val="20"/>
              </w:rPr>
              <w:t>Букшта</w:t>
            </w:r>
            <w:proofErr w:type="spellEnd"/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Павел Александрович</w:t>
            </w:r>
          </w:p>
          <w:p w:rsidR="0006298A" w:rsidRDefault="0006298A" w:rsidP="0006298A">
            <w:pPr>
              <w:autoSpaceDE w:val="0"/>
              <w:autoSpaceDN w:val="0"/>
              <w:spacing w:after="0" w:line="200" w:lineRule="exact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Шведов Андрей Робертович</w:t>
            </w:r>
          </w:p>
          <w:p w:rsidR="009443EC" w:rsidRDefault="0006298A" w:rsidP="0006298A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Петренко Алексей Русланович</w:t>
            </w:r>
          </w:p>
        </w:tc>
        <w:tc>
          <w:tcPr>
            <w:tcW w:w="5580" w:type="dxa"/>
            <w:gridSpan w:val="7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Адрес места жительства (места пребывания), включая код страны по стандарту ВОИС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Т.3 (если он установлен):</w:t>
            </w:r>
          </w:p>
          <w:p w:rsidR="009443EC" w:rsidRDefault="0006298A">
            <w:pPr>
              <w:spacing w:after="0" w:line="200" w:lineRule="exact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пр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зержинского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, д.95, кв. 1112, 220122,г. Минск </w:t>
            </w:r>
            <w:r w:rsidR="009443EC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(</w:t>
            </w:r>
            <w:r w:rsidR="009443EC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en-US"/>
              </w:rPr>
              <w:t>BY</w:t>
            </w:r>
            <w:r w:rsidR="009443EC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)</w:t>
            </w:r>
          </w:p>
          <w:p w:rsidR="009443EC" w:rsidRDefault="009443EC">
            <w:pPr>
              <w:spacing w:after="0" w:line="200" w:lineRule="exact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ул. </w:t>
            </w:r>
            <w:proofErr w:type="spellStart"/>
            <w:r w:rsidR="0006298A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Чечота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, д. </w:t>
            </w:r>
            <w:r w:rsidR="0006298A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 xml:space="preserve">, кв. </w:t>
            </w:r>
            <w:r w:rsidR="0006298A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191,  220131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, г. Минск  (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en-US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)</w:t>
            </w:r>
          </w:p>
          <w:p w:rsidR="009443EC" w:rsidRDefault="009443EC" w:rsidP="0006298A">
            <w:pPr>
              <w:spacing w:after="0" w:line="20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Л</w:t>
            </w:r>
            <w:r w:rsidR="0006298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андера</w:t>
            </w:r>
            <w:proofErr w:type="spellEnd"/>
            <w:r w:rsidR="0006298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, д. 45, кв. 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06298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2</w:t>
            </w:r>
            <w:r w:rsidR="0006298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20145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, г. </w:t>
            </w:r>
            <w:r w:rsidR="0006298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Минск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BY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9443EC" w:rsidTr="009443EC">
        <w:trPr>
          <w:trHeight w:val="353"/>
        </w:trPr>
        <w:tc>
          <w:tcPr>
            <w:tcW w:w="10319" w:type="dxa"/>
            <w:gridSpan w:val="1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instrText xml:space="preserve"> FORMCHECKBOX </w:instrText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</w:r>
            <w:r w:rsidR="00B537FB"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смотреть продолжение на дополнительном листе (листах)</w:t>
            </w:r>
          </w:p>
        </w:tc>
      </w:tr>
      <w:tr w:rsidR="009443EC" w:rsidTr="009443EC">
        <w:trPr>
          <w:trHeight w:val="1449"/>
        </w:trPr>
        <w:tc>
          <w:tcPr>
            <w:tcW w:w="10319" w:type="dxa"/>
            <w:gridSpan w:val="1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Подпись (подписи) заявителя (заявителей)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  <w:proofErr w:type="gramEnd"/>
          </w:p>
          <w:p w:rsidR="009443EC" w:rsidRDefault="009443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</w:t>
            </w:r>
            <w:r>
              <w:rPr>
                <w:rFonts w:ascii="Times New Roman" w:hAnsi="Times New Roman"/>
                <w:i/>
                <w:sz w:val="20"/>
                <w:lang w:val="be-BY"/>
              </w:rPr>
              <w:t xml:space="preserve">(подпись)         </w:t>
            </w:r>
            <w:proofErr w:type="spellStart"/>
            <w:r w:rsidR="0006298A">
              <w:rPr>
                <w:rFonts w:eastAsia="Times New Roman" w:cs="Times New Roman"/>
                <w:b/>
                <w:sz w:val="20"/>
                <w:szCs w:val="20"/>
              </w:rPr>
              <w:t>Букшта</w:t>
            </w:r>
            <w:proofErr w:type="spellEnd"/>
            <w:r>
              <w:rPr>
                <w:rFonts w:ascii="Times New Roman" w:hAnsi="Times New Roman"/>
                <w:b/>
                <w:sz w:val="20"/>
                <w:lang w:val="be-BY"/>
              </w:rPr>
              <w:t xml:space="preserve"> 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П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 xml:space="preserve">. 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А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>.</w:t>
            </w:r>
            <w:r>
              <w:rPr>
                <w:rFonts w:ascii="Times New Roman" w:hAnsi="Times New Roman"/>
                <w:i/>
                <w:sz w:val="20"/>
                <w:lang w:val="be-BY"/>
              </w:rPr>
              <w:t xml:space="preserve">           (подпись)         </w:t>
            </w:r>
            <w:r w:rsidR="0006298A">
              <w:rPr>
                <w:rFonts w:eastAsia="Times New Roman" w:cs="Times New Roman"/>
                <w:b/>
                <w:sz w:val="20"/>
                <w:szCs w:val="20"/>
              </w:rPr>
              <w:t>Шведов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 xml:space="preserve"> 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А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 xml:space="preserve">. 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Р</w:t>
            </w:r>
            <w:r>
              <w:rPr>
                <w:rFonts w:ascii="Times New Roman" w:hAnsi="Times New Roman"/>
                <w:i/>
                <w:sz w:val="20"/>
                <w:lang w:val="be-BY"/>
              </w:rPr>
              <w:t xml:space="preserve">.          (подпись)          </w:t>
            </w:r>
            <w:r w:rsidR="0006298A">
              <w:rPr>
                <w:rFonts w:eastAsia="Times New Roman" w:cs="Times New Roman"/>
                <w:b/>
                <w:sz w:val="20"/>
                <w:szCs w:val="20"/>
              </w:rPr>
              <w:t>Петренко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 xml:space="preserve"> 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А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>.</w:t>
            </w:r>
            <w:r w:rsidR="0006298A">
              <w:rPr>
                <w:rFonts w:ascii="Times New Roman" w:hAnsi="Times New Roman"/>
                <w:b/>
                <w:sz w:val="20"/>
                <w:lang w:val="be-BY"/>
              </w:rPr>
              <w:t>Р</w:t>
            </w:r>
            <w:r>
              <w:rPr>
                <w:rFonts w:ascii="Times New Roman" w:hAnsi="Times New Roman"/>
                <w:b/>
                <w:sz w:val="20"/>
                <w:lang w:val="be-BY"/>
              </w:rPr>
              <w:t>.</w:t>
            </w:r>
            <w:r>
              <w:rPr>
                <w:rFonts w:ascii="Times New Roman" w:hAnsi="Times New Roman"/>
                <w:i/>
                <w:sz w:val="20"/>
                <w:lang w:val="be-BY"/>
              </w:rPr>
              <w:t xml:space="preserve">             </w:t>
            </w:r>
          </w:p>
          <w:p w:rsidR="009443EC" w:rsidRDefault="00944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подписания:</w:t>
            </w:r>
          </w:p>
        </w:tc>
      </w:tr>
    </w:tbl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</w:p>
    <w:p w:rsidR="0006298A" w:rsidRDefault="0006298A" w:rsidP="00A919E1">
      <w:pPr>
        <w:spacing w:after="0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629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Торшер с регулятором освещения</w:t>
      </w:r>
    </w:p>
    <w:p w:rsidR="008E2F7C" w:rsidRPr="008E2F7C" w:rsidRDefault="008E2F7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Близкий по технической сущности к нашему объекту является обычный торшер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  для освещения пространства.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Недостатком такого устройства является невозможность изменять уровень яркости. Это может быть неудобством для человека.</w:t>
      </w:r>
    </w:p>
    <w:p w:rsidR="00DD342B" w:rsidRDefault="00A919E1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данное изобретение, помимо освещения, содержит в себе датчики</w:t>
      </w:r>
      <w:r w:rsidR="00A24392">
        <w:rPr>
          <w:rFonts w:ascii="Times New Roman" w:hAnsi="Times New Roman" w:cs="Times New Roman"/>
          <w:sz w:val="28"/>
          <w:szCs w:val="28"/>
        </w:rPr>
        <w:t xml:space="preserve"> освещ</w:t>
      </w:r>
      <w:r w:rsidR="00931A53">
        <w:rPr>
          <w:rFonts w:ascii="Times New Roman" w:hAnsi="Times New Roman" w:cs="Times New Roman"/>
          <w:sz w:val="28"/>
          <w:szCs w:val="28"/>
        </w:rPr>
        <w:t xml:space="preserve">енности. </w:t>
      </w:r>
      <w:r w:rsidR="00A24392">
        <w:rPr>
          <w:rFonts w:ascii="Times New Roman" w:hAnsi="Times New Roman" w:cs="Times New Roman"/>
          <w:sz w:val="28"/>
          <w:szCs w:val="28"/>
        </w:rPr>
        <w:t xml:space="preserve">Приемопередатчик </w:t>
      </w:r>
      <w:r w:rsidR="00C6441D">
        <w:rPr>
          <w:rFonts w:ascii="Times New Roman" w:hAnsi="Times New Roman" w:cs="Times New Roman"/>
          <w:sz w:val="28"/>
          <w:szCs w:val="28"/>
        </w:rPr>
        <w:t xml:space="preserve">считывает информацию </w:t>
      </w:r>
      <w:r w:rsidR="00C6441D">
        <w:rPr>
          <w:rFonts w:ascii="Times New Roman" w:hAnsi="Times New Roman" w:cs="Times New Roman"/>
          <w:sz w:val="28"/>
          <w:szCs w:val="28"/>
        </w:rPr>
        <w:t>информации с датчиков, расположенных в корпусе торшера</w:t>
      </w:r>
      <w:r w:rsidR="00C6441D">
        <w:rPr>
          <w:rFonts w:ascii="Times New Roman" w:hAnsi="Times New Roman" w:cs="Times New Roman"/>
          <w:sz w:val="28"/>
          <w:szCs w:val="28"/>
        </w:rPr>
        <w:t xml:space="preserve">, </w:t>
      </w:r>
      <w:r w:rsidR="00A24392">
        <w:rPr>
          <w:rFonts w:ascii="Times New Roman" w:hAnsi="Times New Roman" w:cs="Times New Roman"/>
          <w:sz w:val="28"/>
          <w:szCs w:val="28"/>
        </w:rPr>
        <w:t xml:space="preserve">подключается к мобильному устройству проводным или беспроводным способом, и происходит измерение уровня яркости. На основании полученных данных регулируется </w:t>
      </w:r>
      <w:r w:rsidR="00C6441D">
        <w:rPr>
          <w:rFonts w:ascii="Times New Roman" w:hAnsi="Times New Roman" w:cs="Times New Roman"/>
          <w:sz w:val="28"/>
          <w:szCs w:val="28"/>
        </w:rPr>
        <w:t xml:space="preserve">уровень освещения торшера. </w:t>
      </w:r>
      <w:r w:rsidR="008A294A">
        <w:rPr>
          <w:rFonts w:ascii="Times New Roman" w:hAnsi="Times New Roman" w:cs="Times New Roman"/>
          <w:sz w:val="28"/>
          <w:szCs w:val="28"/>
        </w:rPr>
        <w:t>В результате мы получаем комфортное для глаз освещение в любое время суток.</w:t>
      </w:r>
      <w:r w:rsidR="009443EC">
        <w:rPr>
          <w:rFonts w:ascii="Times New Roman" w:hAnsi="Times New Roman" w:cs="Times New Roman"/>
          <w:sz w:val="28"/>
          <w:szCs w:val="28"/>
        </w:rPr>
        <w:t xml:space="preserve"> </w:t>
      </w:r>
      <w:r w:rsidR="00DD342B">
        <w:rPr>
          <w:rFonts w:ascii="Times New Roman" w:hAnsi="Times New Roman" w:cs="Times New Roman"/>
          <w:sz w:val="28"/>
          <w:szCs w:val="28"/>
        </w:rPr>
        <w:t>Также корпус</w:t>
      </w:r>
      <w:r w:rsidR="00C6441D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DD342B">
        <w:rPr>
          <w:rFonts w:ascii="Times New Roman" w:hAnsi="Times New Roman" w:cs="Times New Roman"/>
          <w:sz w:val="28"/>
          <w:szCs w:val="28"/>
        </w:rPr>
        <w:t xml:space="preserve"> вмещает плату с микропроцессорами, соединенные с датчиками шинами обмена данных. Кроме того, имеется возможность ручной настройки яркости, для этого корпус торшера имеет набор кнопок режимов.</w:t>
      </w:r>
    </w:p>
    <w:p w:rsidR="00DD342B" w:rsidRDefault="00DD342B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такого изобретения в </w:t>
      </w:r>
      <w:r w:rsidR="00C6441D">
        <w:rPr>
          <w:rFonts w:ascii="Times New Roman" w:hAnsi="Times New Roman" w:cs="Times New Roman"/>
          <w:sz w:val="28"/>
          <w:szCs w:val="28"/>
        </w:rPr>
        <w:t>том, что по умолчанию</w:t>
      </w:r>
      <w:r w:rsidR="00157108">
        <w:rPr>
          <w:rFonts w:ascii="Times New Roman" w:hAnsi="Times New Roman" w:cs="Times New Roman"/>
          <w:sz w:val="28"/>
          <w:szCs w:val="28"/>
        </w:rPr>
        <w:t xml:space="preserve"> яркость регулируется автоматически, что может быть неудобно для пользователя в некоторых ситуациях, однако, как уже было отмечено выше, существует возможность ручной настройки. Перейти в режим ручной настройки</w:t>
      </w:r>
      <w:r w:rsidR="008E2F7C">
        <w:rPr>
          <w:rFonts w:ascii="Times New Roman" w:hAnsi="Times New Roman" w:cs="Times New Roman"/>
          <w:sz w:val="28"/>
          <w:szCs w:val="28"/>
        </w:rPr>
        <w:t xml:space="preserve"> можно с помощью любого мобильного устройства.</w:t>
      </w:r>
    </w:p>
    <w:p w:rsidR="009443EC" w:rsidRDefault="009443E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3EC" w:rsidRDefault="009443E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данного изобретения заключается в предоставлении более приятного </w:t>
      </w:r>
      <w:r w:rsidR="00895536">
        <w:rPr>
          <w:rFonts w:ascii="Times New Roman" w:hAnsi="Times New Roman" w:cs="Times New Roman"/>
          <w:sz w:val="28"/>
          <w:szCs w:val="28"/>
        </w:rPr>
        <w:t>уровня освещения, что может положительно влиять на остроту зрения человека и продуктивность работы</w:t>
      </w:r>
      <w:r w:rsidR="008E2F7C">
        <w:rPr>
          <w:rFonts w:ascii="Times New Roman" w:hAnsi="Times New Roman" w:cs="Times New Roman"/>
          <w:sz w:val="28"/>
          <w:szCs w:val="28"/>
        </w:rPr>
        <w:t>, а также на здоровье его глаз в долгосрочной перспективе.</w:t>
      </w:r>
    </w:p>
    <w:p w:rsidR="009443EC" w:rsidRDefault="009443E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задача решается нашим изобретением, включающую в себя приятный на ощупь корпус и интерфейс, </w:t>
      </w:r>
      <w:r w:rsidR="008E2F7C">
        <w:rPr>
          <w:rFonts w:ascii="Times New Roman" w:hAnsi="Times New Roman" w:cs="Times New Roman"/>
          <w:sz w:val="28"/>
          <w:szCs w:val="28"/>
        </w:rPr>
        <w:t>а также возможность использования в личном транспорте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43EC" w:rsidRDefault="009443E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представлен в виде </w:t>
      </w:r>
      <w:r w:rsidR="00895536">
        <w:rPr>
          <w:rFonts w:ascii="Times New Roman" w:hAnsi="Times New Roman" w:cs="Times New Roman"/>
          <w:sz w:val="28"/>
          <w:szCs w:val="28"/>
        </w:rPr>
        <w:t>светильника, высотой 40см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43EC" w:rsidRDefault="009443EC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данного устройства в следующем:</w:t>
      </w:r>
    </w:p>
    <w:p w:rsidR="00931A53" w:rsidRDefault="00931A53" w:rsidP="008E2F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корпусе торшера закреплены датчики, которые реагируют на изменение освещённости, имея информацию о необходимом уровне яркости для комфортной работы, и передают информацию на приемопередатчик, который генерирует сигнал регулирования яркости светоизлучающего устройства. </w:t>
      </w:r>
      <w:r>
        <w:rPr>
          <w:rFonts w:ascii="Times New Roman" w:hAnsi="Times New Roman" w:cs="Times New Roman"/>
          <w:sz w:val="28"/>
          <w:szCs w:val="28"/>
        </w:rPr>
        <w:t>Технический результат заключается в обеспечении регулирования уровня яркости падающего света.</w:t>
      </w:r>
    </w:p>
    <w:p w:rsidR="00895536" w:rsidRDefault="00895536" w:rsidP="00895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5536" w:rsidRDefault="00895536" w:rsidP="00895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895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 информации, исп</w:t>
      </w:r>
      <w:r w:rsidR="00B45BA9">
        <w:rPr>
          <w:rFonts w:ascii="Times New Roman" w:hAnsi="Times New Roman" w:cs="Times New Roman"/>
          <w:sz w:val="28"/>
          <w:szCs w:val="28"/>
        </w:rPr>
        <w:t>ользованные при составлении заяв</w:t>
      </w:r>
      <w:r>
        <w:rPr>
          <w:rFonts w:ascii="Times New Roman" w:hAnsi="Times New Roman" w:cs="Times New Roman"/>
          <w:sz w:val="28"/>
          <w:szCs w:val="28"/>
        </w:rPr>
        <w:t>ки:</w:t>
      </w:r>
      <w:r>
        <w:rPr>
          <w:rFonts w:ascii="Times New Roman" w:hAnsi="Times New Roman" w:cs="Times New Roman"/>
          <w:sz w:val="28"/>
          <w:szCs w:val="28"/>
        </w:rPr>
        <w:br/>
        <w:t xml:space="preserve">1. Патент  U </w:t>
      </w:r>
      <w:r w:rsidR="00895536">
        <w:rPr>
          <w:rFonts w:ascii="Times New Roman" w:hAnsi="Times New Roman" w:cs="Times New Roman"/>
          <w:sz w:val="28"/>
          <w:szCs w:val="28"/>
        </w:rPr>
        <w:t>10272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5536">
        <w:rPr>
          <w:rFonts w:ascii="Times New Roman" w:eastAsia="Calibri" w:hAnsi="Times New Roman" w:cs="Times New Roman"/>
          <w:sz w:val="28"/>
          <w:szCs w:val="28"/>
        </w:rPr>
        <w:t xml:space="preserve">Устройство регулирования яркости светоизлучающего устройства в транспортном средстве  </w:t>
      </w:r>
      <w:r>
        <w:rPr>
          <w:rFonts w:ascii="Times New Roman" w:hAnsi="Times New Roman" w:cs="Times New Roman"/>
          <w:sz w:val="28"/>
          <w:szCs w:val="28"/>
        </w:rPr>
        <w:t>– © База патентов Беларуси | BYPATENTS.COM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>
        <w:rPr>
          <w:rFonts w:ascii="Times New Roman" w:hAnsi="Times New Roman" w:cs="Times New Roman"/>
          <w:sz w:val="28"/>
          <w:szCs w:val="28"/>
        </w:rPr>
        <w:t>. 30.08.201</w:t>
      </w:r>
      <w:r w:rsidR="00895536">
        <w:rPr>
          <w:rFonts w:ascii="Times New Roman" w:hAnsi="Times New Roman" w:cs="Times New Roman"/>
          <w:sz w:val="28"/>
          <w:szCs w:val="28"/>
        </w:rPr>
        <w:t>4</w:t>
      </w:r>
    </w:p>
    <w:p w:rsidR="00931A53" w:rsidRDefault="00931A53" w:rsidP="00895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53" w:rsidRPr="00895536" w:rsidRDefault="00931A53" w:rsidP="0089553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9443EC" w:rsidRDefault="009443EC" w:rsidP="009443EC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9443EC" w:rsidRDefault="009443EC" w:rsidP="00931A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9443EC" w:rsidRDefault="00931A53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полезная модель относит</w:t>
      </w:r>
      <w:r w:rsidR="009443EC">
        <w:rPr>
          <w:rFonts w:ascii="Times New Roman" w:hAnsi="Times New Roman" w:cs="Times New Roman"/>
          <w:sz w:val="28"/>
          <w:szCs w:val="28"/>
        </w:rPr>
        <w:t xml:space="preserve">ся к области </w:t>
      </w:r>
      <w:r>
        <w:rPr>
          <w:rFonts w:ascii="Times New Roman" w:hAnsi="Times New Roman" w:cs="Times New Roman"/>
          <w:sz w:val="28"/>
          <w:szCs w:val="28"/>
        </w:rPr>
        <w:t xml:space="preserve">осветительной техники и может быть использовано </w:t>
      </w:r>
      <w:r w:rsidR="003746B5">
        <w:rPr>
          <w:rFonts w:ascii="Times New Roman" w:hAnsi="Times New Roman" w:cs="Times New Roman"/>
          <w:sz w:val="28"/>
          <w:szCs w:val="28"/>
        </w:rPr>
        <w:t xml:space="preserve">для комфортной работы с мелкими предметами в личном транспорте, например в легковом автомобиле, а также для комфортного чтения. </w:t>
      </w:r>
    </w:p>
    <w:p w:rsidR="009443EC" w:rsidRDefault="009443EC" w:rsidP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полезной модели является </w:t>
      </w:r>
      <w:r w:rsidR="003746B5">
        <w:rPr>
          <w:rFonts w:ascii="Times New Roman" w:hAnsi="Times New Roman" w:cs="Times New Roman"/>
          <w:sz w:val="28"/>
          <w:szCs w:val="28"/>
        </w:rPr>
        <w:t>автоматизация процесса освещения, забота о зрении человека, так как в процессе работы он может не контролировать уровень освещенности в помещении, что впоследствии пагубно скажется на его здоровье.</w:t>
      </w:r>
      <w:r w:rsidR="00BA0F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3EC" w:rsidRDefault="00BA0F33" w:rsidP="00BA0F33">
      <w:pPr>
        <w:pStyle w:val="1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b w:val="0"/>
          <w:sz w:val="28"/>
          <w:szCs w:val="28"/>
        </w:rPr>
        <w:t>Данная задача решается тем, что на корпусе торшера расположены датчики освещения, которые своевременно передают информацию в программный компонент, регулирующий режим работы торшера и устанавливающий необходимый для комфортной работы уровень мощности.</w:t>
      </w:r>
    </w:p>
    <w:p w:rsidR="009443EC" w:rsidRDefault="009443EC" w:rsidP="009443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43EC" w:rsidRDefault="009443EC" w:rsidP="00BA0F3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Формула</w:t>
      </w:r>
    </w:p>
    <w:p w:rsidR="003365A2" w:rsidRPr="00305ADF" w:rsidRDefault="0094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BA0F33">
        <w:rPr>
          <w:rFonts w:ascii="Times New Roman" w:hAnsi="Times New Roman" w:cs="Times New Roman"/>
          <w:sz w:val="28"/>
          <w:szCs w:val="28"/>
        </w:rPr>
        <w:t>устройством может осуществляться с помощью мобильного устройства, подключенного проводным (</w:t>
      </w:r>
      <w:r w:rsidR="00BA0F33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BA0F33" w:rsidRPr="00BA0F33">
        <w:rPr>
          <w:rFonts w:ascii="Times New Roman" w:hAnsi="Times New Roman" w:cs="Times New Roman"/>
          <w:sz w:val="28"/>
          <w:szCs w:val="28"/>
        </w:rPr>
        <w:t>-</w:t>
      </w:r>
      <w:r w:rsidR="00BA0F33">
        <w:rPr>
          <w:rFonts w:ascii="Times New Roman" w:hAnsi="Times New Roman" w:cs="Times New Roman"/>
          <w:sz w:val="28"/>
          <w:szCs w:val="28"/>
        </w:rPr>
        <w:t xml:space="preserve">разъем </w:t>
      </w:r>
      <w:proofErr w:type="gramStart"/>
      <w:r w:rsidR="00BA0F33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="00BA0F33">
        <w:rPr>
          <w:rFonts w:ascii="Times New Roman" w:hAnsi="Times New Roman" w:cs="Times New Roman"/>
          <w:sz w:val="28"/>
          <w:szCs w:val="28"/>
        </w:rPr>
        <w:t xml:space="preserve"> на корпусе) или беспроводным способом. Регулировать освещенность можно в двух режимах: автоматическом и режиме ручного управления. Также есть возможность регулировать длину корпуса от 20 до 40 см. Принципиальным отличием изобретения от </w:t>
      </w:r>
      <w:r w:rsidR="00E2536B">
        <w:rPr>
          <w:rFonts w:ascii="Times New Roman" w:hAnsi="Times New Roman" w:cs="Times New Roman"/>
          <w:sz w:val="28"/>
          <w:szCs w:val="28"/>
        </w:rPr>
        <w:t xml:space="preserve">обычного торшера является регулирование уровня яркости </w:t>
      </w:r>
      <w:r w:rsidR="00E956DD">
        <w:rPr>
          <w:rFonts w:ascii="Times New Roman" w:hAnsi="Times New Roman" w:cs="Times New Roman"/>
          <w:sz w:val="28"/>
          <w:szCs w:val="28"/>
        </w:rPr>
        <w:t xml:space="preserve">света </w:t>
      </w:r>
      <w:r w:rsidR="00E2536B">
        <w:rPr>
          <w:rFonts w:ascii="Times New Roman" w:hAnsi="Times New Roman" w:cs="Times New Roman"/>
          <w:sz w:val="28"/>
          <w:szCs w:val="28"/>
        </w:rPr>
        <w:t>с помощью специальных датчиков.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36B">
        <w:rPr>
          <w:rFonts w:ascii="Times New Roman" w:hAnsi="Times New Roman" w:cs="Times New Roman"/>
          <w:sz w:val="28"/>
          <w:szCs w:val="28"/>
        </w:rPr>
        <w:t xml:space="preserve">Таким образом, устройство состоит из корпуса с датчиками освещения </w:t>
      </w:r>
      <w:r w:rsidR="00305ADF">
        <w:rPr>
          <w:rFonts w:ascii="Times New Roman" w:hAnsi="Times New Roman" w:cs="Times New Roman"/>
          <w:sz w:val="28"/>
          <w:szCs w:val="28"/>
        </w:rPr>
        <w:t xml:space="preserve">и разъемом для подключения мобильных устройств </w:t>
      </w:r>
      <w:r w:rsidR="00E2536B">
        <w:rPr>
          <w:rFonts w:ascii="Times New Roman" w:hAnsi="Times New Roman" w:cs="Times New Roman"/>
          <w:sz w:val="28"/>
          <w:szCs w:val="28"/>
        </w:rPr>
        <w:t>и фотоэлектрической лампы.</w:t>
      </w:r>
      <w:r w:rsidR="00B537FB">
        <w:rPr>
          <w:rFonts w:ascii="Times New Roman" w:hAnsi="Times New Roman" w:cs="Times New Roman"/>
          <w:sz w:val="28"/>
          <w:szCs w:val="28"/>
        </w:rPr>
        <w:t xml:space="preserve"> Компактность, простота использования и обеспечение надлежащего уровня света для работы в транспортном средстве делает изобретение конкурентоспособным на рынке.</w:t>
      </w:r>
      <w:bookmarkStart w:id="1" w:name="_GoBack"/>
      <w:bookmarkEnd w:id="1"/>
      <w:r w:rsidR="00305ADF">
        <w:rPr>
          <w:rFonts w:ascii="Times New Roman" w:hAnsi="Times New Roman" w:cs="Times New Roman"/>
          <w:sz w:val="28"/>
          <w:szCs w:val="28"/>
        </w:rPr>
        <w:br/>
      </w:r>
    </w:p>
    <w:sectPr w:rsidR="003365A2" w:rsidRPr="0030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726"/>
    <w:multiLevelType w:val="hybridMultilevel"/>
    <w:tmpl w:val="620E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FE"/>
    <w:rsid w:val="00016754"/>
    <w:rsid w:val="0006298A"/>
    <w:rsid w:val="00083211"/>
    <w:rsid w:val="000844FE"/>
    <w:rsid w:val="00157108"/>
    <w:rsid w:val="002202A7"/>
    <w:rsid w:val="002E760A"/>
    <w:rsid w:val="00305ADF"/>
    <w:rsid w:val="00356D10"/>
    <w:rsid w:val="003746B5"/>
    <w:rsid w:val="003B308F"/>
    <w:rsid w:val="005636DF"/>
    <w:rsid w:val="005719E7"/>
    <w:rsid w:val="005C4959"/>
    <w:rsid w:val="00895536"/>
    <w:rsid w:val="008A294A"/>
    <w:rsid w:val="008E2F7C"/>
    <w:rsid w:val="00931A53"/>
    <w:rsid w:val="009443EC"/>
    <w:rsid w:val="0094593D"/>
    <w:rsid w:val="00950E82"/>
    <w:rsid w:val="00A24392"/>
    <w:rsid w:val="00A919E1"/>
    <w:rsid w:val="00AD702A"/>
    <w:rsid w:val="00B45BA9"/>
    <w:rsid w:val="00B537FB"/>
    <w:rsid w:val="00BA0F33"/>
    <w:rsid w:val="00C02897"/>
    <w:rsid w:val="00C6441D"/>
    <w:rsid w:val="00CE54CE"/>
    <w:rsid w:val="00CF2922"/>
    <w:rsid w:val="00D30FD5"/>
    <w:rsid w:val="00D845E7"/>
    <w:rsid w:val="00DC7BD1"/>
    <w:rsid w:val="00DD342B"/>
    <w:rsid w:val="00DD49A9"/>
    <w:rsid w:val="00E2536B"/>
    <w:rsid w:val="00E834C4"/>
    <w:rsid w:val="00E956DD"/>
    <w:rsid w:val="00EC303B"/>
    <w:rsid w:val="00F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EC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4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443EC"/>
    <w:pPr>
      <w:ind w:left="720"/>
      <w:contextualSpacing/>
    </w:pPr>
  </w:style>
  <w:style w:type="table" w:customStyle="1" w:styleId="11">
    <w:name w:val="Сетка таблицы1"/>
    <w:basedOn w:val="a1"/>
    <w:uiPriority w:val="39"/>
    <w:rsid w:val="009443EC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3E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EC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4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443EC"/>
    <w:pPr>
      <w:ind w:left="720"/>
      <w:contextualSpacing/>
    </w:pPr>
  </w:style>
  <w:style w:type="table" w:customStyle="1" w:styleId="11">
    <w:name w:val="Сетка таблицы1"/>
    <w:basedOn w:val="a1"/>
    <w:uiPriority w:val="39"/>
    <w:rsid w:val="009443EC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3E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13</cp:revision>
  <dcterms:created xsi:type="dcterms:W3CDTF">2020-05-22T19:19:00Z</dcterms:created>
  <dcterms:modified xsi:type="dcterms:W3CDTF">2020-05-28T19:58:00Z</dcterms:modified>
</cp:coreProperties>
</file>