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851D4" w14:textId="175C12EE" w:rsidR="00593694" w:rsidRDefault="008063CA">
      <w:pPr>
        <w:pStyle w:val="papertitle"/>
        <w:spacing w:beforeAutospacing="1" w:afterAutospacing="1"/>
      </w:pPr>
      <w:r>
        <w:t xml:space="preserve">Using Neural Network-based </w:t>
      </w:r>
      <w:bookmarkStart w:id="0" w:name="_GoBack"/>
      <w:bookmarkEnd w:id="0"/>
      <w:r>
        <w:t>Approximation to improve HPC Application</w:t>
      </w:r>
    </w:p>
    <w:p w14:paraId="62DB9DB4" w14:textId="3487FC61" w:rsidR="00593694" w:rsidRPr="007B7104" w:rsidRDefault="008063CA" w:rsidP="007B7104">
      <w:pPr>
        <w:pStyle w:val="Author"/>
        <w:spacing w:beforeAutospacing="1" w:afterAutospacing="1"/>
        <w:rPr>
          <w:sz w:val="16"/>
          <w:szCs w:val="16"/>
        </w:rPr>
        <w:sectPr w:rsidR="00593694" w:rsidRPr="007B7104">
          <w:footerReference w:type="default" r:id="rId8"/>
          <w:pgSz w:w="12240" w:h="15840"/>
          <w:pgMar w:top="1080" w:right="893" w:bottom="1440" w:left="893" w:header="0" w:footer="720" w:gutter="0"/>
          <w:cols w:space="720"/>
          <w:formProt w:val="0"/>
          <w:docGrid w:linePitch="360" w:charSpace="8192"/>
        </w:sectPr>
      </w:pPr>
      <w:r>
        <w:rPr>
          <w:sz w:val="16"/>
          <w:szCs w:val="16"/>
        </w:rPr>
        <w:t>*Note: Sub-titles are not captured in Xplore and should not be used</w:t>
      </w:r>
    </w:p>
    <w:p w14:paraId="2BD8179B" w14:textId="78F24E9D" w:rsidR="007B7104" w:rsidRDefault="008063CA" w:rsidP="008F215B">
      <w:pPr>
        <w:pStyle w:val="Author"/>
        <w:spacing w:beforeAutospacing="1" w:after="280"/>
        <w:rPr>
          <w:sz w:val="18"/>
          <w:szCs w:val="18"/>
        </w:rPr>
      </w:pPr>
      <w:r>
        <w:rPr>
          <w:sz w:val="18"/>
          <w:szCs w:val="18"/>
        </w:rPr>
        <w:t xml:space="preserve">Shubham Rohal </w:t>
      </w:r>
      <w:r>
        <w:rPr>
          <w:sz w:val="18"/>
          <w:szCs w:val="18"/>
        </w:rPr>
        <w:br/>
      </w:r>
      <w:bookmarkStart w:id="1" w:name="__DdeLink__411_358922653"/>
      <w:r>
        <w:rPr>
          <w:sz w:val="18"/>
          <w:szCs w:val="18"/>
        </w:rPr>
        <w:t>EECS</w:t>
      </w:r>
      <w:r>
        <w:rPr>
          <w:i/>
          <w:sz w:val="18"/>
          <w:szCs w:val="18"/>
        </w:rPr>
        <w:t>,</w:t>
      </w:r>
      <w:r w:rsidR="007B7104">
        <w:rPr>
          <w:i/>
          <w:sz w:val="18"/>
          <w:szCs w:val="18"/>
        </w:rPr>
        <w:t xml:space="preserve"> </w:t>
      </w:r>
      <w:r>
        <w:rPr>
          <w:i/>
          <w:sz w:val="18"/>
          <w:szCs w:val="18"/>
        </w:rPr>
        <w:t>UC MERCED</w:t>
      </w:r>
      <w:bookmarkEnd w:id="1"/>
      <w:r>
        <w:rPr>
          <w:sz w:val="18"/>
          <w:szCs w:val="18"/>
        </w:rPr>
        <w:br/>
        <w:t>srohal@ucmerced.edu</w:t>
      </w:r>
      <w:r>
        <w:rPr>
          <w:sz w:val="18"/>
          <w:szCs w:val="18"/>
        </w:rPr>
        <w:br/>
      </w:r>
      <w:r>
        <w:rPr>
          <w:sz w:val="18"/>
          <w:szCs w:val="18"/>
        </w:rPr>
        <w:br/>
      </w:r>
    </w:p>
    <w:p w14:paraId="6D2C2060" w14:textId="29F3618E" w:rsidR="007B7104" w:rsidRDefault="008063CA" w:rsidP="008F215B">
      <w:pPr>
        <w:pStyle w:val="Author"/>
        <w:spacing w:beforeAutospacing="1" w:after="280"/>
        <w:rPr>
          <w:sz w:val="18"/>
          <w:szCs w:val="18"/>
        </w:rPr>
      </w:pPr>
      <w:r>
        <w:rPr>
          <w:sz w:val="18"/>
          <w:szCs w:val="18"/>
        </w:rPr>
        <w:t>Rahul S Hoskeri</w:t>
      </w:r>
      <w:r>
        <w:rPr>
          <w:i/>
          <w:sz w:val="18"/>
          <w:szCs w:val="18"/>
        </w:rPr>
        <w:br/>
        <w:t>EECS,</w:t>
      </w:r>
      <w:r w:rsidR="007B7104">
        <w:rPr>
          <w:i/>
          <w:sz w:val="18"/>
          <w:szCs w:val="18"/>
        </w:rPr>
        <w:t xml:space="preserve"> </w:t>
      </w:r>
      <w:r>
        <w:rPr>
          <w:i/>
          <w:sz w:val="18"/>
          <w:szCs w:val="18"/>
        </w:rPr>
        <w:t>UC MERCED</w:t>
      </w:r>
      <w:r>
        <w:rPr>
          <w:sz w:val="18"/>
          <w:szCs w:val="18"/>
        </w:rPr>
        <w:br/>
        <w:t>rhoskeri@ucmerced.edu</w:t>
      </w:r>
      <w:r>
        <w:rPr>
          <w:sz w:val="18"/>
          <w:szCs w:val="18"/>
        </w:rPr>
        <w:br/>
      </w:r>
      <w:r w:rsidR="007B7104">
        <w:rPr>
          <w:sz w:val="18"/>
          <w:szCs w:val="18"/>
        </w:rPr>
        <w:t xml:space="preserve"> </w:t>
      </w:r>
      <w:r>
        <w:rPr>
          <w:sz w:val="18"/>
          <w:szCs w:val="18"/>
        </w:rPr>
        <w:br/>
      </w:r>
    </w:p>
    <w:p w14:paraId="16063ECD" w14:textId="77777777" w:rsidR="007B7104" w:rsidRDefault="008063CA" w:rsidP="008F215B">
      <w:pPr>
        <w:pStyle w:val="Author"/>
        <w:spacing w:beforeAutospacing="1" w:after="280"/>
        <w:rPr>
          <w:sz w:val="18"/>
          <w:szCs w:val="18"/>
        </w:rPr>
      </w:pPr>
      <w:r>
        <w:rPr>
          <w:sz w:val="18"/>
          <w:szCs w:val="18"/>
        </w:rPr>
        <w:t>Asoke Datta</w:t>
      </w:r>
      <w:r>
        <w:rPr>
          <w:i/>
          <w:sz w:val="18"/>
          <w:szCs w:val="18"/>
        </w:rPr>
        <w:br/>
        <w:t>EECS,UC MERCED</w:t>
      </w:r>
      <w:r>
        <w:rPr>
          <w:sz w:val="18"/>
          <w:szCs w:val="18"/>
        </w:rPr>
        <w:br/>
        <w:t>adatta2@ucmerced.edu</w:t>
      </w:r>
      <w:r>
        <w:rPr>
          <w:sz w:val="18"/>
          <w:szCs w:val="18"/>
        </w:rPr>
        <w:br/>
      </w:r>
    </w:p>
    <w:p w14:paraId="4941920F" w14:textId="2242E6B8" w:rsidR="00593694" w:rsidRDefault="008063CA" w:rsidP="008F215B">
      <w:pPr>
        <w:pStyle w:val="Author"/>
        <w:spacing w:beforeAutospacing="1" w:after="280"/>
        <w:sectPr w:rsidR="00593694">
          <w:type w:val="continuous"/>
          <w:pgSz w:w="12240" w:h="15840"/>
          <w:pgMar w:top="1080" w:right="893" w:bottom="1440" w:left="893" w:header="0" w:footer="720" w:gutter="0"/>
          <w:cols w:num="4" w:space="720" w:equalWidth="0">
            <w:col w:w="2505" w:space="216"/>
            <w:col w:w="2397" w:space="216"/>
            <w:col w:w="2397" w:space="216"/>
            <w:col w:w="2505"/>
          </w:cols>
          <w:formProt w:val="0"/>
          <w:docGrid w:linePitch="360" w:charSpace="8192"/>
        </w:sectPr>
      </w:pPr>
      <w:r>
        <w:rPr>
          <w:sz w:val="18"/>
          <w:szCs w:val="18"/>
        </w:rPr>
        <w:t xml:space="preserve">line 3: </w:t>
      </w:r>
      <w:r>
        <w:rPr>
          <w:i/>
          <w:sz w:val="18"/>
          <w:szCs w:val="18"/>
        </w:rPr>
        <w:t>name of organization (of Affiliation)</w:t>
      </w:r>
      <w:r>
        <w:rPr>
          <w:i/>
          <w:sz w:val="18"/>
          <w:szCs w:val="18"/>
        </w:rPr>
        <w:br/>
      </w:r>
      <w:r>
        <w:rPr>
          <w:sz w:val="18"/>
          <w:szCs w:val="18"/>
        </w:rPr>
        <w:t>line 4: City, Country</w:t>
      </w:r>
      <w:r>
        <w:rPr>
          <w:sz w:val="18"/>
          <w:szCs w:val="18"/>
        </w:rPr>
        <w:br/>
        <w:t>line 5: email address or ORCID</w:t>
      </w:r>
    </w:p>
    <w:p w14:paraId="07DA87B5" w14:textId="77777777" w:rsidR="00593694" w:rsidRDefault="00593694" w:rsidP="007B7104">
      <w:pPr>
        <w:jc w:val="both"/>
        <w:sectPr w:rsidR="00593694">
          <w:type w:val="continuous"/>
          <w:pgSz w:w="12240" w:h="15840"/>
          <w:pgMar w:top="1080" w:right="893" w:bottom="1440" w:left="893" w:header="0" w:footer="720" w:gutter="0"/>
          <w:cols w:space="720"/>
          <w:formProt w:val="0"/>
          <w:docGrid w:linePitch="360" w:charSpace="8192"/>
        </w:sectPr>
      </w:pPr>
    </w:p>
    <w:p w14:paraId="4133982E" w14:textId="77777777" w:rsidR="00593694" w:rsidRDefault="00593694" w:rsidP="007B7104">
      <w:pPr>
        <w:jc w:val="both"/>
        <w:sectPr w:rsidR="00593694">
          <w:type w:val="continuous"/>
          <w:pgSz w:w="12240" w:h="15840"/>
          <w:pgMar w:top="1080" w:right="893" w:bottom="1440" w:left="893" w:header="0" w:footer="720" w:gutter="0"/>
          <w:cols w:num="4" w:space="720" w:equalWidth="0">
            <w:col w:w="2505" w:space="216"/>
            <w:col w:w="2397" w:space="216"/>
            <w:col w:w="2397" w:space="216"/>
            <w:col w:w="2505"/>
          </w:cols>
          <w:formProt w:val="0"/>
          <w:docGrid w:linePitch="360" w:charSpace="8192"/>
        </w:sectPr>
      </w:pPr>
    </w:p>
    <w:p w14:paraId="119B011F" w14:textId="77777777" w:rsidR="00593694" w:rsidRDefault="00593694" w:rsidP="007B7104">
      <w:pPr>
        <w:jc w:val="both"/>
        <w:sectPr w:rsidR="00593694">
          <w:type w:val="continuous"/>
          <w:pgSz w:w="12240" w:h="15840"/>
          <w:pgMar w:top="1080" w:right="893" w:bottom="1440" w:left="893" w:header="0" w:footer="720" w:gutter="0"/>
          <w:cols w:num="4" w:space="720" w:equalWidth="0">
            <w:col w:w="2505" w:space="216"/>
            <w:col w:w="2397" w:space="216"/>
            <w:col w:w="2397" w:space="216"/>
            <w:col w:w="2505"/>
          </w:cols>
          <w:formProt w:val="0"/>
          <w:docGrid w:linePitch="360" w:charSpace="8192"/>
        </w:sectPr>
      </w:pPr>
    </w:p>
    <w:p w14:paraId="0286B13F" w14:textId="77777777" w:rsidR="00593694" w:rsidRDefault="008063CA">
      <w:pPr>
        <w:pStyle w:val="Abstract"/>
        <w:rPr>
          <w:i/>
          <w:iCs/>
        </w:rPr>
      </w:pPr>
      <w:r>
        <w:rPr>
          <w:i/>
          <w:iCs/>
        </w:rPr>
        <w:t>Abstract</w:t>
      </w:r>
      <w:r>
        <w:t>—Our project is about replacing the time-consuming part of the OpenFuelCell which is the simulation software for the SOFC (Solid Oxide Fuel Cell) by using a neural network. For that we produced the datapoints with the help of OpenFuelCell and used them as the labeled datapoints to train our neural network to predict. The model we trained in this pro</w:t>
      </w:r>
      <w:r>
        <w:rPr>
          <w:iCs/>
        </w:rPr>
        <w:t>ject gives the 87% accurate result in predicting the output current and voltage.</w:t>
      </w:r>
    </w:p>
    <w:p w14:paraId="044A6D18" w14:textId="77777777" w:rsidR="00593694" w:rsidRDefault="008063CA">
      <w:pPr>
        <w:pStyle w:val="Keywords"/>
      </w:pPr>
      <w:r>
        <w:t>Keywords—component, formatting, style, styling, insert (</w:t>
      </w:r>
      <w:r>
        <w:rPr>
          <w:b w:val="0"/>
        </w:rPr>
        <w:t>key words</w:t>
      </w:r>
      <w:r>
        <w:t>)</w:t>
      </w:r>
    </w:p>
    <w:p w14:paraId="3647F5D5" w14:textId="77777777" w:rsidR="00593694" w:rsidRDefault="008063CA">
      <w:pPr>
        <w:pStyle w:val="Heading1"/>
        <w:numPr>
          <w:ilvl w:val="0"/>
          <w:numId w:val="4"/>
        </w:numPr>
        <w:ind w:firstLine="0"/>
      </w:pPr>
      <w:r>
        <w:t>Introduction (</w:t>
      </w:r>
      <w:r>
        <w:rPr>
          <w:rFonts w:eastAsia="MS Mincho"/>
          <w:i/>
        </w:rPr>
        <w:t>Heading 1</w:t>
      </w:r>
      <w:r>
        <w:t>)</w:t>
      </w:r>
    </w:p>
    <w:p w14:paraId="01AEBB20" w14:textId="77777777" w:rsidR="00593694" w:rsidRDefault="008063CA">
      <w:pPr>
        <w:pStyle w:val="BodyText"/>
        <w:rPr>
          <w:lang w:val="en-US"/>
        </w:rPr>
      </w:pPr>
      <w:r>
        <w:rPr>
          <w:lang w:val="en-US"/>
        </w:rPr>
        <w:t xml:space="preserve">Fuel cell is the electrochemical conversion device that changes the chemical energy of fuel and oxidizing agent into electrical energy. Unlike the normal batteries, the fuel cell doesn’t require recharging. They will produce electricity if they will get a continuous supply of fuel to keep working. A fuel cell consists of three main parts cathode, anode and electrolyte. Fuel cells are generally classified based on electrolyte type. </w:t>
      </w:r>
      <w:r>
        <w:rPr>
          <w:color w:val="292929"/>
          <w:shd w:val="clear" w:color="auto" w:fill="FFFFFF"/>
        </w:rPr>
        <w:t>This classification determines the kind of electro-chemical reactions that take place in the cell, the kind of catalysts required, the temperature range in which the cell operates, the fuel required, and other factors.</w:t>
      </w:r>
      <w:r>
        <w:rPr>
          <w:color w:val="292929"/>
          <w:shd w:val="clear" w:color="auto" w:fill="FFFFFF"/>
          <w:lang w:val="en-US"/>
        </w:rPr>
        <w:t xml:space="preserve"> </w:t>
      </w:r>
      <w:r>
        <w:rPr>
          <w:color w:val="292929"/>
          <w:shd w:val="clear" w:color="auto" w:fill="FFFFFF"/>
        </w:rPr>
        <w:t>There are several types of fuel cells currently under development, each with its own advantages, limitations, and potential applications</w:t>
      </w:r>
      <w:r>
        <w:rPr>
          <w:color w:val="292929"/>
          <w:shd w:val="clear" w:color="auto" w:fill="FFFFFF"/>
          <w:lang w:val="en-US"/>
        </w:rPr>
        <w:t>.</w:t>
      </w:r>
    </w:p>
    <w:p w14:paraId="274D5B25" w14:textId="77777777" w:rsidR="00593694" w:rsidRDefault="008063CA">
      <w:pPr>
        <w:pStyle w:val="BodyText"/>
        <w:rPr>
          <w:lang w:val="en-US"/>
        </w:rPr>
      </w:pPr>
      <w:r>
        <w:rPr>
          <w:lang w:val="en-US"/>
        </w:rPr>
        <w:t xml:space="preserve">Fuel cells are better compared to traditional power sources like batteries and engines because of their high efficiency and </w:t>
      </w:r>
      <w:r>
        <w:rPr>
          <w:lang w:val="en-US"/>
        </w:rPr>
        <w:t>they eliminate the pollution caused by engines using fossil fuels. Hydrogen fuel cells emit only water, so they produce no pollutant like carbon dioxide or carbon monoxide. The fuel cells are quite during operation as there are fewer moving parts that makes them suitable to be used at noise-sensitive areas and operating time of fuel cell is more than double that of traditional batteries. As fuel cell doesn’t depend on traditional fuels like oil and gas and can reduce the dependency of non-oil producing countries economical dependency on oil producing countries. Different fuel cells come in different sizes and can work at variety of temperatures, which increases the areas of application for fuel cells.</w:t>
      </w:r>
    </w:p>
    <w:p w14:paraId="5DAE6DD6" w14:textId="77777777" w:rsidR="00593694" w:rsidRDefault="008063CA">
      <w:pPr>
        <w:pStyle w:val="BodyText"/>
        <w:rPr>
          <w:lang w:val="en-US"/>
        </w:rPr>
      </w:pPr>
      <w:r>
        <w:rPr>
          <w:lang w:val="en-US"/>
        </w:rPr>
        <w:t>Solid oxide fuel cell, also known as SOFC for short uses a non-porous ceramic compound as electrolyte. SOFC works at very high temperature like 1000 degree Celsius and due to which it doesn’t require costly metal catalyst, which reduces the cost. When it comes to efficiency solid oxide fuel cell can provide 60% accuracy and because it works at very high temperature the utilization of that heat further increases its efficiency. But due to high temperature operation the startup is slow and thermal shielding is required to retain its heat. This also restrict the areas in which solid oxide fuel cell can be used and this will restrict the elements that can be used in this type of fuel cell.</w:t>
      </w:r>
    </w:p>
    <w:p w14:paraId="07B8A1F5" w14:textId="77777777" w:rsidR="00593694" w:rsidRDefault="008063CA">
      <w:pPr>
        <w:pStyle w:val="BodyText"/>
        <w:rPr>
          <w:lang w:val="en-US"/>
        </w:rPr>
        <w:sectPr w:rsidR="00593694">
          <w:type w:val="continuous"/>
          <w:pgSz w:w="12240" w:h="15840"/>
          <w:pgMar w:top="1080" w:right="893" w:bottom="1440" w:left="893" w:header="0" w:footer="720" w:gutter="0"/>
          <w:cols w:num="2" w:space="360"/>
          <w:formProt w:val="0"/>
          <w:docGrid w:linePitch="360" w:charSpace="8192"/>
        </w:sectPr>
      </w:pPr>
      <w:r>
        <w:rPr>
          <w:lang w:val="en-US"/>
        </w:rPr>
        <w:t>OpenFuelCell is open source computational fluid dynamics software to model solid oxide fuel cell using Hydrogen and water as fuel and dry air as oxidant.</w:t>
      </w:r>
    </w:p>
    <w:p w14:paraId="5129E71B" w14:textId="77777777" w:rsidR="00593694" w:rsidRDefault="008063CA">
      <w:pPr>
        <w:pStyle w:val="Heading1"/>
        <w:numPr>
          <w:ilvl w:val="0"/>
          <w:numId w:val="4"/>
        </w:numPr>
        <w:ind w:firstLine="0"/>
      </w:pPr>
      <w:r>
        <w:t>Ease of Use</w:t>
      </w:r>
    </w:p>
    <w:p w14:paraId="4F93CC00" w14:textId="77777777" w:rsidR="00593694" w:rsidRDefault="008063CA">
      <w:pPr>
        <w:pStyle w:val="Heading2"/>
        <w:numPr>
          <w:ilvl w:val="1"/>
          <w:numId w:val="4"/>
        </w:numPr>
      </w:pPr>
      <w:r>
        <w:t>Traditional Method of SOFC simulation</w:t>
      </w:r>
    </w:p>
    <w:p w14:paraId="0D0BC31F" w14:textId="3864BC16" w:rsidR="00E6528A" w:rsidRDefault="000729BB">
      <w:pPr>
        <w:pStyle w:val="BodyText"/>
        <w:rPr>
          <w:lang w:val="en-IN"/>
        </w:rPr>
      </w:pPr>
      <w:r>
        <w:rPr>
          <w:lang w:val="en-IN"/>
        </w:rPr>
        <w:t xml:space="preserve">There are </w:t>
      </w:r>
      <w:r w:rsidR="00600DA5">
        <w:rPr>
          <w:lang w:val="en-IN"/>
        </w:rPr>
        <w:t>existing</w:t>
      </w:r>
      <w:r>
        <w:rPr>
          <w:lang w:val="en-IN"/>
        </w:rPr>
        <w:t xml:space="preserve"> locally and commercially developed simulation for Solid Oxide Fuel Cell. The model under consideration is openFuelCell simulation with OpenFoam 6 environment, which is C++ software developed to run solid oxide fuel cell simulation.</w:t>
      </w:r>
      <w:r w:rsidR="00E6528A">
        <w:rPr>
          <w:lang w:val="en-IN"/>
        </w:rPr>
        <w:t xml:space="preserve">                 </w:t>
      </w:r>
    </w:p>
    <w:p w14:paraId="26BA47FE" w14:textId="59388952" w:rsidR="00593694" w:rsidRDefault="00E6528A" w:rsidP="00E6528A">
      <w:pPr>
        <w:pStyle w:val="BodyText"/>
        <w:ind w:firstLine="0"/>
        <w:rPr>
          <w:lang w:val="en-IN"/>
        </w:rPr>
      </w:pPr>
      <w:r>
        <w:rPr>
          <w:lang w:val="en-IN"/>
        </w:rPr>
        <w:t>(ref</w:t>
      </w:r>
      <w:r w:rsidR="000729BB">
        <w:rPr>
          <w:lang w:val="en-IN"/>
        </w:rPr>
        <w:t xml:space="preserve">: </w:t>
      </w:r>
      <w:hyperlink r:id="rId9" w:history="1">
        <w:r w:rsidRPr="009951C0">
          <w:rPr>
            <w:rStyle w:val="Hyperlink"/>
            <w:lang w:val="en-IN"/>
          </w:rPr>
          <w:t>https://openfuelcell.sourceforge.net/books/export/html/1</w:t>
        </w:r>
      </w:hyperlink>
      <w:r>
        <w:rPr>
          <w:lang w:val="en-IN"/>
        </w:rPr>
        <w:t>)</w:t>
      </w:r>
    </w:p>
    <w:p w14:paraId="6BB3CE9C" w14:textId="798CBDEF" w:rsidR="00E6528A" w:rsidRPr="000729BB" w:rsidRDefault="00E6528A" w:rsidP="00E6528A">
      <w:pPr>
        <w:pStyle w:val="BodyText"/>
        <w:ind w:firstLine="0"/>
        <w:rPr>
          <w:lang w:val="en-IN"/>
        </w:rPr>
      </w:pPr>
      <w:r>
        <w:rPr>
          <w:lang w:val="en-IN"/>
        </w:rPr>
        <w:t>This model considers parameters like global temperature, fluid region</w:t>
      </w:r>
      <w:r w:rsidR="00CA5A17">
        <w:rPr>
          <w:lang w:val="en-IN"/>
        </w:rPr>
        <w:t>, air and fuel, includes calculation on fluid density, pressure, momentum, mass diffusivity, mass fraction, electrochemistry, regional velocity, thermophysical data, energy equation in repetition until convergence.</w:t>
      </w:r>
    </w:p>
    <w:p w14:paraId="53689258" w14:textId="72DD1366" w:rsidR="00593694" w:rsidRDefault="008063CA">
      <w:pPr>
        <w:pStyle w:val="Heading2"/>
        <w:numPr>
          <w:ilvl w:val="1"/>
          <w:numId w:val="4"/>
        </w:numPr>
      </w:pPr>
      <w:r>
        <w:t>SOFC</w:t>
      </w:r>
      <w:r w:rsidR="00A37292">
        <w:t xml:space="preserve"> simulation Vs</w:t>
      </w:r>
      <w:r>
        <w:t xml:space="preserve"> Neural Network</w:t>
      </w:r>
    </w:p>
    <w:p w14:paraId="5012F3AA" w14:textId="0F567541" w:rsidR="00A15D7C" w:rsidRPr="00A15D7C" w:rsidRDefault="00A15D7C" w:rsidP="00A37292">
      <w:pPr>
        <w:jc w:val="both"/>
      </w:pPr>
      <w:r>
        <w:t>Neural network</w:t>
      </w:r>
      <w:r w:rsidR="007674BB">
        <w:t xml:space="preserve"> is the</w:t>
      </w:r>
      <w:r w:rsidR="00A37292">
        <w:t xml:space="preserve"> set of algorithms to recognizing the relationship between the data by mimicking the way the brain would process it. SOFC simulation works by predicting the results by converging on with carrying out complex equation and calculation.</w:t>
      </w:r>
    </w:p>
    <w:p w14:paraId="72C43C5F" w14:textId="77777777" w:rsidR="00593694" w:rsidRDefault="008063CA">
      <w:pPr>
        <w:pStyle w:val="sponsors"/>
        <w:framePr w:w="4711" w:h="274" w:hRule="exact" w:wrap="auto" w:vAnchor="page" w:hAnchor="page" w:x="868" w:y="14401"/>
        <w:ind w:firstLine="289"/>
      </w:pPr>
      <w:r>
        <w:t xml:space="preserve">Identify applicable funding agency here. </w:t>
      </w:r>
      <w:r>
        <w:rPr>
          <w:iCs/>
        </w:rPr>
        <w:t>If none, delete this text box.</w:t>
      </w:r>
    </w:p>
    <w:p w14:paraId="25F2F21A" w14:textId="22C02F94" w:rsidR="00593694" w:rsidRDefault="008063CA" w:rsidP="00A37292">
      <w:pPr>
        <w:pStyle w:val="Heading1"/>
        <w:numPr>
          <w:ilvl w:val="0"/>
          <w:numId w:val="4"/>
        </w:numPr>
        <w:ind w:firstLine="0"/>
      </w:pPr>
      <w:r>
        <w:t>Our Proposed Model</w:t>
      </w:r>
    </w:p>
    <w:p w14:paraId="41EE1223" w14:textId="13A41035" w:rsidR="00A37292" w:rsidRPr="00A37292" w:rsidRDefault="005944E6" w:rsidP="00A37292">
      <w:pPr>
        <w:jc w:val="both"/>
      </w:pPr>
      <w:r>
        <w:t>The proposed neural network model</w:t>
      </w:r>
      <w:r w:rsidR="00D64694">
        <w:t xml:space="preserve"> to simulate the solid oxide fuel cell</w:t>
      </w:r>
      <w:r>
        <w:t xml:space="preserve"> is </w:t>
      </w:r>
      <w:r w:rsidR="00D64694">
        <w:t>multi-layer</w:t>
      </w:r>
      <w:r>
        <w:t xml:space="preserve"> perceptron w</w:t>
      </w:r>
      <w:r w:rsidR="00D64694">
        <w:t>hich consists of</w:t>
      </w:r>
      <w:r w:rsidR="00173374">
        <w:t xml:space="preserve"> 4 hidden dense layers with activation  functions of relu, tanh, elu, relu respectively. The optimizer used is adam, adaptive learning optimizing algorithm, with mean squared error as the loss </w:t>
      </w:r>
      <w:r w:rsidR="00173374">
        <w:lastRenderedPageBreak/>
        <w:t>function.</w:t>
      </w:r>
      <w:r w:rsidR="00EF03E4">
        <w:t xml:space="preserve"> The data is split into 80% for training and 20% for testing.</w:t>
      </w:r>
    </w:p>
    <w:p w14:paraId="743E9A5F" w14:textId="77777777" w:rsidR="00593694" w:rsidRDefault="008063CA">
      <w:pPr>
        <w:pStyle w:val="Heading2"/>
        <w:numPr>
          <w:ilvl w:val="1"/>
          <w:numId w:val="4"/>
        </w:numPr>
      </w:pPr>
      <w:r>
        <w:t>Abbreviations and Acronyms</w:t>
      </w:r>
    </w:p>
    <w:p w14:paraId="20B520EE" w14:textId="77777777" w:rsidR="00593694" w:rsidRDefault="008063CA">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FBD0C06" w14:textId="77777777" w:rsidR="00593694" w:rsidRDefault="008063CA">
      <w:pPr>
        <w:pStyle w:val="Heading2"/>
        <w:numPr>
          <w:ilvl w:val="1"/>
          <w:numId w:val="4"/>
        </w:numPr>
      </w:pPr>
      <w:r>
        <w:t>Units</w:t>
      </w:r>
    </w:p>
    <w:p w14:paraId="7283198B" w14:textId="77777777" w:rsidR="00593694" w:rsidRDefault="008063CA">
      <w:pPr>
        <w:pStyle w:val="bulletlist"/>
        <w:numPr>
          <w:ilvl w:val="0"/>
          <w:numId w:val="2"/>
        </w:numPr>
        <w:ind w:left="576" w:hanging="288"/>
      </w:pPr>
      <w:r>
        <w:t>Use either SI (MKS) or CGS as primary units. (SI units are encouraged.) English units may be used as secondary units (in parentheses). An exception would be the use of English units as identifiers in trade, such as “3.5-inch disk drive”.</w:t>
      </w:r>
    </w:p>
    <w:p w14:paraId="2A77E1C2" w14:textId="77777777" w:rsidR="00593694" w:rsidRDefault="008063CA">
      <w:pPr>
        <w:pStyle w:val="bulletlist"/>
        <w:numPr>
          <w:ilvl w:val="0"/>
          <w:numId w:val="2"/>
        </w:numPr>
        <w:ind w:left="576" w:hanging="288"/>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41C977B" w14:textId="77777777" w:rsidR="00593694" w:rsidRDefault="008063CA">
      <w:pPr>
        <w:pStyle w:val="bulletlist"/>
        <w:numPr>
          <w:ilvl w:val="0"/>
          <w:numId w:val="2"/>
        </w:numPr>
        <w:ind w:left="576" w:hanging="288"/>
      </w:pPr>
      <w:r>
        <w:t>Do not mix complete spellings and abbreviations of units: “Wb/m2” or “webers per square meter”, not “webers/m2”.  Spell out units when they appear in text: “. . . a few henries”, not “. . . a few H”.</w:t>
      </w:r>
    </w:p>
    <w:p w14:paraId="67EC38E0" w14:textId="77777777" w:rsidR="00593694" w:rsidRDefault="008063CA">
      <w:pPr>
        <w:pStyle w:val="bulletlist"/>
        <w:numPr>
          <w:ilvl w:val="0"/>
          <w:numId w:val="2"/>
        </w:numPr>
        <w:ind w:left="576" w:hanging="288"/>
      </w:pPr>
      <w:r>
        <w:t>Use a zero before decimal points: “0.25”, not “.25”. Use “cm3”, not “cc”. (</w:t>
      </w:r>
      <w:r>
        <w:rPr>
          <w:i/>
          <w:iCs/>
        </w:rPr>
        <w:t>bullet list</w:t>
      </w:r>
      <w:r>
        <w:t>)</w:t>
      </w:r>
    </w:p>
    <w:p w14:paraId="6C4ED87E" w14:textId="77777777" w:rsidR="00593694" w:rsidRDefault="008063CA">
      <w:pPr>
        <w:pStyle w:val="Heading2"/>
        <w:numPr>
          <w:ilvl w:val="1"/>
          <w:numId w:val="4"/>
        </w:numPr>
      </w:pPr>
      <w:r>
        <w:t>Equations</w:t>
      </w:r>
    </w:p>
    <w:p w14:paraId="27D441ED" w14:textId="77777777" w:rsidR="00593694" w:rsidRDefault="008063CA">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4F1E729" w14:textId="77777777" w:rsidR="00593694" w:rsidRDefault="008063CA">
      <w:pPr>
        <w:pStyle w:val="BodyText"/>
        <w:rPr>
          <w:lang w:val="en-US"/>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1F3DBD01" w14:textId="77777777" w:rsidR="00593694" w:rsidRDefault="008063CA">
      <w:pPr>
        <w:pStyle w:val="equation"/>
      </w:pPr>
      <w:r>
        <w:tab/>
      </w:r>
      <w:r>
        <w:rPr>
          <w:rFonts w:ascii="Times New Roman" w:hAnsi="Times New Roman" w:cs="Times New Roman"/>
          <w:i/>
        </w:rPr>
        <w:t>a</w:t>
      </w:r>
      <w:r>
        <w:t></w:t>
      </w:r>
      <w:r>
        <w:t></w:t>
      </w:r>
      <w:r>
        <w:t></w:t>
      </w:r>
      <w:r>
        <w:rPr>
          <w:rFonts w:ascii="Times New Roman" w:hAnsi="Times New Roman" w:cs="Times New Roman"/>
          <w:i/>
        </w:rPr>
        <w:t>b</w:t>
      </w:r>
      <w:r>
        <w:t></w:t>
      </w:r>
      <w:r>
        <w:t></w:t>
      </w:r>
      <w:r>
        <w:t></w:t>
      </w:r>
      <w:r>
        <w:t></w:t>
      </w:r>
      <w:r>
        <w:t></w:t>
      </w:r>
      <w:r>
        <w:tab/>
      </w:r>
      <w:r>
        <w:t></w:t>
      </w:r>
      <w:r>
        <w:t></w:t>
      </w:r>
      <w:r>
        <w:t></w:t>
      </w:r>
    </w:p>
    <w:p w14:paraId="1E88902E" w14:textId="77777777" w:rsidR="00593694" w:rsidRDefault="008063CA">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80FECC1" w14:textId="77777777" w:rsidR="00593694" w:rsidRDefault="008063CA">
      <w:pPr>
        <w:pStyle w:val="Heading2"/>
        <w:numPr>
          <w:ilvl w:val="1"/>
          <w:numId w:val="4"/>
        </w:numPr>
      </w:pPr>
      <w:r>
        <w:t>Some Common Mistakes</w:t>
      </w:r>
    </w:p>
    <w:p w14:paraId="15FAA339" w14:textId="77777777" w:rsidR="00593694" w:rsidRDefault="008063CA">
      <w:pPr>
        <w:pStyle w:val="bulletlist"/>
        <w:numPr>
          <w:ilvl w:val="0"/>
          <w:numId w:val="2"/>
        </w:numPr>
        <w:ind w:left="576" w:hanging="288"/>
      </w:pPr>
      <w:r>
        <w:t>The word “data” is plural, not singular.</w:t>
      </w:r>
    </w:p>
    <w:p w14:paraId="4B5485F7" w14:textId="77777777" w:rsidR="00593694" w:rsidRDefault="008063CA">
      <w:pPr>
        <w:pStyle w:val="bulletlist"/>
        <w:numPr>
          <w:ilvl w:val="0"/>
          <w:numId w:val="2"/>
        </w:numPr>
        <w:ind w:left="576" w:hanging="288"/>
      </w:pPr>
      <w:r>
        <w:t xml:space="preserve">The subscript for the permeability of vacuum </w:t>
      </w:r>
      <w:r>
        <w:rPr>
          <w:rFonts w:ascii="Symbol" w:hAnsi="Symbol" w:cs="Symbol"/>
          <w:i/>
          <w:iCs/>
        </w:rPr>
        <w:t></w:t>
      </w:r>
      <w:r>
        <w:rPr>
          <w:vertAlign w:val="subscript"/>
        </w:rPr>
        <w:t>0</w:t>
      </w:r>
      <w:r>
        <w:t>, and other common scientific constants, is zero with subscript formatting, not a lowercase letter “o”.</w:t>
      </w:r>
    </w:p>
    <w:p w14:paraId="04A440C8" w14:textId="77777777" w:rsidR="00593694" w:rsidRDefault="008063CA">
      <w:pPr>
        <w:pStyle w:val="bulletlist"/>
        <w:numPr>
          <w:ilvl w:val="0"/>
          <w:numId w:val="2"/>
        </w:numPr>
        <w:ind w:left="576" w:hanging="288"/>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C55E949" w14:textId="77777777" w:rsidR="00593694" w:rsidRDefault="008063CA">
      <w:pPr>
        <w:pStyle w:val="bulletlist"/>
        <w:numPr>
          <w:ilvl w:val="0"/>
          <w:numId w:val="2"/>
        </w:numPr>
        <w:ind w:left="576" w:hanging="288"/>
      </w:pPr>
      <w:r>
        <w:t>A graph within a graph is an “inset”, not an “insert”. The word alternatively is preferred to the word “alternately” (unless you really mean something that alternates).</w:t>
      </w:r>
    </w:p>
    <w:p w14:paraId="76E36AEF" w14:textId="77777777" w:rsidR="00593694" w:rsidRDefault="008063CA">
      <w:pPr>
        <w:pStyle w:val="bulletlist"/>
        <w:numPr>
          <w:ilvl w:val="0"/>
          <w:numId w:val="2"/>
        </w:numPr>
        <w:ind w:left="576" w:hanging="288"/>
      </w:pPr>
      <w:r>
        <w:t>Do not use the word “essentially” to mean “approximately” or “effectively”.</w:t>
      </w:r>
    </w:p>
    <w:p w14:paraId="0D8A55BA" w14:textId="77777777" w:rsidR="00593694" w:rsidRDefault="008063CA">
      <w:pPr>
        <w:pStyle w:val="bulletlist"/>
        <w:numPr>
          <w:ilvl w:val="0"/>
          <w:numId w:val="2"/>
        </w:numPr>
        <w:ind w:left="576" w:hanging="288"/>
      </w:pPr>
      <w:r>
        <w:t>In your paper title, if the words “that uses” can accurately replace the word “using”, capitalize the “u”; if not, keep using lower-cased.</w:t>
      </w:r>
    </w:p>
    <w:p w14:paraId="0F0780A3" w14:textId="77777777" w:rsidR="00593694" w:rsidRDefault="008063CA">
      <w:pPr>
        <w:pStyle w:val="bulletlist"/>
        <w:numPr>
          <w:ilvl w:val="0"/>
          <w:numId w:val="2"/>
        </w:numPr>
        <w:ind w:left="576" w:hanging="288"/>
      </w:pPr>
      <w:r>
        <w:t>Be aware of the different meanings of the homophones “affect” and “effect”, “complement” and “compliment”, “discreet” and “discrete”, “principal” and “principle”.</w:t>
      </w:r>
    </w:p>
    <w:p w14:paraId="2DDEAC4E" w14:textId="77777777" w:rsidR="00593694" w:rsidRDefault="008063CA">
      <w:pPr>
        <w:pStyle w:val="bulletlist"/>
        <w:numPr>
          <w:ilvl w:val="0"/>
          <w:numId w:val="2"/>
        </w:numPr>
        <w:ind w:left="576" w:hanging="288"/>
      </w:pPr>
      <w:r>
        <w:t>Do not confuse “imply” and “infer”.</w:t>
      </w:r>
    </w:p>
    <w:p w14:paraId="528503ED" w14:textId="77777777" w:rsidR="00593694" w:rsidRDefault="008063CA">
      <w:pPr>
        <w:pStyle w:val="bulletlist"/>
        <w:numPr>
          <w:ilvl w:val="0"/>
          <w:numId w:val="2"/>
        </w:numPr>
        <w:ind w:left="576" w:hanging="288"/>
      </w:pPr>
      <w:r>
        <w:t>The prefix “non” is not a word; it should be joined to the word it modifies, usually without a hyphen.</w:t>
      </w:r>
    </w:p>
    <w:p w14:paraId="53F481E6" w14:textId="77777777" w:rsidR="00593694" w:rsidRDefault="008063CA">
      <w:pPr>
        <w:pStyle w:val="bulletlist"/>
        <w:numPr>
          <w:ilvl w:val="0"/>
          <w:numId w:val="2"/>
        </w:numPr>
        <w:ind w:left="576" w:hanging="288"/>
      </w:pPr>
      <w:r>
        <w:t>There is no period after the “et” in the Latin abbreviation “et al.”.</w:t>
      </w:r>
    </w:p>
    <w:p w14:paraId="6628367C" w14:textId="77777777" w:rsidR="00593694" w:rsidRDefault="008063CA">
      <w:pPr>
        <w:pStyle w:val="bulletlist"/>
        <w:numPr>
          <w:ilvl w:val="0"/>
          <w:numId w:val="2"/>
        </w:numPr>
        <w:ind w:left="576" w:hanging="288"/>
      </w:pPr>
      <w:r>
        <w:t>The abbreviation “i.e.” means “that is”, and the abbreviation “e.g.” means “for example”.</w:t>
      </w:r>
    </w:p>
    <w:p w14:paraId="2FBF1C66" w14:textId="77777777" w:rsidR="00593694" w:rsidRDefault="008063CA">
      <w:pPr>
        <w:pStyle w:val="BodyText"/>
      </w:pPr>
      <w:r>
        <w:t>An excellent style manual for science writers is [7].</w:t>
      </w:r>
    </w:p>
    <w:p w14:paraId="51B1375E" w14:textId="77777777" w:rsidR="00593694" w:rsidRDefault="008063CA">
      <w:pPr>
        <w:pStyle w:val="Heading1"/>
        <w:numPr>
          <w:ilvl w:val="0"/>
          <w:numId w:val="4"/>
        </w:numPr>
        <w:ind w:firstLine="0"/>
      </w:pPr>
      <w:r>
        <w:t>Using the Template</w:t>
      </w:r>
    </w:p>
    <w:p w14:paraId="16A5E179" w14:textId="77777777" w:rsidR="00593694" w:rsidRDefault="008063CA">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4C7AE01" w14:textId="77777777" w:rsidR="00593694" w:rsidRDefault="008063CA">
      <w:pPr>
        <w:pStyle w:val="Heading2"/>
        <w:numPr>
          <w:ilvl w:val="1"/>
          <w:numId w:val="4"/>
        </w:numPr>
      </w:pPr>
      <w:r>
        <w:t>Authors and Affiliations</w:t>
      </w:r>
    </w:p>
    <w:p w14:paraId="2B6B4E68" w14:textId="77777777" w:rsidR="00593694" w:rsidRDefault="008063CA">
      <w:pPr>
        <w:pStyle w:val="BodyText"/>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14:paraId="4EABB0F1" w14:textId="77777777" w:rsidR="00593694" w:rsidRDefault="008063CA">
      <w:pPr>
        <w:pStyle w:val="Heading3"/>
        <w:numPr>
          <w:ilvl w:val="2"/>
          <w:numId w:val="4"/>
        </w:numPr>
        <w:ind w:firstLine="288"/>
      </w:pPr>
      <w:r>
        <w:lastRenderedPageBreak/>
        <w:t xml:space="preserve">For papers with more than six authors: </w:t>
      </w:r>
      <w:r>
        <w:rPr>
          <w:i w:val="0"/>
        </w:rPr>
        <w:t>Add author names horizontally, moving to a third row if needed for more than 8 authors.</w:t>
      </w:r>
    </w:p>
    <w:p w14:paraId="2BAFDA21" w14:textId="77777777" w:rsidR="00593694" w:rsidRDefault="008063CA">
      <w:pPr>
        <w:pStyle w:val="Heading3"/>
        <w:numPr>
          <w:ilvl w:val="2"/>
          <w:numId w:val="4"/>
        </w:numPr>
        <w:ind w:firstLine="288"/>
      </w:pPr>
      <w:r>
        <w:t xml:space="preserve">For papers with less than six authors: </w:t>
      </w:r>
      <w:r>
        <w:rPr>
          <w:i w:val="0"/>
        </w:rPr>
        <w:t>To change the default, adjust the template as follows.</w:t>
      </w:r>
    </w:p>
    <w:p w14:paraId="144FEFE5" w14:textId="77777777" w:rsidR="00593694" w:rsidRDefault="008063CA">
      <w:pPr>
        <w:pStyle w:val="Heading4"/>
        <w:numPr>
          <w:ilvl w:val="3"/>
          <w:numId w:val="4"/>
        </w:numPr>
        <w:ind w:firstLine="504"/>
      </w:pPr>
      <w:r>
        <w:t xml:space="preserve">Selection: </w:t>
      </w:r>
      <w:r>
        <w:rPr>
          <w:i w:val="0"/>
        </w:rPr>
        <w:t>Highlight all author and affiliation lines.</w:t>
      </w:r>
    </w:p>
    <w:p w14:paraId="59B2D7BE" w14:textId="77777777" w:rsidR="00593694" w:rsidRDefault="008063CA">
      <w:pPr>
        <w:pStyle w:val="Heading4"/>
        <w:numPr>
          <w:ilvl w:val="3"/>
          <w:numId w:val="4"/>
        </w:numPr>
        <w:ind w:firstLine="504"/>
      </w:pPr>
      <w:r>
        <w:t xml:space="preserve">Change number of columns: </w:t>
      </w:r>
      <w:r>
        <w:rPr>
          <w:i w:val="0"/>
        </w:rPr>
        <w:t>Select the Columns icon from the MS Word Standard toolbar and then select the correct number of columns from the selection palette.</w:t>
      </w:r>
    </w:p>
    <w:p w14:paraId="3D0B6CAA" w14:textId="77777777" w:rsidR="00593694" w:rsidRDefault="008063CA">
      <w:pPr>
        <w:pStyle w:val="Heading4"/>
        <w:numPr>
          <w:ilvl w:val="3"/>
          <w:numId w:val="4"/>
        </w:numPr>
        <w:ind w:firstLine="504"/>
        <w:rPr>
          <w:i w:val="0"/>
        </w:rPr>
      </w:pPr>
      <w:r>
        <w:t xml:space="preserve">Deletion: </w:t>
      </w:r>
      <w:r>
        <w:rPr>
          <w:i w:val="0"/>
        </w:rPr>
        <w:t>Delete the author and affiliation lines for the extra authors.</w:t>
      </w:r>
    </w:p>
    <w:p w14:paraId="7A548B06" w14:textId="77777777" w:rsidR="00593694" w:rsidRDefault="00593694">
      <w:pPr>
        <w:jc w:val="left"/>
        <w:rPr>
          <w:i/>
          <w:iCs/>
        </w:rPr>
      </w:pPr>
    </w:p>
    <w:p w14:paraId="18665A25" w14:textId="77777777" w:rsidR="00593694" w:rsidRDefault="008063CA">
      <w:pPr>
        <w:pStyle w:val="Heading2"/>
        <w:numPr>
          <w:ilvl w:val="1"/>
          <w:numId w:val="4"/>
        </w:numPr>
      </w:pPr>
      <w:r>
        <w:t>Identify the Headings</w:t>
      </w:r>
    </w:p>
    <w:p w14:paraId="299D05C0" w14:textId="77777777" w:rsidR="00593694" w:rsidRDefault="008063CA">
      <w:pPr>
        <w:pStyle w:val="BodyText"/>
      </w:pPr>
      <w:r>
        <w:t>Headings, or heads, are organizational devices that guide the reader through your paper. There are two types: component heads and text heads.</w:t>
      </w:r>
    </w:p>
    <w:p w14:paraId="07F25518" w14:textId="77777777" w:rsidR="00593694" w:rsidRDefault="008063CA">
      <w:pPr>
        <w:pStyle w:val="BodyText"/>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6B731FD" w14:textId="77777777" w:rsidR="00593694" w:rsidRDefault="008063CA">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D05A08E" w14:textId="77777777" w:rsidR="00593694" w:rsidRDefault="008063CA">
      <w:pPr>
        <w:pStyle w:val="Heading2"/>
        <w:numPr>
          <w:ilvl w:val="1"/>
          <w:numId w:val="4"/>
        </w:numPr>
      </w:pPr>
      <w:r>
        <w:t>Figures and Tables</w:t>
      </w:r>
    </w:p>
    <w:p w14:paraId="0BED6C4A" w14:textId="77777777" w:rsidR="00593694" w:rsidRDefault="008063CA">
      <w:pPr>
        <w:pStyle w:val="Heading4"/>
        <w:numPr>
          <w:ilvl w:val="3"/>
          <w:numId w:val="4"/>
        </w:numPr>
        <w:ind w:firstLine="504"/>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E5FFA5F" w14:textId="77777777" w:rsidR="00593694" w:rsidRDefault="008063CA">
      <w:pPr>
        <w:pStyle w:val="tablehead"/>
        <w:numPr>
          <w:ilvl w:val="0"/>
          <w:numId w:val="6"/>
        </w:numPr>
      </w:pPr>
      <w:r>
        <w:t>Table Type Styles</w:t>
      </w:r>
    </w:p>
    <w:tbl>
      <w:tblPr>
        <w:tblW w:w="486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720"/>
        <w:gridCol w:w="2341"/>
        <w:gridCol w:w="900"/>
        <w:gridCol w:w="900"/>
      </w:tblGrid>
      <w:tr w:rsidR="00593694" w14:paraId="41271AF4" w14:textId="77777777">
        <w:trPr>
          <w:cantSplit/>
          <w:trHeight w:val="240"/>
          <w:tblHeader/>
          <w:jc w:val="center"/>
        </w:trPr>
        <w:tc>
          <w:tcPr>
            <w:tcW w:w="719"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3314DDC9" w14:textId="77777777" w:rsidR="00593694" w:rsidRDefault="008063CA">
            <w:pPr>
              <w:pStyle w:val="tablecolhead"/>
            </w:pPr>
            <w:r>
              <w:t>Table Head</w:t>
            </w:r>
          </w:p>
        </w:tc>
        <w:tc>
          <w:tcPr>
            <w:tcW w:w="4141"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428D489A" w14:textId="77777777" w:rsidR="00593694" w:rsidRDefault="008063CA">
            <w:pPr>
              <w:pStyle w:val="tablecolhead"/>
            </w:pPr>
            <w:r>
              <w:t>Table Column Head</w:t>
            </w:r>
          </w:p>
        </w:tc>
      </w:tr>
      <w:tr w:rsidR="00593694" w14:paraId="3DB8C4A2" w14:textId="77777777">
        <w:trPr>
          <w:cantSplit/>
          <w:trHeight w:val="240"/>
          <w:tblHeader/>
          <w:jc w:val="center"/>
        </w:trPr>
        <w:tc>
          <w:tcPr>
            <w:tcW w:w="719" w:type="dxa"/>
            <w:vMerge/>
            <w:tcBorders>
              <w:top w:val="single" w:sz="2" w:space="0" w:color="000000"/>
              <w:left w:val="single" w:sz="2" w:space="0" w:color="000000"/>
              <w:bottom w:val="single" w:sz="2" w:space="0" w:color="000000"/>
              <w:right w:val="single" w:sz="2" w:space="0" w:color="000000"/>
            </w:tcBorders>
            <w:shd w:val="clear" w:color="auto" w:fill="auto"/>
          </w:tcPr>
          <w:p w14:paraId="1441E8C5" w14:textId="77777777" w:rsidR="00593694" w:rsidRDefault="00593694">
            <w:pPr>
              <w:rPr>
                <w:sz w:val="16"/>
                <w:szCs w:val="16"/>
              </w:rPr>
            </w:pPr>
          </w:p>
        </w:tc>
        <w:tc>
          <w:tcPr>
            <w:tcW w:w="23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F8B9725" w14:textId="77777777" w:rsidR="00593694" w:rsidRDefault="008063CA">
            <w:pPr>
              <w:pStyle w:val="tablecolsubhead"/>
            </w:pPr>
            <w:r>
              <w:t>Table column 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9324E84" w14:textId="77777777" w:rsidR="00593694" w:rsidRDefault="008063CA">
            <w:pPr>
              <w:pStyle w:val="tablecolsubhead"/>
            </w:pPr>
            <w: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9FB0342" w14:textId="77777777" w:rsidR="00593694" w:rsidRDefault="008063CA">
            <w:pPr>
              <w:pStyle w:val="tablecolsubhead"/>
            </w:pPr>
            <w:r>
              <w:t>Subhead</w:t>
            </w:r>
          </w:p>
        </w:tc>
      </w:tr>
      <w:tr w:rsidR="00593694" w14:paraId="4CCE6C98" w14:textId="77777777">
        <w:trPr>
          <w:trHeight w:val="320"/>
          <w:jc w:val="center"/>
        </w:trPr>
        <w:tc>
          <w:tcPr>
            <w:tcW w:w="7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45C4387" w14:textId="77777777" w:rsidR="00593694" w:rsidRDefault="008063CA">
            <w:pPr>
              <w:pStyle w:val="tablecopy"/>
              <w:rPr>
                <w:sz w:val="8"/>
                <w:szCs w:val="8"/>
              </w:rPr>
            </w:pPr>
            <w:r>
              <w:t>copy</w:t>
            </w:r>
          </w:p>
        </w:tc>
        <w:tc>
          <w:tcPr>
            <w:tcW w:w="234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2979997" w14:textId="77777777" w:rsidR="00593694" w:rsidRDefault="008063CA">
            <w:pPr>
              <w:pStyle w:val="tablecopy"/>
            </w:pPr>
            <w: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CEBFFF5" w14:textId="77777777" w:rsidR="00593694" w:rsidRDefault="00593694">
            <w:pPr>
              <w:rPr>
                <w:sz w:val="16"/>
                <w:szCs w:val="16"/>
              </w:rPr>
            </w:pP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C74C7E" w14:textId="77777777" w:rsidR="00593694" w:rsidRDefault="00593694">
            <w:pPr>
              <w:rPr>
                <w:sz w:val="16"/>
                <w:szCs w:val="16"/>
              </w:rPr>
            </w:pPr>
          </w:p>
        </w:tc>
      </w:tr>
    </w:tbl>
    <w:p w14:paraId="2628CF7F" w14:textId="77777777" w:rsidR="00593694" w:rsidRDefault="008063CA">
      <w:pPr>
        <w:pStyle w:val="tablefootnote"/>
        <w:numPr>
          <w:ilvl w:val="0"/>
          <w:numId w:val="7"/>
        </w:numPr>
        <w:ind w:left="58" w:hanging="29"/>
      </w:pPr>
      <w:r>
        <w:t>Sample of a Table footnote. (</w:t>
      </w:r>
      <w:r>
        <w:rPr>
          <w:i/>
        </w:rPr>
        <w:t>Table footnote</w:t>
      </w:r>
      <w:r>
        <w:t>)</w:t>
      </w:r>
    </w:p>
    <w:p w14:paraId="06AD1188" w14:textId="77777777" w:rsidR="00593694" w:rsidRDefault="008063CA">
      <w:pPr>
        <w:pStyle w:val="figurecaption"/>
        <w:numPr>
          <w:ilvl w:val="0"/>
          <w:numId w:val="3"/>
        </w:numPr>
        <w:ind w:left="0" w:firstLine="0"/>
      </w:pPr>
      <w:r>
        <w:t xml:space="preserve">Example of a figure caption. </w:t>
      </w:r>
      <w:r>
        <w:rPr>
          <w:iCs/>
        </w:rPr>
        <w:t>(</w:t>
      </w:r>
      <w:r>
        <w:rPr>
          <w:i/>
          <w:iCs/>
        </w:rPr>
        <w:t>figure caption</w:t>
      </w:r>
      <w:r>
        <w:rPr>
          <w:iCs/>
        </w:rPr>
        <w:t>)</w:t>
      </w:r>
    </w:p>
    <w:p w14:paraId="38865271" w14:textId="77777777" w:rsidR="00593694" w:rsidRDefault="008063CA">
      <w:pPr>
        <w:pStyle w:val="BodyText"/>
      </w:pPr>
      <w:r>
        <w:t xml:space="preserve">Figure Labels: Use 8 point Times New Roman for Figure labels. Use words rather than symbols or abbreviations when writing Figure axis labels to avoid confusing the reader. As an example, write the quantity “Magnetization”, or “Magnetization, </w:t>
      </w:r>
      <w:r>
        <w:t>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14159032" w14:textId="77777777" w:rsidR="00593694" w:rsidRDefault="008063CA">
      <w:pPr>
        <w:pStyle w:val="Heading5"/>
      </w:pPr>
      <w:r>
        <w:t xml:space="preserve">Acknowledgment </w:t>
      </w:r>
      <w:r>
        <w:rPr>
          <w:i/>
          <w:iCs/>
        </w:rPr>
        <w:t>(</w:t>
      </w:r>
      <w:r>
        <w:rPr>
          <w:i/>
          <w:iCs/>
          <w:smallCaps w:val="0"/>
        </w:rPr>
        <w:t>Heading 5</w:t>
      </w:r>
      <w:r>
        <w:rPr>
          <w:i/>
          <w:iCs/>
        </w:rPr>
        <w:t>)</w:t>
      </w:r>
    </w:p>
    <w:p w14:paraId="1A498B29" w14:textId="77777777" w:rsidR="00593694" w:rsidRDefault="008063CA">
      <w:pPr>
        <w:pStyle w:val="BodyText"/>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 xml:space="preserve">Put sponsor acknowledgments in the unnumbered footnote on the first page. </w:t>
      </w:r>
    </w:p>
    <w:p w14:paraId="126C51D4" w14:textId="77777777" w:rsidR="00593694" w:rsidRDefault="008063CA">
      <w:pPr>
        <w:pStyle w:val="Heading5"/>
      </w:pPr>
      <w:r>
        <w:t>References</w:t>
      </w:r>
    </w:p>
    <w:p w14:paraId="608BF2C1" w14:textId="77777777" w:rsidR="00593694" w:rsidRDefault="008063CA">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14:paraId="73ECAD8D" w14:textId="77777777" w:rsidR="00593694" w:rsidRDefault="008063CA">
      <w:pPr>
        <w:pStyle w:val="BodyText"/>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14:paraId="59CAF973" w14:textId="77777777" w:rsidR="00593694" w:rsidRDefault="008063CA">
      <w:pPr>
        <w:pStyle w:val="BodyText"/>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AD09B19" w14:textId="77777777" w:rsidR="00593694" w:rsidRDefault="008063CA">
      <w:pPr>
        <w:pStyle w:val="BodyText"/>
      </w:pPr>
      <w:r>
        <w:t>For papers published in translation journals, please give the English citation first, followed by the original foreign-language citation [6].</w:t>
      </w:r>
    </w:p>
    <w:p w14:paraId="0FDB049F" w14:textId="77777777" w:rsidR="00593694" w:rsidRDefault="00593694"/>
    <w:p w14:paraId="604D08DF" w14:textId="77777777" w:rsidR="00593694" w:rsidRDefault="008063CA">
      <w:pPr>
        <w:pStyle w:val="references"/>
        <w:numPr>
          <w:ilvl w:val="0"/>
          <w:numId w:val="5"/>
        </w:numPr>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65A4D4C" w14:textId="77777777" w:rsidR="00593694" w:rsidRDefault="008063CA">
      <w:pPr>
        <w:pStyle w:val="references"/>
        <w:numPr>
          <w:ilvl w:val="0"/>
          <w:numId w:val="5"/>
        </w:numPr>
        <w:ind w:left="354" w:hanging="354"/>
      </w:pPr>
      <w:r>
        <w:t>J. Clerk Maxwell, A Treatise on Electricity and Magnetism, 3rd ed., vol. 2. Oxford: Clarendon, 1892, pp.68–73.</w:t>
      </w:r>
    </w:p>
    <w:p w14:paraId="515420DE" w14:textId="77777777" w:rsidR="00593694" w:rsidRDefault="008063CA">
      <w:pPr>
        <w:pStyle w:val="references"/>
        <w:numPr>
          <w:ilvl w:val="0"/>
          <w:numId w:val="5"/>
        </w:numPr>
        <w:ind w:left="354" w:hanging="354"/>
      </w:pPr>
      <w:r>
        <w:t>I. S. Jacobs and C. P. Bean, “Fine particles, thin films and exchange anisotropy,” in Magnetism, vol. III, G. T. Rado and H. Suhl, Eds. New York: Academic, 1963, pp. 271–350.</w:t>
      </w:r>
    </w:p>
    <w:p w14:paraId="237DD0B2" w14:textId="77777777" w:rsidR="00593694" w:rsidRDefault="008063CA">
      <w:pPr>
        <w:pStyle w:val="references"/>
        <w:numPr>
          <w:ilvl w:val="0"/>
          <w:numId w:val="5"/>
        </w:numPr>
        <w:ind w:left="354" w:hanging="354"/>
      </w:pPr>
      <w:r>
        <w:t>K. Elissa, “Title of paper if known,” unpublished.</w:t>
      </w:r>
    </w:p>
    <w:p w14:paraId="2CBC13A8" w14:textId="77777777" w:rsidR="00593694" w:rsidRDefault="008063CA">
      <w:pPr>
        <w:pStyle w:val="references"/>
        <w:numPr>
          <w:ilvl w:val="0"/>
          <w:numId w:val="5"/>
        </w:numPr>
        <w:ind w:left="354" w:hanging="354"/>
      </w:pPr>
      <w:r>
        <w:t>R. Nicole, “Title of paper with only first word capitalized,” J. Name Stand. Abbrev., in press.</w:t>
      </w:r>
    </w:p>
    <w:p w14:paraId="464AE973" w14:textId="77777777" w:rsidR="00593694" w:rsidRDefault="008063CA">
      <w:pPr>
        <w:pStyle w:val="references"/>
        <w:numPr>
          <w:ilvl w:val="0"/>
          <w:numId w:val="5"/>
        </w:numPr>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2EABD50" w14:textId="77777777" w:rsidR="00593694" w:rsidRDefault="008063CA">
      <w:pPr>
        <w:pStyle w:val="references"/>
        <w:numPr>
          <w:ilvl w:val="0"/>
          <w:numId w:val="5"/>
        </w:numPr>
        <w:ind w:left="354" w:hanging="354"/>
      </w:pPr>
      <w:r>
        <w:t>M. Young, The Technical Writer’s Handbook. Mill Valley, CA: University Science, 1989.</w:t>
      </w:r>
    </w:p>
    <w:p w14:paraId="426D8C6A" w14:textId="77777777" w:rsidR="00593694" w:rsidRDefault="008063CA">
      <w:pPr>
        <w:pStyle w:val="references"/>
        <w:ind w:left="360" w:hanging="360"/>
        <w:jc w:val="center"/>
        <w:rPr>
          <w:rFonts w:eastAsia="SimSun"/>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14:paraId="7FB09CFD" w14:textId="77777777" w:rsidR="00593694" w:rsidRDefault="00593694">
      <w:pPr>
        <w:sectPr w:rsidR="00593694">
          <w:type w:val="continuous"/>
          <w:pgSz w:w="12240" w:h="15840"/>
          <w:pgMar w:top="1080" w:right="893" w:bottom="1723" w:left="893" w:header="0" w:footer="1440" w:gutter="0"/>
          <w:cols w:num="2" w:space="360"/>
          <w:formProt w:val="0"/>
          <w:docGrid w:linePitch="360" w:charSpace="8192"/>
        </w:sectPr>
      </w:pPr>
    </w:p>
    <w:p w14:paraId="358397FD" w14:textId="77777777" w:rsidR="00593694" w:rsidRDefault="00593694"/>
    <w:p w14:paraId="146A84FA" w14:textId="77777777" w:rsidR="00593694" w:rsidRDefault="00593694">
      <w:pPr>
        <w:sectPr w:rsidR="00593694">
          <w:type w:val="continuous"/>
          <w:pgSz w:w="12240" w:h="15840"/>
          <w:pgMar w:top="1080" w:right="893" w:bottom="1723" w:left="893" w:header="0" w:footer="1440" w:gutter="0"/>
          <w:cols w:space="720"/>
          <w:formProt w:val="0"/>
          <w:docGrid w:linePitch="360" w:charSpace="8192"/>
        </w:sectPr>
      </w:pPr>
    </w:p>
    <w:p w14:paraId="557C29E9" w14:textId="77777777" w:rsidR="008063CA" w:rsidRDefault="008063CA"/>
    <w:sectPr w:rsidR="008063CA">
      <w:type w:val="continuous"/>
      <w:pgSz w:w="12240" w:h="15840"/>
      <w:pgMar w:top="1080" w:right="893" w:bottom="1723" w:left="893" w:header="0" w:footer="144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7E4D2" w14:textId="77777777" w:rsidR="001F7B0F" w:rsidRDefault="001F7B0F">
      <w:r>
        <w:separator/>
      </w:r>
    </w:p>
  </w:endnote>
  <w:endnote w:type="continuationSeparator" w:id="0">
    <w:p w14:paraId="70627E00" w14:textId="77777777" w:rsidR="001F7B0F" w:rsidRDefault="001F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D8FAF" w14:textId="77777777" w:rsidR="00593694" w:rsidRDefault="008063CA">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739E0" w14:textId="77777777" w:rsidR="001F7B0F" w:rsidRDefault="001F7B0F">
      <w:r>
        <w:separator/>
      </w:r>
    </w:p>
  </w:footnote>
  <w:footnote w:type="continuationSeparator" w:id="0">
    <w:p w14:paraId="551E4E2C" w14:textId="77777777" w:rsidR="001F7B0F" w:rsidRDefault="001F7B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EF1"/>
    <w:multiLevelType w:val="multilevel"/>
    <w:tmpl w:val="D822136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20905E8E"/>
    <w:multiLevelType w:val="multilevel"/>
    <w:tmpl w:val="5CE66B08"/>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78B2B05"/>
    <w:multiLevelType w:val="multilevel"/>
    <w:tmpl w:val="528A0150"/>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3A712FB5"/>
    <w:multiLevelType w:val="multilevel"/>
    <w:tmpl w:val="CAAE175C"/>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DA01D1"/>
    <w:multiLevelType w:val="multilevel"/>
    <w:tmpl w:val="D3B0B3BC"/>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9A50762"/>
    <w:multiLevelType w:val="multilevel"/>
    <w:tmpl w:val="B88A02C2"/>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3E858A9"/>
    <w:multiLevelType w:val="multilevel"/>
    <w:tmpl w:val="07D4CE18"/>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694"/>
    <w:rsid w:val="00004CFA"/>
    <w:rsid w:val="000729BB"/>
    <w:rsid w:val="00173374"/>
    <w:rsid w:val="001F7B0F"/>
    <w:rsid w:val="00593694"/>
    <w:rsid w:val="005944E6"/>
    <w:rsid w:val="00600DA5"/>
    <w:rsid w:val="007674BB"/>
    <w:rsid w:val="007B7104"/>
    <w:rsid w:val="008063CA"/>
    <w:rsid w:val="008F215B"/>
    <w:rsid w:val="00A15D7C"/>
    <w:rsid w:val="00A37292"/>
    <w:rsid w:val="00CA5A17"/>
    <w:rsid w:val="00D64694"/>
    <w:rsid w:val="00E6528A"/>
    <w:rsid w:val="00EF03E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7BCC"/>
  <w15:docId w15:val="{98C551D8-850B-499D-A66D-DAC8308A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character" w:styleId="Hyperlink">
    <w:name w:val="Hyperlink"/>
    <w:basedOn w:val="DefaultParagraphFont"/>
    <w:rsid w:val="00E6528A"/>
    <w:rPr>
      <w:color w:val="0563C1" w:themeColor="hyperlink"/>
      <w:u w:val="single"/>
    </w:rPr>
  </w:style>
  <w:style w:type="character" w:styleId="UnresolvedMention">
    <w:name w:val="Unresolved Mention"/>
    <w:basedOn w:val="DefaultParagraphFont"/>
    <w:uiPriority w:val="99"/>
    <w:semiHidden/>
    <w:unhideWhenUsed/>
    <w:rsid w:val="00E65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fuelcell.sourceforge.net/books/export/htm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FC0E5-3AF0-4405-B622-8B330266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RAHUL HOSKERI</cp:lastModifiedBy>
  <cp:revision>8</cp:revision>
  <dcterms:created xsi:type="dcterms:W3CDTF">2019-01-08T18:42:00Z</dcterms:created>
  <dcterms:modified xsi:type="dcterms:W3CDTF">2019-12-10T09:23:00Z</dcterms:modified>
  <dc:language>en-US</dc:language>
</cp:coreProperties>
</file>