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jc w:val="left"/>
      </w:pPr>
      <w:r>
        <w:rPr>
          <w:rFonts w:ascii="Arial" w:cs="Arial" w:eastAsia="Arial" w:hAnsi="Arial"/>
          <w:b/>
          <w:bCs/>
          <w:color w:val="1A322F"/>
          <w:sz w:val="48"/>
          <w:szCs w:val="48"/>
        </w:rPr>
        <w:t xml:space="preserve">ASPEN VALUATIONS</w:t>
      </w:r>
    </w:p>
    <w:p>
      <w:pPr>
        <w:spacing w:after="0"/>
        <w:jc w:val="left"/>
      </w:pPr>
      <w:r>
        <w:rPr>
          <w:rFonts w:ascii="Arial" w:cs="Arial" w:eastAsia="Arial" w:hAnsi="Arial"/>
          <w:b/>
          <w:bCs/>
          <w:color w:val="05B4C9"/>
          <w:sz w:val="36"/>
          <w:szCs w:val="36"/>
        </w:rPr>
        <w:t xml:space="preserve">VALUATIONS</w:t>
      </w:r>
    </w:p>
    <w:p>
      <w:pPr>
        <w:spacing w:after="320"/>
      </w:pPr>
      <w:r>
        <w:rPr>
          <w:rFonts w:ascii="Arial" w:cs="Arial" w:eastAsia="Arial" w:hAnsi="Arial"/>
          <w:color w:val="05B4C9"/>
          <w:sz w:val="18"/>
          <w:szCs w:val="18"/>
        </w:rPr>
        <w:t xml:space="preserve">KNOW YOUR WORTH</w:t>
      </w:r>
    </w:p>
    <w:p>
      <w:pPr>
        <w:pBdr>
          <w:bottom w:val="single" w:color="05B4C9" w:sz="6" w:space="1"/>
        </w:pBdr>
        <w:spacing w:after="0" w:before="0"/>
      </w:pPr>
    </w:p>
    <w:p>
      <w:pPr>
        <w:spacing w:after="200" w:before="0"/>
      </w:pPr>
    </w:p>
    <w:p>
      <w:pPr>
        <w:spacing w:after="120"/>
      </w:pPr>
      <w:r>
        <w:rPr>
          <w:rFonts w:ascii="Arial" w:cs="Arial" w:eastAsia="Arial" w:hAnsi="Arial"/>
          <w:b/>
          <w:bCs/>
          <w:color w:val="1A322F"/>
          <w:sz w:val="52"/>
          <w:szCs w:val="52"/>
        </w:rPr>
        <w:t xml:space="preserve">CBV Practice Inspection Checklist</w:t>
      </w:r>
    </w:p>
    <w:p>
      <w:pPr>
        <w:spacing w:after="240"/>
      </w:pPr>
      <w:r>
        <w:rPr>
          <w:rFonts w:ascii="Arial" w:cs="Arial" w:eastAsia="Arial" w:hAnsi="Arial"/>
          <w:b/>
          <w:bCs/>
          <w:color w:val="05B4C9"/>
          <w:sz w:val="36"/>
          <w:szCs w:val="36"/>
        </w:rPr>
        <w:t xml:space="preserve">R&amp;D Revamp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Prepared by</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Practice Leader — Aspen Valuations</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Date</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May 2026</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Version</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2.0 — Full Revamp</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Status</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Ready for Development</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Stack</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Next.js (React) hosted on Vercel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single" w:color="05B4C9" w:sz="12"/>
              <w:bottom w:val="none" w:color="FFFFFF" w:sz="0"/>
              <w:right w:val="none" w:color="FFFFFF" w:sz="0"/>
            </w:tcBorders>
            <w:shd w:fill="E6F8FA" w:val="clear"/>
            <w:tcMar>
              <w:top w:type="dxa" w:w="80"/>
              <w:left w:type="dxa" w:w="120"/>
              <w:bottom w:type="dxa" w:w="80"/>
              <w:right w:type="dxa" w:w="0"/>
            </w:tcMar>
          </w:tcPr>
          <w:p/>
        </w:tc>
        <w:tc>
          <w:tcPr>
            <w:tcW w:type="dxa" w:w="9220"/>
            <w:tcBorders>
              <w:top w:val="none" w:color="FFFFFF" w:sz="0"/>
              <w:left w:val="none" w:color="FFFFFF" w:sz="0"/>
              <w:bottom w:val="none" w:color="FFFFFF" w:sz="0"/>
              <w:right w:val="none" w:color="FFFFFF" w:sz="0"/>
            </w:tcBorders>
            <w:shd w:fill="E6F8FA" w:val="clear"/>
            <w:tcMar>
              <w:top w:type="dxa" w:w="100"/>
              <w:left w:type="dxa" w:w="160"/>
              <w:bottom w:type="dxa" w:w="100"/>
              <w:right w:type="dxa" w:w="160"/>
            </w:tcMar>
          </w:tcPr>
          <w:p>
            <w:r>
              <w:rPr>
                <w:rFonts w:ascii="Arial" w:cs="Arial" w:eastAsia="Arial" w:hAnsi="Arial"/>
                <w:b/>
                <w:bCs/>
                <w:color w:val="05B4C9"/>
                <w:sz w:val="18"/>
                <w:szCs w:val="18"/>
              </w:rPr>
              <w:t xml:space="preserve">Purpose:  </w:t>
            </w:r>
            <w:r>
              <w:rPr>
                <w:rFonts w:ascii="Arial" w:cs="Arial" w:eastAsia="Arial" w:hAnsi="Arial"/>
                <w:color w:val="3A3A3A"/>
                <w:sz w:val="18"/>
                <w:szCs w:val="18"/>
              </w:rPr>
              <w:t xml:space="preserve">This document specifies all changes to be made to the existing CBV Practice Inspection Checklist app. It covers the questionnaire flow, branching logic, visual design, and email output. The PDF output is being eliminated. The email itself becomes the compliance record.</w:t>
            </w:r>
          </w:p>
        </w:tc>
      </w:tr>
    </w:tbl>
    <w:p>
      <w:pPr>
        <w:spacing w:after="400" w:before="0"/>
      </w:pPr>
    </w:p>
    <w:p>
      <w:pPr>
        <w:pStyle w:val="Heading1"/>
        <w:spacing w:after="160" w:before="360"/>
      </w:pPr>
      <w:r>
        <w:rPr>
          <w:rFonts w:ascii="Arial" w:cs="Arial" w:eastAsia="Arial" w:hAnsi="Arial"/>
          <w:b/>
          <w:bCs/>
          <w:color w:val="1A322F"/>
          <w:sz w:val="36"/>
          <w:szCs w:val="36"/>
        </w:rPr>
        <w:t xml:space="preserve">1. Overview of Changes</w:t>
      </w:r>
    </w:p>
    <w:p>
      <w:pPr>
        <w:pBdr>
          <w:bottom w:val="single" w:color="E4E4E0" w:sz="6" w:space="1"/>
        </w:pBdr>
        <w:spacing w:after="0" w:before="0"/>
      </w:pPr>
    </w:p>
    <w:p>
      <w:pPr>
        <w:spacing w:after="80" w:before="0"/>
      </w:pPr>
    </w:p>
    <w:p>
      <w:pPr>
        <w:spacing w:after="120" w:before="0"/>
      </w:pPr>
      <w:r>
        <w:rPr>
          <w:rFonts w:ascii="Arial" w:cs="Arial" w:eastAsia="Arial" w:hAnsi="Arial"/>
          <w:color w:val="3A3A3A"/>
          <w:sz w:val="20"/>
          <w:szCs w:val="20"/>
        </w:rPr>
        <w:t xml:space="preserve">The revamp addresses three areas: how the questionnaire is structured and presented, how branching logic works to reduce unnecessary questions, and how the final email output is formatted. Each change is described in detail below with exact specifications for implementation.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Remove PDF output</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The email itself is the compliance record. No attachment needed.</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Add engagement profile gates</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Six gate questions at the top auto-grey non-applicable questions.</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Add keyword bolding</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Key phrases in all 86 questions are bolded for faster scanning.</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Redesign email output</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Two-part branded email: Part 1 (summary) + Part 2 (Q&amp;A log).</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Apply brand guidelines</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Dark Green #1A322F header, Blue Teal #05B4C9 accents throughout.</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Revamp UI design</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Sidebar navigation, progress bar, live section badges, branded header.</w:t>
            </w:r>
          </w:p>
        </w:tc>
      </w:tr>
    </w:tbl>
    <w:p>
      <w:pPr>
        <w:spacing w:after="200" w:before="0"/>
      </w:pPr>
    </w:p>
    <w:p>
      <w:pPr>
        <w:pStyle w:val="Heading1"/>
        <w:spacing w:after="160" w:before="360"/>
      </w:pPr>
      <w:r>
        <w:rPr>
          <w:rFonts w:ascii="Arial" w:cs="Arial" w:eastAsia="Arial" w:hAnsi="Arial"/>
          <w:b/>
          <w:bCs/>
          <w:color w:val="1A322F"/>
          <w:sz w:val="36"/>
          <w:szCs w:val="36"/>
        </w:rPr>
        <w:t xml:space="preserve">2. Questionnaire — Engagement Profile Gate Questions</w:t>
      </w:r>
    </w:p>
    <w:p>
      <w:pPr>
        <w:pBdr>
          <w:bottom w:val="single" w:color="E4E4E0" w:sz="6" w:space="1"/>
        </w:pBdr>
        <w:spacing w:after="0" w:before="0"/>
      </w:pPr>
    </w:p>
    <w:p>
      <w:pPr>
        <w:spacing w:after="80" w:before="0"/>
      </w:pPr>
    </w:p>
    <w:p>
      <w:pPr>
        <w:spacing w:after="120" w:before="0"/>
      </w:pPr>
      <w:r>
        <w:rPr>
          <w:rFonts w:ascii="Arial" w:cs="Arial" w:eastAsia="Arial" w:hAnsi="Arial"/>
          <w:color w:val="3A3A3A"/>
          <w:sz w:val="20"/>
          <w:szCs w:val="20"/>
        </w:rPr>
        <w:t xml:space="preserve">Before the reviewer encounters any of the 86 CBV checklist questions, they must first complete a dedicated “Engagement Profile” section. This section contains six gate questions. The answers to these questions drive conditional logic that automatically greys out non-applicable questions throughout the rest of the checklist.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single" w:color="05B4C9" w:sz="12"/>
              <w:bottom w:val="none" w:color="FFFFFF" w:sz="0"/>
              <w:right w:val="none" w:color="FFFFFF" w:sz="0"/>
            </w:tcBorders>
            <w:shd w:fill="E6F8FA" w:val="clear"/>
            <w:tcMar>
              <w:top w:type="dxa" w:w="80"/>
              <w:left w:type="dxa" w:w="120"/>
              <w:bottom w:type="dxa" w:w="80"/>
              <w:right w:type="dxa" w:w="0"/>
            </w:tcMar>
          </w:tcPr>
          <w:p/>
        </w:tc>
        <w:tc>
          <w:tcPr>
            <w:tcW w:type="dxa" w:w="9220"/>
            <w:tcBorders>
              <w:top w:val="none" w:color="FFFFFF" w:sz="0"/>
              <w:left w:val="none" w:color="FFFFFF" w:sz="0"/>
              <w:bottom w:val="none" w:color="FFFFFF" w:sz="0"/>
              <w:right w:val="none" w:color="FFFFFF" w:sz="0"/>
            </w:tcBorders>
            <w:shd w:fill="E6F8FA" w:val="clear"/>
            <w:tcMar>
              <w:top w:type="dxa" w:w="100"/>
              <w:left w:type="dxa" w:w="160"/>
              <w:bottom w:type="dxa" w:w="100"/>
              <w:right w:type="dxa" w:w="160"/>
            </w:tcMar>
          </w:tcPr>
          <w:p>
            <w:r>
              <w:rPr>
                <w:rFonts w:ascii="Arial" w:cs="Arial" w:eastAsia="Arial" w:hAnsi="Arial"/>
                <w:b/>
                <w:bCs/>
                <w:color w:val="05B4C9"/>
                <w:sz w:val="18"/>
                <w:szCs w:val="18"/>
              </w:rPr>
              <w:t xml:space="preserve">Why this matters:  </w:t>
            </w:r>
            <w:r>
              <w:rPr>
                <w:rFonts w:ascii="Arial" w:cs="Arial" w:eastAsia="Arial" w:hAnsi="Arial"/>
                <w:color w:val="3A3A3A"/>
                <w:sz w:val="18"/>
                <w:szCs w:val="18"/>
              </w:rPr>
              <w:t xml:space="preserve">Reviewers should not have to scroll through and answer questions that are irrelevant to their engagement type. The gate questions eliminate this friction upfront.</w:t>
            </w:r>
          </w:p>
        </w:tc>
      </w:tr>
    </w:tbl>
    <w:p>
      <w:pPr>
        <w:spacing w:after="160" w:before="0"/>
      </w:pPr>
    </w:p>
    <w:p>
      <w:pPr>
        <w:pStyle w:val="Heading2"/>
        <w:spacing w:after="120" w:before="280"/>
      </w:pPr>
      <w:r>
        <w:rPr>
          <w:rFonts w:ascii="Arial" w:cs="Arial" w:eastAsia="Arial" w:hAnsi="Arial"/>
          <w:b/>
          <w:bCs/>
          <w:color w:val="05B4C9"/>
          <w:sz w:val="26"/>
          <w:szCs w:val="26"/>
        </w:rPr>
        <w:t xml:space="preserve">2.1 Gate Questions — Full Specification</w:t>
      </w:r>
    </w:p>
    <w:p>
      <w:pPr>
        <w:spacing w:after="60" w:before="0"/>
      </w:pPr>
    </w:p>
    <w:p>
      <w:pPr>
        <w:spacing w:after="120" w:before="0"/>
      </w:pPr>
      <w:r>
        <w:rPr>
          <w:rFonts w:ascii="Arial" w:cs="Arial" w:eastAsia="Arial" w:hAnsi="Arial"/>
          <w:color w:val="3A3A3A"/>
          <w:sz w:val="20"/>
          <w:szCs w:val="20"/>
        </w:rPr>
        <w:t xml:space="preserve">Implement each gate question as a card with button-style selectors (not a dropdown). Display the engagement profile section as the second item in the sidebar navigation, immediately after “Engagement Details.”</w:t>
      </w:r>
    </w:p>
    <w:p>
      <w:pPr>
        <w:spacing w:after="120" w:before="0"/>
      </w:pPr>
    </w:p>
    <w:p>
      <w:pPr>
        <w:spacing w:after="80" w:before="200"/>
      </w:pPr>
      <w:r>
        <w:rPr>
          <w:rFonts w:ascii="Arial" w:cs="Arial" w:eastAsia="Arial" w:hAnsi="Arial"/>
          <w:b/>
          <w:bCs/>
          <w:color w:val="1A322F"/>
          <w:sz w:val="22"/>
          <w:szCs w:val="22"/>
        </w:rPr>
        <w:t xml:space="preserve">Gate 1 — Oral Valuation Conclusion</w:t>
      </w:r>
    </w:p>
    <w:p>
      <w:pPr>
        <w:spacing w:after="120" w:before="0"/>
      </w:pPr>
      <w:r>
        <w:rPr>
          <w:rFonts w:ascii="Arial" w:cs="Arial" w:eastAsia="Arial" w:hAnsi="Arial"/>
          <w:color w:val="3A3A3A"/>
          <w:sz w:val="20"/>
          <w:szCs w:val="20"/>
        </w:rPr>
        <w:t xml:space="preserve">Question: Is this an oral valuation conclusion engagement?</w:t>
      </w:r>
    </w:p>
    <w:p>
      <w:pPr>
        <w:spacing w:after="120" w:before="0"/>
      </w:pPr>
      <w:r>
        <w:rPr>
          <w:rFonts w:ascii="Arial" w:cs="Arial" w:eastAsia="Arial" w:hAnsi="Arial"/>
          <w:color w:val="3A3A3A"/>
          <w:sz w:val="20"/>
          <w:szCs w:val="20"/>
        </w:rPr>
        <w:t xml:space="preserve">Answer options: Yes | No</w:t>
      </w:r>
    </w:p>
    <w:p>
      <w:pPr>
        <w:pStyle w:val="ListParagraph"/>
        <w:numPr>
          <w:ilvl w:val="0"/>
          <w:numId w:val="2"/>
        </w:numPr>
        <w:spacing w:after="80"/>
      </w:pPr>
      <w:r>
        <w:rPr>
          <w:rFonts w:ascii="Arial" w:cs="Arial" w:eastAsia="Arial" w:hAnsi="Arial"/>
          <w:color w:val="3A3A3A"/>
          <w:sz w:val="20"/>
          <w:szCs w:val="20"/>
        </w:rPr>
        <w:t xml:space="preserve">If No is selected: grey out Q5, Q6, Q7, Q8 across all sections</w:t>
      </w:r>
    </w:p>
    <w:p>
      <w:pPr>
        <w:pStyle w:val="ListParagraph"/>
        <w:numPr>
          <w:ilvl w:val="0"/>
          <w:numId w:val="2"/>
        </w:numPr>
        <w:spacing w:after="80"/>
      </w:pPr>
      <w:r>
        <w:rPr>
          <w:rFonts w:ascii="Arial" w:cs="Arial" w:eastAsia="Arial" w:hAnsi="Arial"/>
          <w:color w:val="3A3A3A"/>
          <w:sz w:val="20"/>
          <w:szCs w:val="20"/>
        </w:rPr>
        <w:t xml:space="preserve">Show inline note: “Q5–8 (oral conclusions) greyed out — not applicable.”</w:t>
      </w:r>
    </w:p>
    <w:p>
      <w:pPr>
        <w:spacing w:after="80" w:before="0"/>
      </w:pPr>
    </w:p>
    <w:p>
      <w:pPr>
        <w:spacing w:after="80" w:before="200"/>
      </w:pPr>
      <w:r>
        <w:rPr>
          <w:rFonts w:ascii="Arial" w:cs="Arial" w:eastAsia="Arial" w:hAnsi="Arial"/>
          <w:b/>
          <w:bCs/>
          <w:color w:val="1A322F"/>
          <w:sz w:val="22"/>
          <w:szCs w:val="22"/>
        </w:rPr>
        <w:t xml:space="preserve">Gate 2 — Practice Standards</w:t>
      </w:r>
    </w:p>
    <w:p>
      <w:pPr>
        <w:spacing w:after="120" w:before="0"/>
      </w:pPr>
      <w:r>
        <w:rPr>
          <w:rFonts w:ascii="Arial" w:cs="Arial" w:eastAsia="Arial" w:hAnsi="Arial"/>
          <w:color w:val="3A3A3A"/>
          <w:sz w:val="20"/>
          <w:szCs w:val="20"/>
        </w:rPr>
        <w:t xml:space="preserve">Question: Which practice standards apply to this engagement?</w:t>
      </w:r>
    </w:p>
    <w:p>
      <w:pPr>
        <w:spacing w:after="120" w:before="0"/>
      </w:pPr>
      <w:r>
        <w:rPr>
          <w:rFonts w:ascii="Arial" w:cs="Arial" w:eastAsia="Arial" w:hAnsi="Arial"/>
          <w:color w:val="3A3A3A"/>
          <w:sz w:val="20"/>
          <w:szCs w:val="20"/>
        </w:rPr>
        <w:t xml:space="preserve">Answer options: CBV 110/120/130 | IVS</w:t>
      </w:r>
    </w:p>
    <w:p>
      <w:pPr>
        <w:pStyle w:val="ListParagraph"/>
        <w:numPr>
          <w:ilvl w:val="0"/>
          <w:numId w:val="2"/>
        </w:numPr>
        <w:spacing w:after="80"/>
      </w:pPr>
      <w:r>
        <w:rPr>
          <w:rFonts w:ascii="Arial" w:cs="Arial" w:eastAsia="Arial" w:hAnsi="Arial"/>
          <w:color w:val="3A3A3A"/>
          <w:sz w:val="20"/>
          <w:szCs w:val="20"/>
        </w:rPr>
        <w:t xml:space="preserve">If CBV 110/120/130 is selected: grey out Q10, Q11</w:t>
      </w:r>
    </w:p>
    <w:p>
      <w:pPr>
        <w:pStyle w:val="ListParagraph"/>
        <w:numPr>
          <w:ilvl w:val="0"/>
          <w:numId w:val="2"/>
        </w:numPr>
        <w:spacing w:after="80"/>
      </w:pPr>
      <w:r>
        <w:rPr>
          <w:rFonts w:ascii="Arial" w:cs="Arial" w:eastAsia="Arial" w:hAnsi="Arial"/>
          <w:color w:val="3A3A3A"/>
          <w:sz w:val="20"/>
          <w:szCs w:val="20"/>
        </w:rPr>
        <w:t xml:space="preserve">Show inline note: “Q10–11 (IVS compliance) greyed out — not applicable.”</w:t>
      </w:r>
    </w:p>
    <w:p>
      <w:pPr>
        <w:spacing w:after="80" w:before="0"/>
      </w:pPr>
    </w:p>
    <w:p>
      <w:pPr>
        <w:spacing w:after="80" w:before="200"/>
      </w:pPr>
      <w:r>
        <w:rPr>
          <w:rFonts w:ascii="Arial" w:cs="Arial" w:eastAsia="Arial" w:hAnsi="Arial"/>
          <w:b/>
          <w:bCs/>
          <w:color w:val="1A322F"/>
          <w:sz w:val="22"/>
          <w:szCs w:val="22"/>
        </w:rPr>
        <w:t xml:space="preserve">Gate 3 — Type of Valuation Conclusion</w:t>
      </w:r>
    </w:p>
    <w:p>
      <w:pPr>
        <w:spacing w:after="120" w:before="0"/>
      </w:pPr>
      <w:r>
        <w:rPr>
          <w:rFonts w:ascii="Arial" w:cs="Arial" w:eastAsia="Arial" w:hAnsi="Arial"/>
          <w:color w:val="3A3A3A"/>
          <w:sz w:val="20"/>
          <w:szCs w:val="20"/>
        </w:rPr>
        <w:t xml:space="preserve">Question: Type of valuation conclusion for this engagement?</w:t>
      </w:r>
    </w:p>
    <w:p>
      <w:pPr>
        <w:spacing w:after="120" w:before="0"/>
      </w:pPr>
      <w:r>
        <w:rPr>
          <w:rFonts w:ascii="Arial" w:cs="Arial" w:eastAsia="Arial" w:hAnsi="Arial"/>
          <w:color w:val="3A3A3A"/>
          <w:sz w:val="20"/>
          <w:szCs w:val="20"/>
        </w:rPr>
        <w:t xml:space="preserve">Answer options: Comprehensive Valuation Report | Estimate Valuation Report | Calculation Valuation Report | IVS Standard Report</w:t>
      </w:r>
    </w:p>
    <w:p>
      <w:pPr>
        <w:pStyle w:val="ListParagraph"/>
        <w:numPr>
          <w:ilvl w:val="0"/>
          <w:numId w:val="2"/>
        </w:numPr>
        <w:spacing w:after="80"/>
      </w:pPr>
      <w:r>
        <w:rPr>
          <w:rFonts w:ascii="Arial" w:cs="Arial" w:eastAsia="Arial" w:hAnsi="Arial"/>
          <w:color w:val="3A3A3A"/>
          <w:sz w:val="20"/>
          <w:szCs w:val="20"/>
        </w:rPr>
        <w:t xml:space="preserve">No greying behaviour. This answer is captured for display in the email summary only.</w:t>
      </w:r>
    </w:p>
    <w:p>
      <w:pPr>
        <w:pStyle w:val="ListParagraph"/>
        <w:numPr>
          <w:ilvl w:val="0"/>
          <w:numId w:val="2"/>
        </w:numPr>
        <w:spacing w:after="80"/>
      </w:pPr>
      <w:r>
        <w:rPr>
          <w:rFonts w:ascii="Arial" w:cs="Arial" w:eastAsia="Arial" w:hAnsi="Arial"/>
          <w:color w:val="3A3A3A"/>
          <w:sz w:val="20"/>
          <w:szCs w:val="20"/>
        </w:rPr>
        <w:t xml:space="preserve">Show the selected conclusion type as a badge in the Part 1 engagement header of the email.</w:t>
      </w:r>
    </w:p>
    <w:p>
      <w:pPr>
        <w:spacing w:after="80" w:before="0"/>
      </w:pPr>
    </w:p>
    <w:p>
      <w:pPr>
        <w:spacing w:after="80" w:before="200"/>
      </w:pPr>
      <w:r>
        <w:rPr>
          <w:rFonts w:ascii="Arial" w:cs="Arial" w:eastAsia="Arial" w:hAnsi="Arial"/>
          <w:b/>
          <w:bCs/>
          <w:color w:val="1A322F"/>
          <w:sz w:val="22"/>
          <w:szCs w:val="22"/>
        </w:rPr>
        <w:t xml:space="preserve">Gate 4 — Scope Limitations</w:t>
      </w:r>
    </w:p>
    <w:p>
      <w:pPr>
        <w:spacing w:after="120" w:before="0"/>
      </w:pPr>
      <w:r>
        <w:rPr>
          <w:rFonts w:ascii="Arial" w:cs="Arial" w:eastAsia="Arial" w:hAnsi="Arial"/>
          <w:color w:val="3A3A3A"/>
          <w:sz w:val="20"/>
          <w:szCs w:val="20"/>
        </w:rPr>
        <w:t xml:space="preserve">Question: Are there scope limitations in this engagement?</w:t>
      </w:r>
    </w:p>
    <w:p>
      <w:pPr>
        <w:spacing w:after="120" w:before="0"/>
      </w:pPr>
      <w:r>
        <w:rPr>
          <w:rFonts w:ascii="Arial" w:cs="Arial" w:eastAsia="Arial" w:hAnsi="Arial"/>
          <w:color w:val="3A3A3A"/>
          <w:sz w:val="20"/>
          <w:szCs w:val="20"/>
        </w:rPr>
        <w:t xml:space="preserve">Answer options: Yes | No</w:t>
      </w:r>
    </w:p>
    <w:p>
      <w:pPr>
        <w:pStyle w:val="ListParagraph"/>
        <w:numPr>
          <w:ilvl w:val="0"/>
          <w:numId w:val="2"/>
        </w:numPr>
        <w:spacing w:after="80"/>
      </w:pPr>
      <w:r>
        <w:rPr>
          <w:rFonts w:ascii="Arial" w:cs="Arial" w:eastAsia="Arial" w:hAnsi="Arial"/>
          <w:color w:val="3A3A3A"/>
          <w:sz w:val="20"/>
          <w:szCs w:val="20"/>
        </w:rPr>
        <w:t xml:space="preserve">If No is selected: grey out Q42, Q43</w:t>
      </w:r>
    </w:p>
    <w:p>
      <w:pPr>
        <w:pStyle w:val="ListParagraph"/>
        <w:numPr>
          <w:ilvl w:val="0"/>
          <w:numId w:val="2"/>
        </w:numPr>
        <w:spacing w:after="80"/>
      </w:pPr>
      <w:r>
        <w:rPr>
          <w:rFonts w:ascii="Arial" w:cs="Arial" w:eastAsia="Arial" w:hAnsi="Arial"/>
          <w:color w:val="3A3A3A"/>
          <w:sz w:val="20"/>
          <w:szCs w:val="20"/>
        </w:rPr>
        <w:t xml:space="preserve">Show inline note: “Q42–43 (scope limitations) greyed out — not applicable.”</w:t>
      </w:r>
    </w:p>
    <w:p>
      <w:pPr>
        <w:spacing w:after="80" w:before="0"/>
      </w:pPr>
    </w:p>
    <w:p>
      <w:pPr>
        <w:spacing w:after="80" w:before="200"/>
      </w:pPr>
      <w:r>
        <w:rPr>
          <w:rFonts w:ascii="Arial" w:cs="Arial" w:eastAsia="Arial" w:hAnsi="Arial"/>
          <w:b/>
          <w:bCs/>
          <w:color w:val="1A322F"/>
          <w:sz w:val="22"/>
          <w:szCs w:val="22"/>
        </w:rPr>
        <w:t xml:space="preserve">Gate 5 — Engagement Letter</w:t>
      </w:r>
    </w:p>
    <w:p>
      <w:pPr>
        <w:spacing w:after="120" w:before="0"/>
      </w:pPr>
      <w:r>
        <w:rPr>
          <w:rFonts w:ascii="Arial" w:cs="Arial" w:eastAsia="Arial" w:hAnsi="Arial"/>
          <w:color w:val="3A3A3A"/>
          <w:sz w:val="20"/>
          <w:szCs w:val="20"/>
        </w:rPr>
        <w:t xml:space="preserve">Question: Does a signed engagement letter exist?</w:t>
      </w:r>
    </w:p>
    <w:p>
      <w:pPr>
        <w:spacing w:after="120" w:before="0"/>
      </w:pPr>
      <w:r>
        <w:rPr>
          <w:rFonts w:ascii="Arial" w:cs="Arial" w:eastAsia="Arial" w:hAnsi="Arial"/>
          <w:color w:val="3A3A3A"/>
          <w:sz w:val="20"/>
          <w:szCs w:val="20"/>
        </w:rPr>
        <w:t xml:space="preserve">Answer options: Yes | No</w:t>
      </w:r>
    </w:p>
    <w:p>
      <w:pPr>
        <w:pStyle w:val="ListParagraph"/>
        <w:numPr>
          <w:ilvl w:val="0"/>
          <w:numId w:val="2"/>
        </w:numPr>
        <w:spacing w:after="80"/>
      </w:pPr>
      <w:r>
        <w:rPr>
          <w:rFonts w:ascii="Arial" w:cs="Arial" w:eastAsia="Arial" w:hAnsi="Arial"/>
          <w:color w:val="3A3A3A"/>
          <w:sz w:val="20"/>
          <w:szCs w:val="20"/>
        </w:rPr>
        <w:t xml:space="preserve">No greying behaviour.</w:t>
      </w:r>
    </w:p>
    <w:p>
      <w:pPr>
        <w:pStyle w:val="ListParagraph"/>
        <w:numPr>
          <w:ilvl w:val="0"/>
          <w:numId w:val="2"/>
        </w:numPr>
        <w:spacing w:after="80"/>
      </w:pPr>
      <w:r>
        <w:rPr>
          <w:rFonts w:ascii="Arial" w:cs="Arial" w:eastAsia="Arial" w:hAnsi="Arial"/>
          <w:color w:val="3A3A3A"/>
          <w:sz w:val="20"/>
          <w:szCs w:val="20"/>
        </w:rPr>
        <w:t xml:space="preserve">If No is selected: surface as a practice leader flag in the review modal and in Part 1 of the email under “Flagged items.” Use red flag styling identical to No answers.</w:t>
      </w:r>
    </w:p>
    <w:p>
      <w:pPr>
        <w:spacing w:after="80" w:before="0"/>
      </w:pPr>
    </w:p>
    <w:p>
      <w:pPr>
        <w:spacing w:after="80" w:before="200"/>
      </w:pPr>
      <w:r>
        <w:rPr>
          <w:rFonts w:ascii="Arial" w:cs="Arial" w:eastAsia="Arial" w:hAnsi="Arial"/>
          <w:b/>
          <w:bCs/>
          <w:color w:val="1A322F"/>
          <w:sz w:val="22"/>
          <w:szCs w:val="22"/>
        </w:rPr>
        <w:t xml:space="preserve">Gate 6 — Representation Letter</w:t>
      </w:r>
    </w:p>
    <w:p>
      <w:pPr>
        <w:spacing w:after="120" w:before="0"/>
      </w:pPr>
      <w:r>
        <w:rPr>
          <w:rFonts w:ascii="Arial" w:cs="Arial" w:eastAsia="Arial" w:hAnsi="Arial"/>
          <w:color w:val="3A3A3A"/>
          <w:sz w:val="20"/>
          <w:szCs w:val="20"/>
        </w:rPr>
        <w:t xml:space="preserve">Question: Has a client/management representation letter been obtained?</w:t>
      </w:r>
    </w:p>
    <w:p>
      <w:pPr>
        <w:spacing w:after="120" w:before="0"/>
      </w:pPr>
      <w:r>
        <w:rPr>
          <w:rFonts w:ascii="Arial" w:cs="Arial" w:eastAsia="Arial" w:hAnsi="Arial"/>
          <w:color w:val="3A3A3A"/>
          <w:sz w:val="20"/>
          <w:szCs w:val="20"/>
        </w:rPr>
        <w:t xml:space="preserve">Answer options: Yes | No — but there is supporting internal documentation</w:t>
      </w:r>
    </w:p>
    <w:p>
      <w:pPr>
        <w:pStyle w:val="ListParagraph"/>
        <w:numPr>
          <w:ilvl w:val="0"/>
          <w:numId w:val="2"/>
        </w:numPr>
        <w:spacing w:after="80"/>
      </w:pPr>
      <w:r>
        <w:rPr>
          <w:rFonts w:ascii="Arial" w:cs="Arial" w:eastAsia="Arial" w:hAnsi="Arial"/>
          <w:color w:val="3A3A3A"/>
          <w:sz w:val="20"/>
          <w:szCs w:val="20"/>
        </w:rPr>
        <w:t xml:space="preserve">If “No — but there is supporting internal documentation” is selected: grey out Q69 and Q86</w:t>
      </w:r>
    </w:p>
    <w:p>
      <w:pPr>
        <w:pStyle w:val="ListParagraph"/>
        <w:numPr>
          <w:ilvl w:val="0"/>
          <w:numId w:val="2"/>
        </w:numPr>
        <w:spacing w:after="80"/>
      </w:pPr>
      <w:r>
        <w:rPr>
          <w:rFonts w:ascii="Arial" w:cs="Arial" w:eastAsia="Arial" w:hAnsi="Arial"/>
          <w:color w:val="3A3A3A"/>
          <w:sz w:val="20"/>
          <w:szCs w:val="20"/>
        </w:rPr>
        <w:t xml:space="preserve">Show inline note: “Q69 and Q86 greyed out — rep letter branch not applicable.”</w:t>
      </w:r>
    </w:p>
    <w:p>
      <w:pPr>
        <w:spacing w:after="200" w:before="0"/>
      </w:pPr>
    </w:p>
    <w:p>
      <w:pPr>
        <w:pStyle w:val="Heading1"/>
        <w:spacing w:after="160" w:before="360"/>
      </w:pPr>
      <w:r>
        <w:rPr>
          <w:rFonts w:ascii="Arial" w:cs="Arial" w:eastAsia="Arial" w:hAnsi="Arial"/>
          <w:b/>
          <w:bCs/>
          <w:color w:val="1A322F"/>
          <w:sz w:val="36"/>
          <w:szCs w:val="36"/>
        </w:rPr>
        <w:t xml:space="preserve">3. Questionnaire — UI &amp; Behaviour</w:t>
      </w:r>
    </w:p>
    <w:p>
      <w:pPr>
        <w:pBdr>
          <w:bottom w:val="single" w:color="E4E4E0" w:sz="6" w:space="1"/>
        </w:pBdr>
        <w:spacing w:after="0" w:before="0"/>
      </w:pPr>
    </w:p>
    <w:p>
      <w:pPr>
        <w:spacing w:after="80" w:before="0"/>
      </w:pPr>
    </w:p>
    <w:p>
      <w:pPr>
        <w:pStyle w:val="Heading2"/>
        <w:spacing w:after="120" w:before="280"/>
      </w:pPr>
      <w:r>
        <w:rPr>
          <w:rFonts w:ascii="Arial" w:cs="Arial" w:eastAsia="Arial" w:hAnsi="Arial"/>
          <w:b/>
          <w:bCs/>
          <w:color w:val="05B4C9"/>
          <w:sz w:val="26"/>
          <w:szCs w:val="26"/>
        </w:rPr>
        <w:t xml:space="preserve">3.1 Sidebar Navigation</w:t>
      </w:r>
    </w:p>
    <w:p>
      <w:pPr>
        <w:spacing w:after="120" w:before="0"/>
      </w:pPr>
      <w:r>
        <w:rPr>
          <w:rFonts w:ascii="Arial" w:cs="Arial" w:eastAsia="Arial" w:hAnsi="Arial"/>
          <w:color w:val="3A3A3A"/>
          <w:sz w:val="20"/>
          <w:szCs w:val="20"/>
        </w:rPr>
        <w:t xml:space="preserve">Replace the current single-page scroll with a persistent sidebar and section-based navigation. The sidebar should display the following sections in order:</w:t>
      </w:r>
    </w:p>
    <w:p>
      <w:pPr>
        <w:pStyle w:val="ListParagraph"/>
        <w:numPr>
          <w:ilvl w:val="0"/>
          <w:numId w:val="3"/>
        </w:numPr>
        <w:spacing w:after="100"/>
      </w:pPr>
      <w:r>
        <w:rPr>
          <w:rFonts w:ascii="Arial" w:cs="Arial" w:eastAsia="Arial" w:hAnsi="Arial"/>
          <w:color w:val="3A3A3A"/>
          <w:sz w:val="20"/>
          <w:szCs w:val="20"/>
        </w:rPr>
        <w:t xml:space="preserve">Engagement Details (meta fields)</w:t>
      </w:r>
    </w:p>
    <w:p>
      <w:pPr>
        <w:pStyle w:val="ListParagraph"/>
        <w:numPr>
          <w:ilvl w:val="0"/>
          <w:numId w:val="3"/>
        </w:numPr>
        <w:spacing w:after="100"/>
      </w:pPr>
      <w:r>
        <w:rPr>
          <w:rFonts w:ascii="Arial" w:cs="Arial" w:eastAsia="Arial" w:hAnsi="Arial"/>
          <w:color w:val="3A3A3A"/>
          <w:sz w:val="20"/>
          <w:szCs w:val="20"/>
        </w:rPr>
        <w:t xml:space="preserve">Engagement Profile (gate questions)</w:t>
      </w:r>
    </w:p>
    <w:p>
      <w:pPr>
        <w:pStyle w:val="ListParagraph"/>
        <w:numPr>
          <w:ilvl w:val="0"/>
          <w:numId w:val="3"/>
        </w:numPr>
        <w:spacing w:after="100"/>
      </w:pPr>
      <w:r>
        <w:rPr>
          <w:rFonts w:ascii="Arial" w:cs="Arial" w:eastAsia="Arial" w:hAnsi="Arial"/>
          <w:color w:val="3A3A3A"/>
          <w:sz w:val="20"/>
          <w:szCs w:val="20"/>
        </w:rPr>
        <w:t xml:space="preserve">PS 100 — Valuation Conclusions</w:t>
      </w:r>
    </w:p>
    <w:p>
      <w:pPr>
        <w:pStyle w:val="ListParagraph"/>
        <w:numPr>
          <w:ilvl w:val="0"/>
          <w:numId w:val="3"/>
        </w:numPr>
        <w:spacing w:after="100"/>
      </w:pPr>
      <w:r>
        <w:rPr>
          <w:rFonts w:ascii="Arial" w:cs="Arial" w:eastAsia="Arial" w:hAnsi="Arial"/>
          <w:color w:val="3A3A3A"/>
          <w:sz w:val="20"/>
          <w:szCs w:val="20"/>
        </w:rPr>
        <w:t xml:space="preserve">PS 110 — Report Disclosure</w:t>
      </w:r>
    </w:p>
    <w:p>
      <w:pPr>
        <w:pStyle w:val="ListParagraph"/>
        <w:numPr>
          <w:ilvl w:val="0"/>
          <w:numId w:val="3"/>
        </w:numPr>
        <w:spacing w:after="100"/>
      </w:pPr>
      <w:r>
        <w:rPr>
          <w:rFonts w:ascii="Arial" w:cs="Arial" w:eastAsia="Arial" w:hAnsi="Arial"/>
          <w:color w:val="3A3A3A"/>
          <w:sz w:val="20"/>
          <w:szCs w:val="20"/>
        </w:rPr>
        <w:t xml:space="preserve">PS 120 — Scope of Work</w:t>
      </w:r>
    </w:p>
    <w:p>
      <w:pPr>
        <w:pStyle w:val="ListParagraph"/>
        <w:numPr>
          <w:ilvl w:val="0"/>
          <w:numId w:val="3"/>
        </w:numPr>
        <w:spacing w:after="100"/>
      </w:pPr>
      <w:r>
        <w:rPr>
          <w:rFonts w:ascii="Arial" w:cs="Arial" w:eastAsia="Arial" w:hAnsi="Arial"/>
          <w:color w:val="3A3A3A"/>
          <w:sz w:val="20"/>
          <w:szCs w:val="20"/>
        </w:rPr>
        <w:t xml:space="preserve">PS 130 — File Documentation</w:t>
      </w:r>
    </w:p>
    <w:p>
      <w:pPr>
        <w:spacing w:after="80" w:before="0"/>
      </w:pPr>
    </w:p>
    <w:p>
      <w:pPr>
        <w:spacing w:after="120" w:before="0"/>
      </w:pPr>
      <w:r>
        <w:rPr>
          <w:rFonts w:ascii="Arial" w:cs="Arial" w:eastAsia="Arial" w:hAnsi="Arial"/>
          <w:color w:val="3A3A3A"/>
          <w:sz w:val="20"/>
          <w:szCs w:val="20"/>
        </w:rPr>
        <w:t xml:space="preserve">Each PS section in the sidebar shows a live badge that updates as the reviewer works:</w:t>
      </w:r>
    </w:p>
    <w:p>
      <w:pPr>
        <w:pStyle w:val="ListParagraph"/>
        <w:numPr>
          <w:ilvl w:val="0"/>
          <w:numId w:val="2"/>
        </w:numPr>
        <w:spacing w:after="80"/>
      </w:pPr>
      <w:r>
        <w:rPr>
          <w:rFonts w:ascii="Arial" w:cs="Arial" w:eastAsia="Arial" w:hAnsi="Arial"/>
          <w:color w:val="3A3A3A"/>
          <w:sz w:val="20"/>
          <w:szCs w:val="20"/>
        </w:rPr>
        <w:t xml:space="preserve">Green checkmark (✓): all active questions in the section are answered</w:t>
      </w:r>
    </w:p>
    <w:p>
      <w:pPr>
        <w:pStyle w:val="ListParagraph"/>
        <w:numPr>
          <w:ilvl w:val="0"/>
          <w:numId w:val="2"/>
        </w:numPr>
        <w:spacing w:after="80"/>
      </w:pPr>
      <w:r>
        <w:rPr>
          <w:rFonts w:ascii="Arial" w:cs="Arial" w:eastAsia="Arial" w:hAnsi="Arial"/>
          <w:color w:val="3A3A3A"/>
          <w:sz w:val="20"/>
          <w:szCs w:val="20"/>
        </w:rPr>
        <w:t xml:space="preserve">Red number (e.g. “2”): count of No answers in that section</w:t>
      </w:r>
    </w:p>
    <w:p>
      <w:pPr>
        <w:pStyle w:val="ListParagraph"/>
        <w:numPr>
          <w:ilvl w:val="0"/>
          <w:numId w:val="2"/>
        </w:numPr>
        <w:spacing w:after="80"/>
      </w:pPr>
      <w:r>
        <w:rPr>
          <w:rFonts w:ascii="Arial" w:cs="Arial" w:eastAsia="Arial" w:hAnsi="Arial"/>
          <w:color w:val="3A3A3A"/>
          <w:sz w:val="20"/>
          <w:szCs w:val="20"/>
        </w:rPr>
        <w:t xml:space="preserve">Grey dash (—): section not yet started</w:t>
      </w:r>
    </w:p>
    <w:p>
      <w:pPr>
        <w:spacing w:after="120" w:before="0"/>
      </w:pPr>
    </w:p>
    <w:p>
      <w:pPr>
        <w:pStyle w:val="Heading2"/>
        <w:spacing w:after="120" w:before="280"/>
      </w:pPr>
      <w:r>
        <w:rPr>
          <w:rFonts w:ascii="Arial" w:cs="Arial" w:eastAsia="Arial" w:hAnsi="Arial"/>
          <w:b/>
          <w:bCs/>
          <w:color w:val="05B4C9"/>
          <w:sz w:val="26"/>
          <w:szCs w:val="26"/>
        </w:rPr>
        <w:t xml:space="preserve">3.2 Progress Bar</w:t>
      </w:r>
    </w:p>
    <w:p>
      <w:pPr>
        <w:spacing w:after="120" w:before="0"/>
      </w:pPr>
      <w:r>
        <w:rPr>
          <w:rFonts w:ascii="Arial" w:cs="Arial" w:eastAsia="Arial" w:hAnsi="Arial"/>
          <w:color w:val="3A3A3A"/>
          <w:sz w:val="20"/>
          <w:szCs w:val="20"/>
        </w:rPr>
        <w:t xml:space="preserve">Display a progress bar at the top of the sidebar. The denominator should reflect only active (non-greyed) questions. As gate answers grey out questions, the total adjusts dynamically. Show the count as “X of Y answered.”</w:t>
      </w:r>
    </w:p>
    <w:p>
      <w:pPr>
        <w:spacing w:after="120" w:before="0"/>
      </w:pPr>
    </w:p>
    <w:p>
      <w:pPr>
        <w:pStyle w:val="Heading2"/>
        <w:spacing w:after="120" w:before="280"/>
      </w:pPr>
      <w:r>
        <w:rPr>
          <w:rFonts w:ascii="Arial" w:cs="Arial" w:eastAsia="Arial" w:hAnsi="Arial"/>
          <w:b/>
          <w:bCs/>
          <w:color w:val="05B4C9"/>
          <w:sz w:val="26"/>
          <w:szCs w:val="26"/>
        </w:rPr>
        <w:t xml:space="preserve">3.3 Answer Buttons</w:t>
      </w:r>
    </w:p>
    <w:p>
      <w:pPr>
        <w:spacing w:after="120" w:before="0"/>
      </w:pPr>
      <w:r>
        <w:rPr>
          <w:rFonts w:ascii="Arial" w:cs="Arial" w:eastAsia="Arial" w:hAnsi="Arial"/>
          <w:color w:val="3A3A3A"/>
          <w:sz w:val="20"/>
          <w:szCs w:val="20"/>
        </w:rPr>
        <w:t xml:space="preserve">Each question displays inline answer buttons: Yes, No, and N/A (where applicable). Buttons are styled as:</w:t>
      </w:r>
    </w:p>
    <w:p>
      <w:pPr>
        <w:pStyle w:val="ListParagraph"/>
        <w:numPr>
          <w:ilvl w:val="0"/>
          <w:numId w:val="2"/>
        </w:numPr>
        <w:spacing w:after="80"/>
      </w:pPr>
      <w:r>
        <w:rPr>
          <w:rFonts w:ascii="Arial" w:cs="Arial" w:eastAsia="Arial" w:hAnsi="Arial"/>
          <w:color w:val="3A3A3A"/>
          <w:sz w:val="20"/>
          <w:szCs w:val="20"/>
        </w:rPr>
        <w:t xml:space="preserve">Yes selected: teal background (#05B4C9), white text</w:t>
      </w:r>
    </w:p>
    <w:p>
      <w:pPr>
        <w:pStyle w:val="ListParagraph"/>
        <w:numPr>
          <w:ilvl w:val="0"/>
          <w:numId w:val="2"/>
        </w:numPr>
        <w:spacing w:after="80"/>
      </w:pPr>
      <w:r>
        <w:rPr>
          <w:rFonts w:ascii="Arial" w:cs="Arial" w:eastAsia="Arial" w:hAnsi="Arial"/>
          <w:color w:val="3A3A3A"/>
          <w:sz w:val="20"/>
          <w:szCs w:val="20"/>
        </w:rPr>
        <w:t xml:space="preserve">No selected: red background, white text. The entire question row gets a red left border and light red background.</w:t>
      </w:r>
    </w:p>
    <w:p>
      <w:pPr>
        <w:pStyle w:val="ListParagraph"/>
        <w:numPr>
          <w:ilvl w:val="0"/>
          <w:numId w:val="2"/>
        </w:numPr>
        <w:spacing w:after="80"/>
      </w:pPr>
      <w:r>
        <w:rPr>
          <w:rFonts w:ascii="Arial" w:cs="Arial" w:eastAsia="Arial" w:hAnsi="Arial"/>
          <w:color w:val="3A3A3A"/>
          <w:sz w:val="20"/>
          <w:szCs w:val="20"/>
        </w:rPr>
        <w:t xml:space="preserve">N/A selected: dark background, white text</w:t>
      </w:r>
    </w:p>
    <w:p>
      <w:pPr>
        <w:spacing w:after="120" w:before="0"/>
      </w:pPr>
    </w:p>
    <w:p>
      <w:pPr>
        <w:pStyle w:val="Heading2"/>
        <w:spacing w:after="120" w:before="280"/>
      </w:pPr>
      <w:r>
        <w:rPr>
          <w:rFonts w:ascii="Arial" w:cs="Arial" w:eastAsia="Arial" w:hAnsi="Arial"/>
          <w:b/>
          <w:bCs/>
          <w:color w:val="05B4C9"/>
          <w:sz w:val="26"/>
          <w:szCs w:val="26"/>
        </w:rPr>
        <w:t xml:space="preserve">3.4 Reviewer Notes</w:t>
      </w:r>
    </w:p>
    <w:p>
      <w:pPr>
        <w:spacing w:after="120" w:before="0"/>
      </w:pPr>
      <w:r>
        <w:rPr>
          <w:rFonts w:ascii="Arial" w:cs="Arial" w:eastAsia="Arial" w:hAnsi="Arial"/>
          <w:color w:val="3A3A3A"/>
          <w:sz w:val="20"/>
          <w:szCs w:val="20"/>
        </w:rPr>
        <w:t xml:space="preserve">Each question has a collapsible “+ Note” button. When clicked, a textarea expands below the answer buttons. Notes on No answers carry through to both the review modal and the email output.</w:t>
      </w:r>
    </w:p>
    <w:p>
      <w:pPr>
        <w:spacing w:after="120" w:before="0"/>
      </w:pPr>
    </w:p>
    <w:p>
      <w:pPr>
        <w:pStyle w:val="Heading2"/>
        <w:spacing w:after="120" w:before="280"/>
      </w:pPr>
      <w:r>
        <w:rPr>
          <w:rFonts w:ascii="Arial" w:cs="Arial" w:eastAsia="Arial" w:hAnsi="Arial"/>
          <w:b/>
          <w:bCs/>
          <w:color w:val="05B4C9"/>
          <w:sz w:val="26"/>
          <w:szCs w:val="26"/>
        </w:rPr>
        <w:t xml:space="preserve">3.5 Greyed-Out Questions</w:t>
      </w:r>
    </w:p>
    <w:p>
      <w:pPr>
        <w:spacing w:after="120" w:before="0"/>
      </w:pPr>
      <w:r>
        <w:rPr>
          <w:rFonts w:ascii="Arial" w:cs="Arial" w:eastAsia="Arial" w:hAnsi="Arial"/>
          <w:color w:val="3A3A3A"/>
          <w:sz w:val="20"/>
          <w:szCs w:val="20"/>
        </w:rPr>
        <w:t xml:space="preserve">Questions greyed out by gate logic must be visually de-emphasised (opacity reduced) and non-interactive. When gate answers change, greyed questions should have their existing answers cleared automatically so they do not contribute to scoring.</w:t>
      </w:r>
    </w:p>
    <w:p>
      <w:pPr>
        <w:spacing w:after="120" w:before="0"/>
      </w:pPr>
    </w:p>
    <w:p>
      <w:pPr>
        <w:pStyle w:val="Heading2"/>
        <w:spacing w:after="120" w:before="280"/>
      </w:pPr>
      <w:r>
        <w:rPr>
          <w:rFonts w:ascii="Arial" w:cs="Arial" w:eastAsia="Arial" w:hAnsi="Arial"/>
          <w:b/>
          <w:bCs/>
          <w:color w:val="05B4C9"/>
          <w:sz w:val="26"/>
          <w:szCs w:val="26"/>
        </w:rPr>
        <w:t xml:space="preserve">3.6 Keyword Bolding</w:t>
      </w:r>
    </w:p>
    <w:p>
      <w:pPr>
        <w:spacing w:after="120" w:before="0"/>
      </w:pPr>
      <w:r>
        <w:rPr>
          <w:rFonts w:ascii="Arial" w:cs="Arial" w:eastAsia="Arial" w:hAnsi="Arial"/>
          <w:color w:val="3A3A3A"/>
          <w:sz w:val="20"/>
          <w:szCs w:val="20"/>
        </w:rPr>
        <w:t xml:space="preserve">All 86 question texts should have their key phrases bolded. The bold colour should be the Dark Green (#1A322F) to differentiate from body text. This helps reviewers scan questions quickly without reading every word.</w:t>
      </w:r>
    </w:p>
    <w:p>
      <w:pPr>
        <w:spacing w:after="120" w:before="0"/>
      </w:pPr>
    </w:p>
    <w:p>
      <w:pPr>
        <w:pStyle w:val="Heading2"/>
        <w:spacing w:after="120" w:before="280"/>
      </w:pPr>
      <w:r>
        <w:rPr>
          <w:rFonts w:ascii="Arial" w:cs="Arial" w:eastAsia="Arial" w:hAnsi="Arial"/>
          <w:b/>
          <w:bCs/>
          <w:color w:val="05B4C9"/>
          <w:sz w:val="26"/>
          <w:szCs w:val="26"/>
        </w:rPr>
        <w:t xml:space="preserve">3.7 Review Modal</w:t>
      </w:r>
    </w:p>
    <w:p>
      <w:pPr>
        <w:spacing w:after="120" w:before="0"/>
      </w:pPr>
      <w:r>
        <w:rPr>
          <w:rFonts w:ascii="Arial" w:cs="Arial" w:eastAsia="Arial" w:hAnsi="Arial"/>
          <w:color w:val="3A3A3A"/>
          <w:sz w:val="20"/>
          <w:szCs w:val="20"/>
        </w:rPr>
        <w:t xml:space="preserve">A “Review summary” button and a “Submit” button sit in the footer of the main content area. Clicking either opens a modal showing:</w:t>
      </w:r>
    </w:p>
    <w:p>
      <w:pPr>
        <w:pStyle w:val="ListParagraph"/>
        <w:numPr>
          <w:ilvl w:val="0"/>
          <w:numId w:val="3"/>
        </w:numPr>
        <w:spacing w:after="100"/>
      </w:pPr>
      <w:r>
        <w:rPr>
          <w:rFonts w:ascii="Arial" w:cs="Arial" w:eastAsia="Arial" w:hAnsi="Arial"/>
          <w:color w:val="3A3A3A"/>
          <w:sz w:val="20"/>
          <w:szCs w:val="20"/>
        </w:rPr>
        <w:t xml:space="preserve">Scorecard: Yes count, No count (flagged), N/A count, Unanswered count</w:t>
      </w:r>
    </w:p>
    <w:p>
      <w:pPr>
        <w:pStyle w:val="ListParagraph"/>
        <w:numPr>
          <w:ilvl w:val="0"/>
          <w:numId w:val="3"/>
        </w:numPr>
        <w:spacing w:after="100"/>
      </w:pPr>
      <w:r>
        <w:rPr>
          <w:rFonts w:ascii="Arial" w:cs="Arial" w:eastAsia="Arial" w:hAnsi="Arial"/>
          <w:color w:val="3A3A3A"/>
          <w:sz w:val="20"/>
          <w:szCs w:val="20"/>
        </w:rPr>
        <w:t xml:space="preserve">Conclusion type badge (from Gate 3)</w:t>
      </w:r>
    </w:p>
    <w:p>
      <w:pPr>
        <w:pStyle w:val="ListParagraph"/>
        <w:numPr>
          <w:ilvl w:val="0"/>
          <w:numId w:val="3"/>
        </w:numPr>
        <w:spacing w:after="100"/>
      </w:pPr>
      <w:r>
        <w:rPr>
          <w:rFonts w:ascii="Arial" w:cs="Arial" w:eastAsia="Arial" w:hAnsi="Arial"/>
          <w:color w:val="3A3A3A"/>
          <w:sz w:val="20"/>
          <w:szCs w:val="20"/>
        </w:rPr>
        <w:t xml:space="preserve">If any No answers or engagement letter flag: a red banner reading “X items require practice leader review before issuance”</w:t>
      </w:r>
    </w:p>
    <w:p>
      <w:pPr>
        <w:pStyle w:val="ListParagraph"/>
        <w:numPr>
          <w:ilvl w:val="0"/>
          <w:numId w:val="3"/>
        </w:numPr>
        <w:spacing w:after="100"/>
      </w:pPr>
      <w:r>
        <w:rPr>
          <w:rFonts w:ascii="Arial" w:cs="Arial" w:eastAsia="Arial" w:hAnsi="Arial"/>
          <w:color w:val="3A3A3A"/>
          <w:sz w:val="20"/>
          <w:szCs w:val="20"/>
        </w:rPr>
        <w:t xml:space="preserve">List of all flagged items grouped by Practice Standard, with question number, truncated text, and any reviewer note</w:t>
      </w:r>
    </w:p>
    <w:p>
      <w:pPr>
        <w:pStyle w:val="ListParagraph"/>
        <w:numPr>
          <w:ilvl w:val="0"/>
          <w:numId w:val="3"/>
        </w:numPr>
        <w:spacing w:after="100"/>
      </w:pPr>
      <w:r>
        <w:rPr>
          <w:rFonts w:ascii="Arial" w:cs="Arial" w:eastAsia="Arial" w:hAnsi="Arial"/>
          <w:color w:val="3A3A3A"/>
          <w:sz w:val="20"/>
          <w:szCs w:val="20"/>
        </w:rPr>
        <w:t xml:space="preserve">Warning if questions remain unanswered (Submit button disabled until all active questions answered)</w:t>
      </w:r>
    </w:p>
    <w:p>
      <w:pPr>
        <w:spacing w:after="200" w:before="0"/>
      </w:pPr>
    </w:p>
    <w:p>
      <w:pPr>
        <w:pStyle w:val="Heading1"/>
        <w:spacing w:after="160" w:before="360"/>
      </w:pPr>
      <w:r>
        <w:rPr>
          <w:rFonts w:ascii="Arial" w:cs="Arial" w:eastAsia="Arial" w:hAnsi="Arial"/>
          <w:b/>
          <w:bCs/>
          <w:color w:val="1A322F"/>
          <w:sz w:val="36"/>
          <w:szCs w:val="36"/>
        </w:rPr>
        <w:t xml:space="preserve">4. Remove PDF — Email is the Record</w:t>
      </w:r>
    </w:p>
    <w:p>
      <w:pPr>
        <w:pBdr>
          <w:bottom w:val="single" w:color="E4E4E0" w:sz="6" w:space="1"/>
        </w:pBdr>
        <w:spacing w:after="0" w:before="0"/>
      </w:pPr>
    </w:p>
    <w:p>
      <w:pPr>
        <w:spacing w:after="80" w:before="0"/>
      </w:pPr>
    </w:p>
    <w:p>
      <w:pPr>
        <w:spacing w:after="120" w:before="0"/>
      </w:pPr>
      <w:r>
        <w:rPr>
          <w:rFonts w:ascii="Arial" w:cs="Arial" w:eastAsia="Arial" w:hAnsi="Arial"/>
          <w:color w:val="3A3A3A"/>
          <w:sz w:val="20"/>
          <w:szCs w:val="20"/>
        </w:rPr>
        <w:t xml:space="preserve">The existing behaviour of generating and attaching a PDF should be removed entirely. The email itself, saved to the client file, satisfies the PS 130 retention requirement. Add the following line to the email footer: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single" w:color="05B4C9" w:sz="12"/>
              <w:bottom w:val="none" w:color="FFFFFF" w:sz="0"/>
              <w:right w:val="none" w:color="FFFFFF" w:sz="0"/>
            </w:tcBorders>
            <w:shd w:fill="E6F8FA" w:val="clear"/>
            <w:tcMar>
              <w:top w:type="dxa" w:w="80"/>
              <w:left w:type="dxa" w:w="120"/>
              <w:bottom w:type="dxa" w:w="80"/>
              <w:right w:type="dxa" w:w="0"/>
            </w:tcMar>
          </w:tcPr>
          <w:p/>
        </w:tc>
        <w:tc>
          <w:tcPr>
            <w:tcW w:type="dxa" w:w="9220"/>
            <w:tcBorders>
              <w:top w:val="none" w:color="FFFFFF" w:sz="0"/>
              <w:left w:val="none" w:color="FFFFFF" w:sz="0"/>
              <w:bottom w:val="none" w:color="FFFFFF" w:sz="0"/>
              <w:right w:val="none" w:color="FFFFFF" w:sz="0"/>
            </w:tcBorders>
            <w:shd w:fill="E6F8FA" w:val="clear"/>
            <w:tcMar>
              <w:top w:type="dxa" w:w="100"/>
              <w:left w:type="dxa" w:w="160"/>
              <w:bottom w:type="dxa" w:w="100"/>
              <w:right w:type="dxa" w:w="160"/>
            </w:tcMar>
          </w:tcPr>
          <w:p>
            <w:r>
              <w:rPr>
                <w:rFonts w:ascii="Arial" w:cs="Arial" w:eastAsia="Arial" w:hAnsi="Arial"/>
                <w:b/>
                <w:bCs/>
                <w:color w:val="05B4C9"/>
                <w:sz w:val="18"/>
                <w:szCs w:val="18"/>
              </w:rPr>
              <w:t xml:space="preserve">Footer copy:  </w:t>
            </w:r>
            <w:r>
              <w:rPr>
                <w:rFonts w:ascii="Arial" w:cs="Arial" w:eastAsia="Arial" w:hAnsi="Arial"/>
                <w:color w:val="3A3A3A"/>
                <w:sz w:val="18"/>
                <w:szCs w:val="18"/>
              </w:rPr>
              <w:t xml:space="preserve">Save this email to the client file to satisfy PS 130 retention requirements (minimum five calendar years).</w:t>
            </w:r>
          </w:p>
        </w:tc>
      </w:tr>
    </w:tbl>
    <w:p>
      <w:pPr>
        <w:spacing w:after="120" w:before="0"/>
      </w:pPr>
    </w:p>
    <w:p>
      <w:pPr>
        <w:spacing w:after="120" w:before="0"/>
      </w:pPr>
      <w:r>
        <w:rPr>
          <w:rFonts w:ascii="Arial" w:cs="Arial" w:eastAsia="Arial" w:hAnsi="Arial"/>
          <w:color w:val="3A3A3A"/>
          <w:sz w:val="20"/>
          <w:szCs w:val="20"/>
        </w:rPr>
        <w:t xml:space="preserve">The email subject line should follow this naming convention exactly (no checklist ID):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single" w:color="05B4C9" w:sz="12"/>
              <w:bottom w:val="none" w:color="FFFFFF" w:sz="0"/>
              <w:right w:val="none" w:color="FFFFFF" w:sz="0"/>
            </w:tcBorders>
            <w:shd w:fill="E6F8FA" w:val="clear"/>
            <w:tcMar>
              <w:top w:type="dxa" w:w="80"/>
              <w:left w:type="dxa" w:w="120"/>
              <w:bottom w:type="dxa" w:w="80"/>
              <w:right w:type="dxa" w:w="0"/>
            </w:tcMar>
          </w:tcPr>
          <w:p/>
        </w:tc>
        <w:tc>
          <w:tcPr>
            <w:tcW w:type="dxa" w:w="9220"/>
            <w:tcBorders>
              <w:top w:val="none" w:color="FFFFFF" w:sz="0"/>
              <w:left w:val="none" w:color="FFFFFF" w:sz="0"/>
              <w:bottom w:val="none" w:color="FFFFFF" w:sz="0"/>
              <w:right w:val="none" w:color="FFFFFF" w:sz="0"/>
            </w:tcBorders>
            <w:shd w:fill="E6F8FA" w:val="clear"/>
            <w:tcMar>
              <w:top w:type="dxa" w:w="100"/>
              <w:left w:type="dxa" w:w="160"/>
              <w:bottom w:type="dxa" w:w="100"/>
              <w:right w:type="dxa" w:w="160"/>
            </w:tcMar>
          </w:tcPr>
          <w:p>
            <w:r>
              <w:rPr>
                <w:rFonts w:ascii="Arial" w:cs="Arial" w:eastAsia="Arial" w:hAnsi="Arial"/>
                <w:b/>
                <w:bCs/>
                <w:color w:val="05B4C9"/>
                <w:sz w:val="18"/>
                <w:szCs w:val="18"/>
              </w:rPr>
              <w:t xml:space="preserve">Subject line format:  </w:t>
            </w:r>
            <w:r>
              <w:rPr>
                <w:rFonts w:ascii="Arial" w:cs="Arial" w:eastAsia="Arial" w:hAnsi="Arial"/>
                <w:color w:val="3A3A3A"/>
                <w:sz w:val="18"/>
                <w:szCs w:val="18"/>
              </w:rPr>
              <w:t xml:space="preserve">[Client / Engagement Name] — CBV Practice Checklist — [Date] — [X items flagged | No items flagged]</w:t>
            </w:r>
          </w:p>
        </w:tc>
      </w:tr>
    </w:tbl>
    <w:p>
      <w:pPr>
        <w:spacing w:after="60" w:before="0"/>
      </w:pPr>
    </w:p>
    <w:p>
      <w:pPr>
        <w:spacing w:after="120" w:before="0"/>
      </w:pPr>
      <w:r>
        <w:rPr>
          <w:rFonts w:ascii="Arial" w:cs="Arial" w:eastAsia="Arial" w:hAnsi="Arial"/>
          <w:color w:val="3A3A3A"/>
          <w:sz w:val="20"/>
          <w:szCs w:val="20"/>
        </w:rPr>
        <w:t xml:space="preserve">Example: ABC Holdings Ltd. — CBV Practice Checklist — May 18, 2026 — 2 items flagged</w:t>
      </w:r>
    </w:p>
    <w:p>
      <w:pPr>
        <w:spacing w:after="200" w:before="0"/>
      </w:pPr>
    </w:p>
    <w:p>
      <w:pPr>
        <w:pStyle w:val="Heading1"/>
        <w:spacing w:after="160" w:before="360"/>
      </w:pPr>
      <w:r>
        <w:rPr>
          <w:rFonts w:ascii="Arial" w:cs="Arial" w:eastAsia="Arial" w:hAnsi="Arial"/>
          <w:b/>
          <w:bCs/>
          <w:color w:val="1A322F"/>
          <w:sz w:val="36"/>
          <w:szCs w:val="36"/>
        </w:rPr>
        <w:t xml:space="preserve">5. Email Output — Full Specification</w:t>
      </w:r>
    </w:p>
    <w:p>
      <w:pPr>
        <w:pBdr>
          <w:bottom w:val="single" w:color="E4E4E0" w:sz="6" w:space="1"/>
        </w:pBdr>
        <w:spacing w:after="0" w:before="0"/>
      </w:pPr>
    </w:p>
    <w:p>
      <w:pPr>
        <w:spacing w:after="80" w:before="0"/>
      </w:pPr>
    </w:p>
    <w:p>
      <w:pPr>
        <w:spacing w:after="120" w:before="0"/>
      </w:pPr>
      <w:r>
        <w:rPr>
          <w:rFonts w:ascii="Arial" w:cs="Arial" w:eastAsia="Arial" w:hAnsi="Arial"/>
          <w:color w:val="3A3A3A"/>
          <w:sz w:val="20"/>
          <w:szCs w:val="20"/>
        </w:rPr>
        <w:t xml:space="preserve">The email is divided into two clearly labelled parts separated by a visual divider bar.</w:t>
      </w:r>
    </w:p>
    <w:p>
      <w:pPr>
        <w:spacing w:after="120" w:before="0"/>
      </w:pPr>
    </w:p>
    <w:p>
      <w:pPr>
        <w:pStyle w:val="Heading2"/>
        <w:spacing w:after="120" w:before="280"/>
      </w:pPr>
      <w:r>
        <w:rPr>
          <w:rFonts w:ascii="Arial" w:cs="Arial" w:eastAsia="Arial" w:hAnsi="Arial"/>
          <w:b/>
          <w:bCs/>
          <w:color w:val="05B4C9"/>
          <w:sz w:val="26"/>
          <w:szCs w:val="26"/>
        </w:rPr>
        <w:t xml:space="preserve">5.1 Email Header (above Part 1)</w:t>
      </w:r>
    </w:p>
    <w:p>
      <w:pPr>
        <w:spacing w:after="120" w:before="0"/>
      </w:pPr>
      <w:r>
        <w:rPr>
          <w:rFonts w:ascii="Arial" w:cs="Arial" w:eastAsia="Arial" w:hAnsi="Arial"/>
          <w:color w:val="3A3A3A"/>
          <w:sz w:val="20"/>
          <w:szCs w:val="20"/>
        </w:rPr>
        <w:t xml:space="preserve">Dark Green (#1A322F) background. Contains:</w:t>
      </w:r>
    </w:p>
    <w:p>
      <w:pPr>
        <w:pStyle w:val="ListParagraph"/>
        <w:numPr>
          <w:ilvl w:val="0"/>
          <w:numId w:val="2"/>
        </w:numPr>
        <w:spacing w:after="80"/>
      </w:pPr>
      <w:r>
        <w:rPr>
          <w:rFonts w:ascii="Arial" w:cs="Arial" w:eastAsia="Arial" w:hAnsi="Arial"/>
          <w:color w:val="3A3A3A"/>
          <w:sz w:val="20"/>
          <w:szCs w:val="20"/>
        </w:rPr>
        <w:t xml:space="preserve">Left side: ASPEN VALUATIONS wordmark with “Know Your Worth” tagline in teal, followed by “CBV Practice Inspection Checklist” and “Practice Standards 100 / 110 / 120 / 130” in muted white</w:t>
      </w:r>
    </w:p>
    <w:p>
      <w:pPr>
        <w:pStyle w:val="ListParagraph"/>
        <w:numPr>
          <w:ilvl w:val="0"/>
          <w:numId w:val="2"/>
        </w:numPr>
        <w:spacing w:after="80"/>
      </w:pPr>
      <w:r>
        <w:rPr>
          <w:rFonts w:ascii="Arial" w:cs="Arial" w:eastAsia="Arial" w:hAnsi="Arial"/>
          <w:color w:val="3A3A3A"/>
          <w:sz w:val="20"/>
          <w:szCs w:val="20"/>
        </w:rPr>
        <w:t xml:space="preserve">Right side: Submission date and time, and name of reviewer who submitted</w:t>
      </w:r>
    </w:p>
    <w:p>
      <w:pPr>
        <w:spacing w:after="120" w:before="0"/>
      </w:pPr>
    </w:p>
    <w:p>
      <w:pPr>
        <w:pStyle w:val="Heading2"/>
        <w:spacing w:after="120" w:before="280"/>
      </w:pPr>
      <w:r>
        <w:rPr>
          <w:rFonts w:ascii="Arial" w:cs="Arial" w:eastAsia="Arial" w:hAnsi="Arial"/>
          <w:b/>
          <w:bCs/>
          <w:color w:val="05B4C9"/>
          <w:sz w:val="26"/>
          <w:szCs w:val="26"/>
        </w:rPr>
        <w:t xml:space="preserve">5.2 Part 1 — Practice Leader Summary</w:t>
      </w:r>
    </w:p>
    <w:p>
      <w:pPr>
        <w:spacing w:after="60" w:before="240"/>
      </w:pPr>
      <w:r>
        <w:rPr>
          <w:rFonts w:ascii="Arial" w:cs="Arial" w:eastAsia="Arial" w:hAnsi="Arial"/>
          <w:b/>
          <w:bCs/>
          <w:caps/>
          <w:color w:val="05B4C9"/>
          <w:sz w:val="16"/>
          <w:szCs w:val="16"/>
        </w:rPr>
        <w:t xml:space="preserve">Engagement block</w:t>
      </w:r>
    </w:p>
    <w:p>
      <w:pPr>
        <w:spacing w:after="120" w:before="0"/>
      </w:pPr>
      <w:r>
        <w:rPr>
          <w:rFonts w:ascii="Arial" w:cs="Arial" w:eastAsia="Arial" w:hAnsi="Arial"/>
          <w:color w:val="3A3A3A"/>
          <w:sz w:val="20"/>
          <w:szCs w:val="20"/>
        </w:rPr>
        <w:t xml:space="preserve">A 3-column metadata grid showing:</w:t>
      </w:r>
    </w:p>
    <w:p>
      <w:pPr>
        <w:pStyle w:val="ListParagraph"/>
        <w:numPr>
          <w:ilvl w:val="0"/>
          <w:numId w:val="2"/>
        </w:numPr>
        <w:spacing w:after="80"/>
      </w:pPr>
      <w:r>
        <w:rPr>
          <w:rFonts w:ascii="Arial" w:cs="Arial" w:eastAsia="Arial" w:hAnsi="Arial"/>
          <w:color w:val="3A3A3A"/>
          <w:sz w:val="20"/>
          <w:szCs w:val="20"/>
        </w:rPr>
        <w:t xml:space="preserve">Row 1: Client / engagement name | Valuation date | Checklist date</w:t>
      </w:r>
    </w:p>
    <w:p>
      <w:pPr>
        <w:pStyle w:val="ListParagraph"/>
        <w:numPr>
          <w:ilvl w:val="0"/>
          <w:numId w:val="2"/>
        </w:numPr>
        <w:spacing w:after="80"/>
      </w:pPr>
      <w:r>
        <w:rPr>
          <w:rFonts w:ascii="Arial" w:cs="Arial" w:eastAsia="Arial" w:hAnsi="Arial"/>
          <w:color w:val="3A3A3A"/>
          <w:sz w:val="20"/>
          <w:szCs w:val="20"/>
        </w:rPr>
        <w:t xml:space="preserve">Row 2: Preparer name | Reviewer name | Conclusion type (as a teal badge, sourced from Gate 3)</w:t>
      </w:r>
    </w:p>
    <w:p>
      <w:pPr>
        <w:pStyle w:val="ListParagraph"/>
        <w:numPr>
          <w:ilvl w:val="0"/>
          <w:numId w:val="2"/>
        </w:numPr>
        <w:spacing w:after="80"/>
      </w:pPr>
      <w:r>
        <w:rPr>
          <w:rFonts w:ascii="Arial" w:cs="Arial" w:eastAsia="Arial" w:hAnsi="Arial"/>
          <w:color w:val="3A3A3A"/>
          <w:sz w:val="20"/>
          <w:szCs w:val="20"/>
        </w:rPr>
        <w:t xml:space="preserve">Row 3: Practice standards applied | Oral conclusion (Yes/No) | Scope limitations (Yes/No)</w:t>
      </w:r>
    </w:p>
    <w:p>
      <w:pPr>
        <w:spacing w:after="80" w:before="0"/>
      </w:pPr>
    </w:p>
    <w:p>
      <w:pPr>
        <w:spacing w:after="60" w:before="240"/>
      </w:pPr>
      <w:r>
        <w:rPr>
          <w:rFonts w:ascii="Arial" w:cs="Arial" w:eastAsia="Arial" w:hAnsi="Arial"/>
          <w:b/>
          <w:bCs/>
          <w:caps/>
          <w:color w:val="05B4C9"/>
          <w:sz w:val="16"/>
          <w:szCs w:val="16"/>
        </w:rPr>
        <w:t xml:space="preserve">Scorecard block</w:t>
      </w:r>
    </w:p>
    <w:p>
      <w:pPr>
        <w:spacing w:after="120" w:before="0"/>
      </w:pPr>
      <w:r>
        <w:rPr>
          <w:rFonts w:ascii="Arial" w:cs="Arial" w:eastAsia="Arial" w:hAnsi="Arial"/>
          <w:color w:val="3A3A3A"/>
          <w:sz w:val="20"/>
          <w:szCs w:val="20"/>
        </w:rPr>
        <w:t xml:space="preserve">Four metric tiles in a row:</w:t>
      </w:r>
    </w:p>
    <w:p>
      <w:pPr>
        <w:pStyle w:val="ListParagraph"/>
        <w:numPr>
          <w:ilvl w:val="0"/>
          <w:numId w:val="2"/>
        </w:numPr>
        <w:spacing w:after="80"/>
      </w:pPr>
      <w:r>
        <w:rPr>
          <w:rFonts w:ascii="Arial" w:cs="Arial" w:eastAsia="Arial" w:hAnsi="Arial"/>
          <w:color w:val="3A3A3A"/>
          <w:sz w:val="20"/>
          <w:szCs w:val="20"/>
        </w:rPr>
        <w:t xml:space="preserve">Yes — teal background</w:t>
      </w:r>
    </w:p>
    <w:p>
      <w:pPr>
        <w:pStyle w:val="ListParagraph"/>
        <w:numPr>
          <w:ilvl w:val="0"/>
          <w:numId w:val="2"/>
        </w:numPr>
        <w:spacing w:after="80"/>
      </w:pPr>
      <w:r>
        <w:rPr>
          <w:rFonts w:ascii="Arial" w:cs="Arial" w:eastAsia="Arial" w:hAnsi="Arial"/>
          <w:color w:val="3A3A3A"/>
          <w:sz w:val="20"/>
          <w:szCs w:val="20"/>
        </w:rPr>
        <w:t xml:space="preserve">No (Flagged) — light red background</w:t>
      </w:r>
    </w:p>
    <w:p>
      <w:pPr>
        <w:pStyle w:val="ListParagraph"/>
        <w:numPr>
          <w:ilvl w:val="0"/>
          <w:numId w:val="2"/>
        </w:numPr>
        <w:spacing w:after="80"/>
      </w:pPr>
      <w:r>
        <w:rPr>
          <w:rFonts w:ascii="Arial" w:cs="Arial" w:eastAsia="Arial" w:hAnsi="Arial"/>
          <w:color w:val="3A3A3A"/>
          <w:sz w:val="20"/>
          <w:szCs w:val="20"/>
        </w:rPr>
        <w:t xml:space="preserve">N/A — light grey background</w:t>
      </w:r>
    </w:p>
    <w:p>
      <w:pPr>
        <w:pStyle w:val="ListParagraph"/>
        <w:numPr>
          <w:ilvl w:val="0"/>
          <w:numId w:val="2"/>
        </w:numPr>
        <w:spacing w:after="80"/>
      </w:pPr>
      <w:r>
        <w:rPr>
          <w:rFonts w:ascii="Arial" w:cs="Arial" w:eastAsia="Arial" w:hAnsi="Arial"/>
          <w:color w:val="3A3A3A"/>
          <w:sz w:val="20"/>
          <w:szCs w:val="20"/>
        </w:rPr>
        <w:t xml:space="preserve">Unanswered — amber background</w:t>
      </w:r>
    </w:p>
    <w:p>
      <w:pPr>
        <w:spacing w:after="120" w:before="0"/>
      </w:pPr>
      <w:r>
        <w:rPr>
          <w:rFonts w:ascii="Arial" w:cs="Arial" w:eastAsia="Arial" w:hAnsi="Arial"/>
          <w:color w:val="3A3A3A"/>
          <w:sz w:val="20"/>
          <w:szCs w:val="20"/>
        </w:rPr>
        <w:t xml:space="preserve">Below the scorecard: a note showing active question count (e.g. “76 active — 10 greyed out as not applicable based on engagement profile”)</w:t>
      </w:r>
    </w:p>
    <w:p>
      <w:pPr>
        <w:spacing w:after="120" w:before="0"/>
      </w:pPr>
      <w:r>
        <w:rPr>
          <w:rFonts w:ascii="Arial" w:cs="Arial" w:eastAsia="Arial" w:hAnsi="Arial"/>
          <w:color w:val="3A3A3A"/>
          <w:sz w:val="20"/>
          <w:szCs w:val="20"/>
        </w:rPr>
        <w:t xml:space="preserve">Below that: a status banner in red if any items are flagged (“Do not issue report until flagged items are resolved or documented”), or green if none.</w:t>
      </w:r>
    </w:p>
    <w:p>
      <w:pPr>
        <w:spacing w:after="80" w:before="0"/>
      </w:pPr>
    </w:p>
    <w:p>
      <w:pPr>
        <w:spacing w:after="60" w:before="240"/>
      </w:pPr>
      <w:r>
        <w:rPr>
          <w:rFonts w:ascii="Arial" w:cs="Arial" w:eastAsia="Arial" w:hAnsi="Arial"/>
          <w:b/>
          <w:bCs/>
          <w:caps/>
          <w:color w:val="05B4C9"/>
          <w:sz w:val="16"/>
          <w:szCs w:val="16"/>
        </w:rPr>
        <w:t xml:space="preserve">Flagged items block</w:t>
      </w:r>
    </w:p>
    <w:p>
      <w:pPr>
        <w:spacing w:after="120" w:before="0"/>
      </w:pPr>
      <w:r>
        <w:rPr>
          <w:rFonts w:ascii="Arial" w:cs="Arial" w:eastAsia="Arial" w:hAnsi="Arial"/>
          <w:color w:val="3A3A3A"/>
          <w:sz w:val="20"/>
          <w:szCs w:val="20"/>
        </w:rPr>
        <w:t xml:space="preserve">Only shown if there are flagged items. Each flagged item displays:</w:t>
      </w:r>
    </w:p>
    <w:p>
      <w:pPr>
        <w:pStyle w:val="ListParagraph"/>
        <w:numPr>
          <w:ilvl w:val="0"/>
          <w:numId w:val="2"/>
        </w:numPr>
        <w:spacing w:after="80"/>
      </w:pPr>
      <w:r>
        <w:rPr>
          <w:rFonts w:ascii="Arial" w:cs="Arial" w:eastAsia="Arial" w:hAnsi="Arial"/>
          <w:color w:val="3A3A3A"/>
          <w:sz w:val="20"/>
          <w:szCs w:val="20"/>
        </w:rPr>
        <w:t xml:space="preserve">A numbered red circle</w:t>
      </w:r>
    </w:p>
    <w:p>
      <w:pPr>
        <w:pStyle w:val="ListParagraph"/>
        <w:numPr>
          <w:ilvl w:val="0"/>
          <w:numId w:val="2"/>
        </w:numPr>
        <w:spacing w:after="80"/>
      </w:pPr>
      <w:r>
        <w:rPr>
          <w:rFonts w:ascii="Arial" w:cs="Arial" w:eastAsia="Arial" w:hAnsi="Arial"/>
          <w:color w:val="3A3A3A"/>
          <w:sz w:val="20"/>
          <w:szCs w:val="20"/>
        </w:rPr>
        <w:t xml:space="preserve">The Practice Standard and question number (e.g. “PS 110 · Q37”)</w:t>
      </w:r>
    </w:p>
    <w:p>
      <w:pPr>
        <w:pStyle w:val="ListParagraph"/>
        <w:numPr>
          <w:ilvl w:val="0"/>
          <w:numId w:val="2"/>
        </w:numPr>
        <w:spacing w:after="80"/>
      </w:pPr>
      <w:r>
        <w:rPr>
          <w:rFonts w:ascii="Arial" w:cs="Arial" w:eastAsia="Arial" w:hAnsi="Arial"/>
          <w:color w:val="3A3A3A"/>
          <w:sz w:val="20"/>
          <w:szCs w:val="20"/>
        </w:rPr>
        <w:t xml:space="preserve">The full question text with key phrases bolded</w:t>
      </w:r>
    </w:p>
    <w:p>
      <w:pPr>
        <w:pStyle w:val="ListParagraph"/>
        <w:numPr>
          <w:ilvl w:val="0"/>
          <w:numId w:val="2"/>
        </w:numPr>
        <w:spacing w:after="80"/>
      </w:pPr>
      <w:r>
        <w:rPr>
          <w:rFonts w:ascii="Arial" w:cs="Arial" w:eastAsia="Arial" w:hAnsi="Arial"/>
          <w:color w:val="3A3A3A"/>
          <w:sz w:val="20"/>
          <w:szCs w:val="20"/>
        </w:rPr>
        <w:t xml:space="preserve">Reviewer note (if provided), in italics</w:t>
      </w:r>
    </w:p>
    <w:p>
      <w:pPr>
        <w:pStyle w:val="ListParagraph"/>
        <w:numPr>
          <w:ilvl w:val="0"/>
          <w:numId w:val="2"/>
        </w:numPr>
        <w:spacing w:after="80"/>
      </w:pPr>
      <w:r>
        <w:rPr>
          <w:rFonts w:ascii="Arial" w:cs="Arial" w:eastAsia="Arial" w:hAnsi="Arial"/>
          <w:color w:val="3A3A3A"/>
          <w:sz w:val="20"/>
          <w:szCs w:val="20"/>
        </w:rPr>
        <w:t xml:space="preserve">A suggested action line in uppercase red (e.g. “→ Update inputs section before issuance”)</w:t>
      </w:r>
    </w:p>
    <w:p>
      <w:pPr>
        <w:spacing w:after="80" w:before="0"/>
      </w:pPr>
    </w:p>
    <w:p>
      <w:pPr>
        <w:spacing w:after="120" w:before="0"/>
      </w:pPr>
      <w:r>
        <w:rPr>
          <w:rFonts w:ascii="Arial" w:cs="Arial" w:eastAsia="Arial" w:hAnsi="Arial"/>
          <w:color w:val="3A3A3A"/>
          <w:sz w:val="20"/>
          <w:szCs w:val="20"/>
        </w:rPr>
        <w:t xml:space="preserve">If the engagement letter gate was answered No, that flag appears at the top of the flagged items list with identical styling to a No answer.</w:t>
      </w:r>
    </w:p>
    <w:p>
      <w:pPr>
        <w:spacing w:after="80" w:before="0"/>
      </w:pPr>
    </w:p>
    <w:p>
      <w:pPr>
        <w:spacing w:after="60" w:before="240"/>
      </w:pPr>
      <w:r>
        <w:rPr>
          <w:rFonts w:ascii="Arial" w:cs="Arial" w:eastAsia="Arial" w:hAnsi="Arial"/>
          <w:b/>
          <w:bCs/>
          <w:caps/>
          <w:color w:val="05B4C9"/>
          <w:sz w:val="16"/>
          <w:szCs w:val="16"/>
        </w:rPr>
        <w:t xml:space="preserve">Signature block</w:t>
      </w:r>
    </w:p>
    <w:p>
      <w:pPr>
        <w:spacing w:after="120" w:before="0"/>
      </w:pPr>
      <w:r>
        <w:rPr>
          <w:rFonts w:ascii="Arial" w:cs="Arial" w:eastAsia="Arial" w:hAnsi="Arial"/>
          <w:color w:val="3A3A3A"/>
          <w:sz w:val="20"/>
          <w:szCs w:val="20"/>
        </w:rPr>
        <w:t xml:space="preserve">Left side: Completed by [Reviewer name, designation] — Reviewer · Aspen Valuations</w:t>
      </w:r>
    </w:p>
    <w:p>
      <w:pPr>
        <w:spacing w:after="120" w:before="0"/>
      </w:pPr>
      <w:r>
        <w:rPr>
          <w:rFonts w:ascii="Arial" w:cs="Arial" w:eastAsia="Arial" w:hAnsi="Arial"/>
          <w:color w:val="3A3A3A"/>
          <w:sz w:val="20"/>
          <w:szCs w:val="20"/>
        </w:rPr>
        <w:t xml:space="preserve">Right side (right-aligned): Submitted via Aspen Valuations CBV Checklist Tool | Save this email to the client file to satisfy PS 130 retention requirements (5 years)</w:t>
      </w:r>
    </w:p>
    <w:p>
      <w:pPr>
        <w:spacing w:after="120" w:before="0"/>
      </w:pPr>
    </w:p>
    <w:p>
      <w:pPr>
        <w:pStyle w:val="Heading2"/>
        <w:spacing w:after="120" w:before="280"/>
      </w:pPr>
      <w:r>
        <w:rPr>
          <w:rFonts w:ascii="Arial" w:cs="Arial" w:eastAsia="Arial" w:hAnsi="Arial"/>
          <w:b/>
          <w:bCs/>
          <w:color w:val="05B4C9"/>
          <w:sz w:val="26"/>
          <w:szCs w:val="26"/>
        </w:rPr>
        <w:t xml:space="preserve">5.3 Part 2 — Complete Q&amp;A Record</w:t>
      </w:r>
    </w:p>
    <w:p>
      <w:pPr>
        <w:spacing w:after="120" w:before="0"/>
      </w:pPr>
      <w:r>
        <w:rPr>
          <w:rFonts w:ascii="Arial" w:cs="Arial" w:eastAsia="Arial" w:hAnsi="Arial"/>
          <w:color w:val="3A3A3A"/>
          <w:sz w:val="20"/>
          <w:szCs w:val="20"/>
        </w:rPr>
        <w:t xml:space="preserve">Part 2 is the full compliance log. It begins with a teal-bordered info note: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single" w:color="05B4C9" w:sz="12"/>
              <w:bottom w:val="none" w:color="FFFFFF" w:sz="0"/>
              <w:right w:val="none" w:color="FFFFFF" w:sz="0"/>
            </w:tcBorders>
            <w:shd w:fill="E6F8FA" w:val="clear"/>
            <w:tcMar>
              <w:top w:type="dxa" w:w="80"/>
              <w:left w:type="dxa" w:w="120"/>
              <w:bottom w:type="dxa" w:w="80"/>
              <w:right w:type="dxa" w:w="0"/>
            </w:tcMar>
          </w:tcPr>
          <w:p/>
        </w:tc>
        <w:tc>
          <w:tcPr>
            <w:tcW w:type="dxa" w:w="9220"/>
            <w:tcBorders>
              <w:top w:val="none" w:color="FFFFFF" w:sz="0"/>
              <w:left w:val="none" w:color="FFFFFF" w:sz="0"/>
              <w:bottom w:val="none" w:color="FFFFFF" w:sz="0"/>
              <w:right w:val="none" w:color="FFFFFF" w:sz="0"/>
            </w:tcBorders>
            <w:shd w:fill="E6F8FA" w:val="clear"/>
            <w:tcMar>
              <w:top w:type="dxa" w:w="100"/>
              <w:left w:type="dxa" w:w="160"/>
              <w:bottom w:type="dxa" w:w="100"/>
              <w:right w:type="dxa" w:w="160"/>
            </w:tcMar>
          </w:tcPr>
          <w:p>
            <w:r>
              <w:rPr>
                <w:rFonts w:ascii="Arial" w:cs="Arial" w:eastAsia="Arial" w:hAnsi="Arial"/>
                <w:b/>
                <w:bCs/>
                <w:color w:val="05B4C9"/>
                <w:sz w:val="18"/>
                <w:szCs w:val="18"/>
              </w:rPr>
              <w:t xml:space="preserve">Info note copy:  </w:t>
            </w:r>
            <w:r>
              <w:rPr>
                <w:rFonts w:ascii="Arial" w:cs="Arial" w:eastAsia="Arial" w:hAnsi="Arial"/>
                <w:color w:val="3A3A3A"/>
                <w:sz w:val="18"/>
                <w:szCs w:val="18"/>
              </w:rPr>
              <w:t xml:space="preserve">Complete compliance record for this engagement. Non-applicable questions excluded based on engagement profile above and noted inline for transparency.</w:t>
            </w:r>
          </w:p>
        </w:tc>
      </w:tr>
    </w:tbl>
    <w:p>
      <w:pPr>
        <w:spacing w:after="80" w:before="0"/>
      </w:pPr>
    </w:p>
    <w:p>
      <w:pPr>
        <w:spacing w:after="120" w:before="0"/>
      </w:pPr>
      <w:r>
        <w:rPr>
          <w:rFonts w:ascii="Arial" w:cs="Arial" w:eastAsia="Arial" w:hAnsi="Arial"/>
          <w:color w:val="3A3A3A"/>
          <w:sz w:val="20"/>
          <w:szCs w:val="20"/>
        </w:rPr>
        <w:t xml:space="preserve">The Q&amp;A log is structured as follows:</w:t>
      </w:r>
    </w:p>
    <w:p>
      <w:pPr>
        <w:pStyle w:val="ListParagraph"/>
        <w:numPr>
          <w:ilvl w:val="0"/>
          <w:numId w:val="3"/>
        </w:numPr>
        <w:spacing w:after="100"/>
      </w:pPr>
      <w:r>
        <w:rPr>
          <w:rFonts w:ascii="Arial" w:cs="Arial" w:eastAsia="Arial" w:hAnsi="Arial"/>
          <w:color w:val="3A3A3A"/>
          <w:sz w:val="20"/>
          <w:szCs w:val="20"/>
        </w:rPr>
        <w:t xml:space="preserve">Questions are grouped under four PS headers (PS 100, 110, 120, 130)</w:t>
      </w:r>
    </w:p>
    <w:p>
      <w:pPr>
        <w:pStyle w:val="ListParagraph"/>
        <w:numPr>
          <w:ilvl w:val="0"/>
          <w:numId w:val="3"/>
        </w:numPr>
        <w:spacing w:after="100"/>
      </w:pPr>
      <w:r>
        <w:rPr>
          <w:rFonts w:ascii="Arial" w:cs="Arial" w:eastAsia="Arial" w:hAnsi="Arial"/>
          <w:color w:val="3A3A3A"/>
          <w:sz w:val="20"/>
          <w:szCs w:val="20"/>
        </w:rPr>
        <w:t xml:space="preserve">Within each group, consecutive Yes/N/A answers are collapsed into a single italic line: e.g. “Q17–Q36 · All answered Yes — report disclosure requirements met”</w:t>
      </w:r>
    </w:p>
    <w:p>
      <w:pPr>
        <w:pStyle w:val="ListParagraph"/>
        <w:numPr>
          <w:ilvl w:val="0"/>
          <w:numId w:val="3"/>
        </w:numPr>
        <w:spacing w:after="100"/>
      </w:pPr>
      <w:r>
        <w:rPr>
          <w:rFonts w:ascii="Arial" w:cs="Arial" w:eastAsia="Arial" w:hAnsi="Arial"/>
          <w:color w:val="3A3A3A"/>
          <w:sz w:val="20"/>
          <w:szCs w:val="20"/>
        </w:rPr>
        <w:t xml:space="preserve">Every No answer renders in full with: question number (red), full question text with bolding, answer badge, and any reviewer note</w:t>
      </w:r>
    </w:p>
    <w:p>
      <w:pPr>
        <w:pStyle w:val="ListParagraph"/>
        <w:numPr>
          <w:ilvl w:val="0"/>
          <w:numId w:val="3"/>
        </w:numPr>
        <w:spacing w:after="100"/>
      </w:pPr>
      <w:r>
        <w:rPr>
          <w:rFonts w:ascii="Arial" w:cs="Arial" w:eastAsia="Arial" w:hAnsi="Arial"/>
          <w:color w:val="3A3A3A"/>
          <w:sz w:val="20"/>
          <w:szCs w:val="20"/>
        </w:rPr>
        <w:t xml:space="preserve">Greyed-out question blocks render as a small grey box labelled “Not applicable — excluded”, listing the question numbers and the reason (sourced from the gate that triggered the greyout). This ensures transparency if the record is ever reviewed by a CBV Institute inspector.</w:t>
      </w:r>
    </w:p>
    <w:p>
      <w:pPr>
        <w:spacing w:after="120" w:before="0"/>
      </w:pPr>
    </w:p>
    <w:p>
      <w:pPr>
        <w:pStyle w:val="Heading2"/>
        <w:spacing w:after="120" w:before="280"/>
      </w:pPr>
      <w:r>
        <w:rPr>
          <w:rFonts w:ascii="Arial" w:cs="Arial" w:eastAsia="Arial" w:hAnsi="Arial"/>
          <w:b/>
          <w:bCs/>
          <w:color w:val="05B4C9"/>
          <w:sz w:val="26"/>
          <w:szCs w:val="26"/>
        </w:rPr>
        <w:t xml:space="preserve">5.4 Email Footer</w:t>
      </w:r>
    </w:p>
    <w:p>
      <w:pPr>
        <w:spacing w:after="120" w:before="0"/>
      </w:pPr>
      <w:r>
        <w:rPr>
          <w:rFonts w:ascii="Arial" w:cs="Arial" w:eastAsia="Arial" w:hAnsi="Arial"/>
          <w:color w:val="3A3A3A"/>
          <w:sz w:val="20"/>
          <w:szCs w:val="20"/>
        </w:rPr>
        <w:t xml:space="preserve">Dark Green (#1A322F) background, matching the header. White/teal text: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single" w:color="05B4C9" w:sz="12"/>
              <w:bottom w:val="none" w:color="FFFFFF" w:sz="0"/>
              <w:right w:val="none" w:color="FFFFFF" w:sz="0"/>
            </w:tcBorders>
            <w:shd w:fill="E6F8FA" w:val="clear"/>
            <w:tcMar>
              <w:top w:type="dxa" w:w="80"/>
              <w:left w:type="dxa" w:w="120"/>
              <w:bottom w:type="dxa" w:w="80"/>
              <w:right w:type="dxa" w:w="0"/>
            </w:tcMar>
          </w:tcPr>
          <w:p/>
        </w:tc>
        <w:tc>
          <w:tcPr>
            <w:tcW w:type="dxa" w:w="9220"/>
            <w:tcBorders>
              <w:top w:val="none" w:color="FFFFFF" w:sz="0"/>
              <w:left w:val="none" w:color="FFFFFF" w:sz="0"/>
              <w:bottom w:val="none" w:color="FFFFFF" w:sz="0"/>
              <w:right w:val="none" w:color="FFFFFF" w:sz="0"/>
            </w:tcBorders>
            <w:shd w:fill="E6F8FA" w:val="clear"/>
            <w:tcMar>
              <w:top w:type="dxa" w:w="100"/>
              <w:left w:type="dxa" w:w="160"/>
              <w:bottom w:type="dxa" w:w="100"/>
              <w:right w:type="dxa" w:w="160"/>
            </w:tcMar>
          </w:tcPr>
          <w:p>
            <w:r>
              <w:rPr>
                <w:rFonts w:ascii="Arial" w:cs="Arial" w:eastAsia="Arial" w:hAnsi="Arial"/>
                <w:b/>
                <w:bCs/>
                <w:color w:val="05B4C9"/>
                <w:sz w:val="18"/>
                <w:szCs w:val="18"/>
              </w:rPr>
              <w:t xml:space="preserve">Footer copy:  </w:t>
            </w:r>
            <w:r>
              <w:rPr>
                <w:rFonts w:ascii="Arial" w:cs="Arial" w:eastAsia="Arial" w:hAnsi="Arial"/>
                <w:color w:val="3A3A3A"/>
                <w:sz w:val="18"/>
                <w:szCs w:val="18"/>
              </w:rPr>
              <w:t xml:space="preserve">Generated by Aspen Valuations CBV Checklist Tool · [Date] · [Time] MT | Save this email to the client file · PS 130 minimum five-year retention requirement</w:t>
            </w:r>
          </w:p>
        </w:tc>
      </w:tr>
    </w:tbl>
    <w:p>
      <w:pPr>
        <w:spacing w:after="200" w:before="0"/>
      </w:pPr>
    </w:p>
    <w:p>
      <w:pPr>
        <w:pStyle w:val="Heading1"/>
        <w:spacing w:after="160" w:before="360"/>
      </w:pPr>
      <w:r>
        <w:rPr>
          <w:rFonts w:ascii="Arial" w:cs="Arial" w:eastAsia="Arial" w:hAnsi="Arial"/>
          <w:b/>
          <w:bCs/>
          <w:color w:val="1A322F"/>
          <w:sz w:val="36"/>
          <w:szCs w:val="36"/>
        </w:rPr>
        <w:t xml:space="preserve">6. Brand Guidelines</w:t>
      </w:r>
    </w:p>
    <w:p>
      <w:pPr>
        <w:pBdr>
          <w:bottom w:val="single" w:color="E4E4E0" w:sz="6" w:space="1"/>
        </w:pBdr>
        <w:spacing w:after="0" w:before="0"/>
      </w:pPr>
    </w:p>
    <w:p>
      <w:pPr>
        <w:spacing w:after="80" w:before="0"/>
      </w:pPr>
    </w:p>
    <w:p>
      <w:pPr>
        <w:spacing w:after="120" w:before="0"/>
      </w:pPr>
      <w:r>
        <w:rPr>
          <w:rFonts w:ascii="Arial" w:cs="Arial" w:eastAsia="Arial" w:hAnsi="Arial"/>
          <w:color w:val="3A3A3A"/>
          <w:sz w:val="20"/>
          <w:szCs w:val="20"/>
        </w:rPr>
        <w:t xml:space="preserve">All visual elements must adhere to the Aspen Valuations brand guidelines (v1.0, July 2023). The key tokens to apply are: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Primary colour</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Blue Teal — #05B4C9 (Pantone 7466 C)</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Secondary colour</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Dark Green — #1A322F (Pantone 7500 U)</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Dark backgrounds</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#3a3a3a (near-black from brand guide)</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Primary font</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DIN Next LT Pro Bold (headlines, labels, uppercase tracking)</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Secondary font</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DIN Next LT Pro Regular (body text)</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Fallback font</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Arial (for email clients that cannot load DIN Next LT Pro)</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Logo mark</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The Λ (lambda-A) submark from the brand guide</w:t>
            </w:r>
          </w:p>
        </w:tc>
      </w:tr>
      <w:tr>
        <w:tc>
          <w:tcPr>
            <w:tcW w:type="dxa" w:w="2800"/>
            <w:tcBorders>
              <w:top w:val="single" w:color="E4E4E0" w:sz="2"/>
              <w:left w:val="single" w:color="E4E4E0" w:sz="2"/>
              <w:bottom w:val="single" w:color="E4E4E0" w:sz="2"/>
              <w:right w:val="single" w:color="E4E4E0" w:sz="2"/>
            </w:tcBorders>
            <w:shd w:fill="F8F8F7" w:val="clear"/>
            <w:tcMar>
              <w:top w:type="dxa" w:w="80"/>
              <w:left w:type="dxa" w:w="120"/>
              <w:bottom w:type="dxa" w:w="80"/>
              <w:right w:type="dxa" w:w="120"/>
            </w:tcMar>
          </w:tcPr>
          <w:p>
            <w:r>
              <w:rPr>
                <w:rFonts w:ascii="Arial" w:cs="Arial" w:eastAsia="Arial" w:hAnsi="Arial"/>
                <w:b/>
                <w:bCs/>
                <w:color w:val="1A322F"/>
                <w:sz w:val="18"/>
                <w:szCs w:val="18"/>
              </w:rPr>
              <w:t xml:space="preserve">Wordmark</w:t>
            </w:r>
          </w:p>
        </w:tc>
        <w:tc>
          <w:tcPr>
            <w:tcW w:type="dxa" w:w="6560"/>
            <w:tcBorders>
              <w:top w:val="single" w:color="E4E4E0" w:sz="2"/>
              <w:left w:val="single" w:color="E4E4E0" w:sz="2"/>
              <w:bottom w:val="single" w:color="E4E4E0" w:sz="2"/>
              <w:right w:val="single" w:color="E4E4E0" w:sz="2"/>
            </w:tcBorders>
            <w:shd w:fill="FFFFFF" w:val="clear"/>
            <w:tcMar>
              <w:top w:type="dxa" w:w="80"/>
              <w:left w:type="dxa" w:w="120"/>
              <w:bottom w:type="dxa" w:w="80"/>
              <w:right w:type="dxa" w:w="120"/>
            </w:tcMar>
          </w:tcPr>
          <w:p>
            <w:r>
              <w:rPr>
                <w:rFonts w:ascii="Arial" w:cs="Arial" w:eastAsia="Arial" w:hAnsi="Arial"/>
                <w:color w:val="3A3A3A"/>
                <w:sz w:val="18"/>
                <w:szCs w:val="18"/>
              </w:rPr>
              <w:t xml:space="preserve">ASPEN VALUATIONS stacked, with KNOW YOUR WORTH tagline in teal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single" w:color="05B4C9" w:sz="12"/>
              <w:bottom w:val="none" w:color="FFFFFF" w:sz="0"/>
              <w:right w:val="none" w:color="FFFFFF" w:sz="0"/>
            </w:tcBorders>
            <w:shd w:fill="E6F8FA" w:val="clear"/>
            <w:tcMar>
              <w:top w:type="dxa" w:w="80"/>
              <w:left w:type="dxa" w:w="120"/>
              <w:bottom w:type="dxa" w:w="80"/>
              <w:right w:type="dxa" w:w="0"/>
            </w:tcMar>
          </w:tcPr>
          <w:p/>
        </w:tc>
        <w:tc>
          <w:tcPr>
            <w:tcW w:type="dxa" w:w="9220"/>
            <w:tcBorders>
              <w:top w:val="none" w:color="FFFFFF" w:sz="0"/>
              <w:left w:val="none" w:color="FFFFFF" w:sz="0"/>
              <w:bottom w:val="none" w:color="FFFFFF" w:sz="0"/>
              <w:right w:val="none" w:color="FFFFFF" w:sz="0"/>
            </w:tcBorders>
            <w:shd w:fill="E6F8FA" w:val="clear"/>
            <w:tcMar>
              <w:top w:type="dxa" w:w="100"/>
              <w:left w:type="dxa" w:w="160"/>
              <w:bottom w:type="dxa" w:w="100"/>
              <w:right w:type="dxa" w:w="160"/>
            </w:tcMar>
          </w:tcPr>
          <w:p>
            <w:r>
              <w:rPr>
                <w:rFonts w:ascii="Arial" w:cs="Arial" w:eastAsia="Arial" w:hAnsi="Arial"/>
                <w:b/>
                <w:bCs/>
                <w:color w:val="05B4C9"/>
                <w:sz w:val="18"/>
                <w:szCs w:val="18"/>
              </w:rPr>
              <w:t xml:space="preserve">Note for developers:  </w:t>
            </w:r>
            <w:r>
              <w:rPr>
                <w:rFonts w:ascii="Arial" w:cs="Arial" w:eastAsia="Arial" w:hAnsi="Arial"/>
                <w:color w:val="3A3A3A"/>
                <w:sz w:val="18"/>
                <w:szCs w:val="18"/>
              </w:rPr>
              <w:t xml:space="preserve">DIN Next LT Pro is a licensed font and must be loaded as a web font in the app. For the email output, fall back to Arial per the brand guidelines (Section 05, Secondary Typeface). Do not substitute with Inter, Roboto, or any other system sans-serif.</w:t>
            </w:r>
          </w:p>
        </w:tc>
      </w:tr>
    </w:tbl>
    <w:p>
      <w:pPr>
        <w:spacing w:after="200" w:before="0"/>
      </w:pPr>
    </w:p>
    <w:p>
      <w:pPr>
        <w:pStyle w:val="Heading1"/>
        <w:spacing w:after="160" w:before="360"/>
      </w:pPr>
      <w:r>
        <w:rPr>
          <w:rFonts w:ascii="Arial" w:cs="Arial" w:eastAsia="Arial" w:hAnsi="Arial"/>
          <w:b/>
          <w:bCs/>
          <w:color w:val="1A322F"/>
          <w:sz w:val="36"/>
          <w:szCs w:val="36"/>
        </w:rPr>
        <w:t xml:space="preserve">7. Technical Notes</w:t>
      </w:r>
    </w:p>
    <w:p>
      <w:pPr>
        <w:pBdr>
          <w:bottom w:val="single" w:color="E4E4E0" w:sz="6" w:space="1"/>
        </w:pBdr>
        <w:spacing w:after="0" w:before="0"/>
      </w:pPr>
    </w:p>
    <w:p>
      <w:pPr>
        <w:spacing w:after="80" w:before="0"/>
      </w:pPr>
    </w:p>
    <w:p>
      <w:pPr>
        <w:spacing w:after="120" w:before="0"/>
      </w:pPr>
      <w:r>
        <w:rPr>
          <w:rFonts w:ascii="Arial" w:cs="Arial" w:eastAsia="Arial" w:hAnsi="Arial"/>
          <w:color w:val="3A3A3A"/>
          <w:sz w:val="20"/>
          <w:szCs w:val="20"/>
        </w:rPr>
        <w:t xml:space="preserve">The following notes are provided to assist the development team based on the current stack (Next.js on Vercel).</w:t>
      </w:r>
    </w:p>
    <w:p>
      <w:pPr>
        <w:spacing w:after="80" w:before="0"/>
      </w:pPr>
    </w:p>
    <w:p>
      <w:pPr>
        <w:pStyle w:val="Heading2"/>
        <w:spacing w:after="120" w:before="280"/>
      </w:pPr>
      <w:r>
        <w:rPr>
          <w:rFonts w:ascii="Arial" w:cs="Arial" w:eastAsia="Arial" w:hAnsi="Arial"/>
          <w:b/>
          <w:bCs/>
          <w:color w:val="05B4C9"/>
          <w:sz w:val="26"/>
          <w:szCs w:val="26"/>
        </w:rPr>
        <w:t xml:space="preserve">7.1 Branching Logic</w:t>
      </w:r>
    </w:p>
    <w:p>
      <w:pPr>
        <w:spacing w:after="120" w:before="0"/>
      </w:pPr>
      <w:r>
        <w:rPr>
          <w:rFonts w:ascii="Arial" w:cs="Arial" w:eastAsia="Arial" w:hAnsi="Arial"/>
          <w:color w:val="3A3A3A"/>
          <w:sz w:val="20"/>
          <w:szCs w:val="20"/>
        </w:rPr>
        <w:t xml:space="preserve">Gate answers should be stored in state alongside regular question answers. When a gate answer changes, the greyout set must be recalculated and any existing answers for newly-greyed questions must be cleared. The progress counter denominator should be derived from the active (non-greyed) question count.</w:t>
      </w:r>
    </w:p>
    <w:p>
      <w:pPr>
        <w:spacing w:after="80" w:before="0"/>
      </w:pPr>
    </w:p>
    <w:p>
      <w:pPr>
        <w:pStyle w:val="Heading2"/>
        <w:spacing w:after="120" w:before="280"/>
      </w:pPr>
      <w:r>
        <w:rPr>
          <w:rFonts w:ascii="Arial" w:cs="Arial" w:eastAsia="Arial" w:hAnsi="Arial"/>
          <w:b/>
          <w:bCs/>
          <w:color w:val="05B4C9"/>
          <w:sz w:val="26"/>
          <w:szCs w:val="26"/>
        </w:rPr>
        <w:t xml:space="preserve">7.2 Email Delivery</w:t>
      </w:r>
    </w:p>
    <w:p>
      <w:pPr>
        <w:spacing w:after="120" w:before="0"/>
      </w:pPr>
      <w:r>
        <w:rPr>
          <w:rFonts w:ascii="Arial" w:cs="Arial" w:eastAsia="Arial" w:hAnsi="Arial"/>
          <w:color w:val="3A3A3A"/>
          <w:sz w:val="20"/>
          <w:szCs w:val="20"/>
        </w:rPr>
        <w:t xml:space="preserve">The existing email delivery mechanism (Resend or SendGrid) can remain. The email body should be rendered as HTML using an inline-style approach compatible with major email clients (Outlook, Gmail, Apple Mail). Use a table-based layout for the email since CSS Grid and Flexbox have inconsistent support in email clients.</w:t>
      </w:r>
    </w:p>
    <w:p>
      <w:pPr>
        <w:spacing w:after="80" w:before="0"/>
      </w:pPr>
    </w:p>
    <w:p>
      <w:pPr>
        <w:pStyle w:val="Heading2"/>
        <w:spacing w:after="120" w:before="280"/>
      </w:pPr>
      <w:r>
        <w:rPr>
          <w:rFonts w:ascii="Arial" w:cs="Arial" w:eastAsia="Arial" w:hAnsi="Arial"/>
          <w:b/>
          <w:bCs/>
          <w:color w:val="05B4C9"/>
          <w:sz w:val="26"/>
          <w:szCs w:val="26"/>
        </w:rPr>
        <w:t xml:space="preserve">7.3 No PDF Required</w:t>
      </w:r>
    </w:p>
    <w:p>
      <w:pPr>
        <w:spacing w:after="120" w:before="0"/>
      </w:pPr>
      <w:r>
        <w:rPr>
          <w:rFonts w:ascii="Arial" w:cs="Arial" w:eastAsia="Arial" w:hAnsi="Arial"/>
          <w:color w:val="3A3A3A"/>
          <w:sz w:val="20"/>
          <w:szCs w:val="20"/>
        </w:rPr>
        <w:t xml:space="preserve">Remove any existing PDF generation library (e.g. jsPDF, Puppeteer, react-pdf) from the codebase. The email HTML is the artifact of record.</w:t>
      </w:r>
    </w:p>
    <w:p>
      <w:pPr>
        <w:spacing w:after="80" w:before="0"/>
      </w:pPr>
    </w:p>
    <w:p>
      <w:pPr>
        <w:pStyle w:val="Heading2"/>
        <w:spacing w:after="120" w:before="280"/>
      </w:pPr>
      <w:r>
        <w:rPr>
          <w:rFonts w:ascii="Arial" w:cs="Arial" w:eastAsia="Arial" w:hAnsi="Arial"/>
          <w:b/>
          <w:bCs/>
          <w:color w:val="05B4C9"/>
          <w:sz w:val="26"/>
          <w:szCs w:val="26"/>
        </w:rPr>
        <w:t xml:space="preserve">7.4 Submission Behaviour</w:t>
      </w:r>
    </w:p>
    <w:p>
      <w:pPr>
        <w:spacing w:after="120" w:before="0"/>
      </w:pPr>
      <w:r>
        <w:rPr>
          <w:rFonts w:ascii="Arial" w:cs="Arial" w:eastAsia="Arial" w:hAnsi="Arial"/>
          <w:color w:val="3A3A3A"/>
          <w:sz w:val="20"/>
          <w:szCs w:val="20"/>
        </w:rPr>
        <w:t xml:space="preserve">The Submit button should be disabled until all active (non-greyed) questions have been answered. On submit, send the email and display a confirmation toast: “✓ Checklist sent to [email address].”</w:t>
      </w:r>
    </w:p>
    <w:p>
      <w:pPr>
        <w:spacing w:after="200" w:before="0"/>
      </w:pPr>
    </w:p>
    <w:p>
      <w:pPr>
        <w:pStyle w:val="Heading1"/>
        <w:spacing w:after="160" w:before="360"/>
      </w:pPr>
      <w:r>
        <w:rPr>
          <w:rFonts w:ascii="Arial" w:cs="Arial" w:eastAsia="Arial" w:hAnsi="Arial"/>
          <w:b/>
          <w:bCs/>
          <w:color w:val="1A322F"/>
          <w:sz w:val="36"/>
          <w:szCs w:val="36"/>
        </w:rPr>
        <w:t xml:space="preserve">8. Acceptance Criteria</w:t>
      </w:r>
    </w:p>
    <w:p>
      <w:pPr>
        <w:pBdr>
          <w:bottom w:val="single" w:color="E4E4E0" w:sz="6" w:space="1"/>
        </w:pBdr>
        <w:spacing w:after="0" w:before="0"/>
      </w:pPr>
    </w:p>
    <w:p>
      <w:pPr>
        <w:spacing w:after="80" w:before="0"/>
      </w:pPr>
    </w:p>
    <w:p>
      <w:pPr>
        <w:spacing w:after="120" w:before="0"/>
      </w:pPr>
      <w:r>
        <w:rPr>
          <w:rFonts w:ascii="Arial" w:cs="Arial" w:eastAsia="Arial" w:hAnsi="Arial"/>
          <w:color w:val="3A3A3A"/>
          <w:sz w:val="20"/>
          <w:szCs w:val="20"/>
        </w:rPr>
        <w:t xml:space="preserve">The revamp is considered complete when all of the following are true:</w:t>
      </w:r>
    </w:p>
    <w:p>
      <w:pPr>
        <w:spacing w:after="60" w:before="0"/>
      </w:pPr>
    </w:p>
    <w:p>
      <w:pPr>
        <w:pStyle w:val="ListParagraph"/>
        <w:numPr>
          <w:ilvl w:val="0"/>
          <w:numId w:val="3"/>
        </w:numPr>
        <w:spacing w:after="100"/>
      </w:pPr>
      <w:r>
        <w:rPr>
          <w:rFonts w:ascii="Arial" w:cs="Arial" w:eastAsia="Arial" w:hAnsi="Arial"/>
          <w:color w:val="3A3A3A"/>
          <w:sz w:val="20"/>
          <w:szCs w:val="20"/>
        </w:rPr>
        <w:t xml:space="preserve">All six gate questions are present in the Engagement Profile section with the correct answer options and greyout behaviour as specified in Section 2.</w:t>
      </w:r>
    </w:p>
    <w:p>
      <w:pPr>
        <w:pStyle w:val="ListParagraph"/>
        <w:numPr>
          <w:ilvl w:val="0"/>
          <w:numId w:val="3"/>
        </w:numPr>
        <w:spacing w:after="100"/>
      </w:pPr>
      <w:r>
        <w:rPr>
          <w:rFonts w:ascii="Arial" w:cs="Arial" w:eastAsia="Arial" w:hAnsi="Arial"/>
          <w:color w:val="3A3A3A"/>
          <w:sz w:val="20"/>
          <w:szCs w:val="20"/>
        </w:rPr>
        <w:t xml:space="preserve">Greyed questions are visually de-emphasised, non-interactive, and cleared when gate answers change.</w:t>
      </w:r>
    </w:p>
    <w:p>
      <w:pPr>
        <w:pStyle w:val="ListParagraph"/>
        <w:numPr>
          <w:ilvl w:val="0"/>
          <w:numId w:val="3"/>
        </w:numPr>
        <w:spacing w:after="100"/>
      </w:pPr>
      <w:r>
        <w:rPr>
          <w:rFonts w:ascii="Arial" w:cs="Arial" w:eastAsia="Arial" w:hAnsi="Arial"/>
          <w:color w:val="3A3A3A"/>
          <w:sz w:val="20"/>
          <w:szCs w:val="20"/>
        </w:rPr>
        <w:t xml:space="preserve">Progress bar denominator reflects active question count only.</w:t>
      </w:r>
    </w:p>
    <w:p>
      <w:pPr>
        <w:pStyle w:val="ListParagraph"/>
        <w:numPr>
          <w:ilvl w:val="0"/>
          <w:numId w:val="3"/>
        </w:numPr>
        <w:spacing w:after="100"/>
      </w:pPr>
      <w:r>
        <w:rPr>
          <w:rFonts w:ascii="Arial" w:cs="Arial" w:eastAsia="Arial" w:hAnsi="Arial"/>
          <w:color w:val="3A3A3A"/>
          <w:sz w:val="20"/>
          <w:szCs w:val="20"/>
        </w:rPr>
        <w:t xml:space="preserve">Sidebar badges update live with correct Yes/No/unanswered state per section.</w:t>
      </w:r>
    </w:p>
    <w:p>
      <w:pPr>
        <w:pStyle w:val="ListParagraph"/>
        <w:numPr>
          <w:ilvl w:val="0"/>
          <w:numId w:val="3"/>
        </w:numPr>
        <w:spacing w:after="100"/>
      </w:pPr>
      <w:r>
        <w:rPr>
          <w:rFonts w:ascii="Arial" w:cs="Arial" w:eastAsia="Arial" w:hAnsi="Arial"/>
          <w:color w:val="3A3A3A"/>
          <w:sz w:val="20"/>
          <w:szCs w:val="20"/>
        </w:rPr>
        <w:t xml:space="preserve">All 86 question texts have key phrases bolded in Dark Green.</w:t>
      </w:r>
    </w:p>
    <w:p>
      <w:pPr>
        <w:pStyle w:val="ListParagraph"/>
        <w:numPr>
          <w:ilvl w:val="0"/>
          <w:numId w:val="3"/>
        </w:numPr>
        <w:spacing w:after="100"/>
      </w:pPr>
      <w:r>
        <w:rPr>
          <w:rFonts w:ascii="Arial" w:cs="Arial" w:eastAsia="Arial" w:hAnsi="Arial"/>
          <w:color w:val="3A3A3A"/>
          <w:sz w:val="20"/>
          <w:szCs w:val="20"/>
        </w:rPr>
        <w:t xml:space="preserve">The review modal shows scorecard, conclusion type badge, flagged items list, and disables Submit when questions remain unanswered.</w:t>
      </w:r>
    </w:p>
    <w:p>
      <w:pPr>
        <w:pStyle w:val="ListParagraph"/>
        <w:numPr>
          <w:ilvl w:val="0"/>
          <w:numId w:val="3"/>
        </w:numPr>
        <w:spacing w:after="100"/>
      </w:pPr>
      <w:r>
        <w:rPr>
          <w:rFonts w:ascii="Arial" w:cs="Arial" w:eastAsia="Arial" w:hAnsi="Arial"/>
          <w:color w:val="3A3A3A"/>
          <w:sz w:val="20"/>
          <w:szCs w:val="20"/>
        </w:rPr>
        <w:t xml:space="preserve">No PDF is generated or attached at any point.</w:t>
      </w:r>
    </w:p>
    <w:p>
      <w:pPr>
        <w:pStyle w:val="ListParagraph"/>
        <w:numPr>
          <w:ilvl w:val="0"/>
          <w:numId w:val="3"/>
        </w:numPr>
        <w:spacing w:after="100"/>
      </w:pPr>
      <w:r>
        <w:rPr>
          <w:rFonts w:ascii="Arial" w:cs="Arial" w:eastAsia="Arial" w:hAnsi="Arial"/>
          <w:color w:val="3A3A3A"/>
          <w:sz w:val="20"/>
          <w:szCs w:val="20"/>
        </w:rPr>
        <w:t xml:space="preserve">Email subject line follows the specified naming convention.</w:t>
      </w:r>
    </w:p>
    <w:p>
      <w:pPr>
        <w:pStyle w:val="ListParagraph"/>
        <w:numPr>
          <w:ilvl w:val="0"/>
          <w:numId w:val="3"/>
        </w:numPr>
        <w:spacing w:after="100"/>
      </w:pPr>
      <w:r>
        <w:rPr>
          <w:rFonts w:ascii="Arial" w:cs="Arial" w:eastAsia="Arial" w:hAnsi="Arial"/>
          <w:color w:val="3A3A3A"/>
          <w:sz w:val="20"/>
          <w:szCs w:val="20"/>
        </w:rPr>
        <w:t xml:space="preserve">Email Part 1 contains: header, engagement grid, scorecard, status banner, flagged items, and signature block.</w:t>
      </w:r>
    </w:p>
    <w:p>
      <w:pPr>
        <w:pStyle w:val="ListParagraph"/>
        <w:numPr>
          <w:ilvl w:val="0"/>
          <w:numId w:val="3"/>
        </w:numPr>
        <w:spacing w:after="100"/>
      </w:pPr>
      <w:r>
        <w:rPr>
          <w:rFonts w:ascii="Arial" w:cs="Arial" w:eastAsia="Arial" w:hAnsi="Arial"/>
          <w:color w:val="3A3A3A"/>
          <w:sz w:val="20"/>
          <w:szCs w:val="20"/>
        </w:rPr>
        <w:t xml:space="preserve">Email Part 2 contains: full Q&amp;A log with collapsed clean runs, full No-answer rows, and greyed-out exclusion blocks.</w:t>
      </w:r>
    </w:p>
    <w:p>
      <w:pPr>
        <w:pStyle w:val="ListParagraph"/>
        <w:numPr>
          <w:ilvl w:val="0"/>
          <w:numId w:val="3"/>
        </w:numPr>
        <w:spacing w:after="100"/>
      </w:pPr>
      <w:r>
        <w:rPr>
          <w:rFonts w:ascii="Arial" w:cs="Arial" w:eastAsia="Arial" w:hAnsi="Arial"/>
          <w:color w:val="3A3A3A"/>
          <w:sz w:val="20"/>
          <w:szCs w:val="20"/>
        </w:rPr>
        <w:t xml:space="preserve">Email header and footer use Dark Green #1A322F background.</w:t>
      </w:r>
    </w:p>
    <w:p>
      <w:pPr>
        <w:pStyle w:val="ListParagraph"/>
        <w:numPr>
          <w:ilvl w:val="0"/>
          <w:numId w:val="3"/>
        </w:numPr>
        <w:spacing w:after="100"/>
      </w:pPr>
      <w:r>
        <w:rPr>
          <w:rFonts w:ascii="Arial" w:cs="Arial" w:eastAsia="Arial" w:hAnsi="Arial"/>
          <w:color w:val="3A3A3A"/>
          <w:sz w:val="20"/>
          <w:szCs w:val="20"/>
        </w:rPr>
        <w:t xml:space="preserve">All teal accents use #05B4C9 exactly.</w:t>
      </w:r>
    </w:p>
    <w:p>
      <w:pPr>
        <w:pStyle w:val="ListParagraph"/>
        <w:numPr>
          <w:ilvl w:val="0"/>
          <w:numId w:val="3"/>
        </w:numPr>
        <w:spacing w:after="100"/>
      </w:pPr>
      <w:r>
        <w:rPr>
          <w:rFonts w:ascii="Arial" w:cs="Arial" w:eastAsia="Arial" w:hAnsi="Arial"/>
          <w:color w:val="3A3A3A"/>
          <w:sz w:val="20"/>
          <w:szCs w:val="20"/>
        </w:rPr>
        <w:t xml:space="preserve">Font falls back to Arial in email clients.</w:t>
      </w:r>
    </w:p>
    <w:p>
      <w:pPr>
        <w:pStyle w:val="ListParagraph"/>
        <w:numPr>
          <w:ilvl w:val="0"/>
          <w:numId w:val="3"/>
        </w:numPr>
        <w:spacing w:after="100"/>
      </w:pPr>
      <w:r>
        <w:rPr>
          <w:rFonts w:ascii="Arial" w:cs="Arial" w:eastAsia="Arial" w:hAnsi="Arial"/>
          <w:color w:val="3A3A3A"/>
          <w:sz w:val="20"/>
          <w:szCs w:val="20"/>
        </w:rPr>
        <w:t xml:space="preserve">Engagement letter No flag surfaces correctly in Part 1 flagged items.</w:t>
      </w:r>
    </w:p>
    <w:p>
      <w:pPr>
        <w:pStyle w:val="ListParagraph"/>
        <w:numPr>
          <w:ilvl w:val="0"/>
          <w:numId w:val="3"/>
        </w:numPr>
        <w:spacing w:after="100"/>
      </w:pPr>
      <w:r>
        <w:rPr>
          <w:rFonts w:ascii="Arial" w:cs="Arial" w:eastAsia="Arial" w:hAnsi="Arial"/>
          <w:color w:val="3A3A3A"/>
          <w:sz w:val="20"/>
          <w:szCs w:val="20"/>
        </w:rPr>
        <w:t xml:space="preserve">Greyed-out exclusion blocks in Part 2 name the questions and the gate reason.</w:t>
      </w:r>
    </w:p>
    <w:p>
      <w:pPr>
        <w:spacing w:after="200" w:before="0"/>
      </w:pPr>
    </w:p>
    <w:p>
      <w:pPr>
        <w:pBdr>
          <w:bottom w:val="single" w:color="05B4C9" w:sz="6" w:space="1"/>
        </w:pBdr>
        <w:spacing w:after="0" w:before="0"/>
      </w:pPr>
    </w:p>
    <w:p>
      <w:pPr>
        <w:spacing w:after="120" w:before="0"/>
      </w:pPr>
    </w:p>
    <w:p>
      <w:r>
        <w:rPr>
          <w:rFonts w:ascii="Arial" w:cs="Arial" w:eastAsia="Arial" w:hAnsi="Arial"/>
          <w:b/>
          <w:bCs/>
          <w:color w:val="1A322F"/>
          <w:sz w:val="20"/>
          <w:szCs w:val="20"/>
        </w:rPr>
        <w:t xml:space="preserve">Aspen Valuations</w:t>
      </w:r>
      <w:r>
        <w:rPr>
          <w:rFonts w:ascii="Arial" w:cs="Arial" w:eastAsia="Arial" w:hAnsi="Arial"/>
          <w:color w:val="999999"/>
          <w:sz w:val="18"/>
          <w:szCs w:val="18"/>
        </w:rPr>
        <w:t xml:space="preserve">   —   CBV Checklist Tool Revamp Brief v2.0   —   May 2026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0" w:sz="4" w:space="1"/>
      </w:pBdr>
      <w:spacing w:before="120"/>
    </w:pPr>
    <w:r>
      <w:rPr>
        <w:rFonts w:ascii="Arial" w:cs="Arial" w:eastAsia="Arial" w:hAnsi="Arial"/>
        <w:color w:val="999999"/>
        <w:sz w:val="16"/>
        <w:szCs w:val="16"/>
      </w:rPr>
      <w:t xml:space="preserve">Confidential — Internal Use Only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B4C9" w:sz="6" w:space="1"/>
      </w:pBdr>
      <w:spacing w:after="0"/>
    </w:pPr>
    <w:r>
      <w:rPr>
        <w:rFonts w:ascii="Arial" w:cs="Arial" w:eastAsia="Arial" w:hAnsi="Arial"/>
        <w:b/>
        <w:bCs/>
        <w:color w:val="1A322F"/>
        <w:sz w:val="16"/>
        <w:szCs w:val="16"/>
      </w:rPr>
      <w:t xml:space="preserve">ASPEN VALUATIONS</w:t>
    </w:r>
    <w:r>
      <w:rPr>
        <w:rFonts w:ascii="Arial" w:cs="Arial" w:eastAsia="Arial" w:hAnsi="Arial"/>
        <w:color w:val="999999"/>
        <w:sz w:val="16"/>
        <w:szCs w:val="16"/>
      </w:rPr>
      <w:t xml:space="preserve">   —   CBV Checklist Tool: R&amp;D Revamp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22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5B4C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2026-05-18T22:43:02.555Z</dcterms:created>
  <dcterms:modified xsi:type="dcterms:W3CDTF">2026-05-18T22:43:02.555Z</dcterms:modified>
</cp:coreProperties>
</file>

<file path=docProps/custom.xml><?xml version="1.0" encoding="utf-8"?>
<Properties xmlns="http://schemas.openxmlformats.org/officeDocument/2006/custom-properties" xmlns:vt="http://schemas.openxmlformats.org/officeDocument/2006/docPropsVTypes"/>
</file>