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1877" w14:textId="77777777" w:rsidR="00BA6E68" w:rsidRDefault="00BA6E68">
      <w:pPr>
        <w:pStyle w:val="Body"/>
      </w:pPr>
    </w:p>
    <w:p w14:paraId="4727C4CF" w14:textId="08D96AE0" w:rsidR="00142165" w:rsidRDefault="00142165">
      <w:pPr>
        <w:pStyle w:val="Body"/>
        <w:rPr>
          <w:rFonts w:eastAsia="Arial Unicode MS" w:hAnsi="Arial Unicode MS" w:cs="Arial Unicode MS"/>
        </w:rPr>
      </w:pPr>
      <w:r>
        <w:rPr>
          <w:rFonts w:eastAsia="Arial Unicode MS" w:hAnsi="Arial Unicode MS" w:cs="Arial Unicode MS"/>
        </w:rPr>
        <w:t>Agenda:</w:t>
      </w:r>
    </w:p>
    <w:p w14:paraId="2A4DE1BA" w14:textId="77777777" w:rsidR="00142165" w:rsidRDefault="00142165">
      <w:pPr>
        <w:pStyle w:val="Body"/>
        <w:rPr>
          <w:rFonts w:eastAsia="Arial Unicode MS" w:hAnsi="Arial Unicode MS" w:cs="Arial Unicode MS"/>
        </w:rPr>
      </w:pPr>
      <w:bookmarkStart w:id="0" w:name="_GoBack"/>
      <w:bookmarkEnd w:id="0"/>
    </w:p>
    <w:p w14:paraId="2D0DDFE5"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Summary of ETD conference</w:t>
      </w:r>
    </w:p>
    <w:p w14:paraId="08532F3C"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Review of outstanding issues</w:t>
      </w:r>
    </w:p>
    <w:p w14:paraId="7A47B881"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Results of native file format survey / policy revisions</w:t>
      </w:r>
    </w:p>
    <w:p w14:paraId="2C7E3768" w14:textId="77777777" w:rsidR="00142165" w:rsidRPr="00142165" w:rsidRDefault="00142165" w:rsidP="00142165">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ORCID IDs on dissertation submission</w:t>
      </w:r>
    </w:p>
    <w:p w14:paraId="7305384D" w14:textId="32CF2C2B" w:rsidR="00142165" w:rsidRPr="00583133" w:rsidRDefault="00142165" w:rsidP="0058313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textAlignment w:val="baseline"/>
        <w:rPr>
          <w:rFonts w:ascii="Arial" w:eastAsia="Times New Roman" w:hAnsi="Arial"/>
          <w:color w:val="000000"/>
          <w:sz w:val="23"/>
          <w:szCs w:val="23"/>
          <w:bdr w:val="none" w:sz="0" w:space="0" w:color="auto"/>
        </w:rPr>
      </w:pPr>
      <w:r w:rsidRPr="00142165">
        <w:rPr>
          <w:rFonts w:ascii="Arial" w:eastAsia="Times New Roman" w:hAnsi="Arial"/>
          <w:color w:val="000000"/>
          <w:sz w:val="23"/>
          <w:szCs w:val="23"/>
          <w:bdr w:val="none" w:sz="0" w:space="0" w:color="auto"/>
        </w:rPr>
        <w:t>Dissertation submission boot camp</w:t>
      </w:r>
    </w:p>
    <w:p w14:paraId="5EFC49D9" w14:textId="72F6F41E" w:rsidR="00BA6E68" w:rsidRDefault="0077095A">
      <w:pPr>
        <w:pStyle w:val="Body"/>
      </w:pPr>
      <w:r>
        <w:rPr>
          <w:rFonts w:eastAsia="Arial Unicode MS" w:hAnsi="Arial Unicode MS" w:cs="Arial Unicode MS"/>
        </w:rPr>
        <w:t xml:space="preserve">Present: </w:t>
      </w:r>
      <w:r w:rsidR="00E02F69">
        <w:rPr>
          <w:rFonts w:eastAsia="Arial Unicode MS" w:hAnsi="Arial Unicode MS" w:cs="Arial Unicode MS"/>
        </w:rPr>
        <w:t xml:space="preserve">Janis Paul, Sara Vaughan, Karen Rupp-Serrano, David </w:t>
      </w:r>
      <w:proofErr w:type="spellStart"/>
      <w:r w:rsidR="00E02F69">
        <w:rPr>
          <w:rFonts w:eastAsia="Arial Unicode MS" w:hAnsi="Arial Unicode MS" w:cs="Arial Unicode MS"/>
        </w:rPr>
        <w:t>Corbly</w:t>
      </w:r>
      <w:proofErr w:type="spellEnd"/>
      <w:r w:rsidR="00E02F69">
        <w:rPr>
          <w:rFonts w:eastAsia="Arial Unicode MS" w:hAnsi="Arial Unicode MS" w:cs="Arial Unicode MS"/>
        </w:rPr>
        <w:t xml:space="preserve">, Logan Cox, </w:t>
      </w:r>
      <w:proofErr w:type="gramStart"/>
      <w:r w:rsidR="00E02F69">
        <w:rPr>
          <w:rFonts w:eastAsia="Arial Unicode MS" w:hAnsi="Arial Unicode MS" w:cs="Arial Unicode MS"/>
        </w:rPr>
        <w:t>Tao</w:t>
      </w:r>
      <w:proofErr w:type="gramEnd"/>
      <w:r w:rsidR="00E02F69">
        <w:rPr>
          <w:rFonts w:eastAsia="Arial Unicode MS" w:hAnsi="Arial Unicode MS" w:cs="Arial Unicode MS"/>
        </w:rPr>
        <w:t xml:space="preserve"> Zhao</w:t>
      </w:r>
    </w:p>
    <w:p w14:paraId="034272A7" w14:textId="77777777" w:rsidR="00BA6E68" w:rsidRDefault="00BA6E68">
      <w:pPr>
        <w:pStyle w:val="Body"/>
      </w:pPr>
    </w:p>
    <w:p w14:paraId="34D8F09D" w14:textId="44F327F7" w:rsidR="00583133" w:rsidRDefault="00583133" w:rsidP="00583133">
      <w:pPr>
        <w:pStyle w:val="Body"/>
        <w:numPr>
          <w:ilvl w:val="0"/>
          <w:numId w:val="6"/>
        </w:numPr>
      </w:pPr>
      <w:r>
        <w:t>Summary of ETD conference (Karen) —</w:t>
      </w:r>
    </w:p>
    <w:p w14:paraId="1A5D6073" w14:textId="77777777" w:rsidR="00583133" w:rsidRDefault="00EE7E9D" w:rsidP="00583133">
      <w:pPr>
        <w:pStyle w:val="Body"/>
        <w:numPr>
          <w:ilvl w:val="0"/>
          <w:numId w:val="7"/>
        </w:numPr>
        <w:ind w:left="1080"/>
      </w:pPr>
      <w:proofErr w:type="spellStart"/>
      <w:r>
        <w:t>Bepress</w:t>
      </w:r>
      <w:proofErr w:type="spellEnd"/>
      <w:r>
        <w:t>/Digital Commons in use by most participants</w:t>
      </w:r>
      <w:r w:rsidR="00261FD4">
        <w:t>, very useful to students as an e-portfolio</w:t>
      </w:r>
      <w:r w:rsidR="00583133">
        <w:t>.</w:t>
      </w:r>
    </w:p>
    <w:p w14:paraId="2B55AEA1" w14:textId="77777777" w:rsidR="00583133" w:rsidRDefault="00EE7E9D" w:rsidP="00583133">
      <w:pPr>
        <w:pStyle w:val="Body"/>
        <w:numPr>
          <w:ilvl w:val="0"/>
          <w:numId w:val="7"/>
        </w:numPr>
        <w:ind w:left="1080"/>
      </w:pPr>
      <w:r>
        <w:t xml:space="preserve">Most run plagiarism checks on dissertations; we do through the Office of </w:t>
      </w:r>
      <w:proofErr w:type="gramStart"/>
      <w:r>
        <w:t>Integrity(</w:t>
      </w:r>
      <w:proofErr w:type="gramEnd"/>
      <w:r>
        <w:t>?)/</w:t>
      </w:r>
      <w:proofErr w:type="spellStart"/>
      <w:r>
        <w:t>Turnitin</w:t>
      </w:r>
      <w:proofErr w:type="spellEnd"/>
      <w:r>
        <w:t xml:space="preserve">. </w:t>
      </w:r>
      <w:proofErr w:type="spellStart"/>
      <w:r>
        <w:t>SafeAssignment</w:t>
      </w:r>
      <w:proofErr w:type="spellEnd"/>
      <w:r>
        <w:t xml:space="preserve"> is another product used by some universities.</w:t>
      </w:r>
    </w:p>
    <w:p w14:paraId="60CA49F5" w14:textId="77777777" w:rsidR="00583133" w:rsidRDefault="00EE7E9D" w:rsidP="00583133">
      <w:pPr>
        <w:pStyle w:val="Body"/>
        <w:numPr>
          <w:ilvl w:val="0"/>
          <w:numId w:val="7"/>
        </w:numPr>
        <w:ind w:left="1080"/>
      </w:pPr>
      <w:r>
        <w:t>Many are doing orientation session</w:t>
      </w:r>
      <w:r w:rsidR="00583133">
        <w:t>s for dissertation submitters.</w:t>
      </w:r>
    </w:p>
    <w:p w14:paraId="32166593" w14:textId="77777777" w:rsidR="00583133" w:rsidRDefault="00261FD4" w:rsidP="00583133">
      <w:pPr>
        <w:pStyle w:val="Body"/>
        <w:numPr>
          <w:ilvl w:val="0"/>
          <w:numId w:val="7"/>
        </w:numPr>
        <w:ind w:left="1080"/>
      </w:pPr>
      <w:r>
        <w:t>Embargoes are 2 y</w:t>
      </w:r>
      <w:r w:rsidR="00583133">
        <w:t>ears on average, up to 5 years.</w:t>
      </w:r>
    </w:p>
    <w:p w14:paraId="2353D2F9" w14:textId="77777777" w:rsidR="00583133" w:rsidRDefault="00261FD4" w:rsidP="00583133">
      <w:pPr>
        <w:pStyle w:val="Body"/>
        <w:numPr>
          <w:ilvl w:val="0"/>
          <w:numId w:val="7"/>
        </w:numPr>
        <w:ind w:left="1080"/>
      </w:pPr>
      <w:r>
        <w:t>Some are including supp</w:t>
      </w:r>
      <w:r w:rsidR="00583133">
        <w:t>lemental data in dissertations.</w:t>
      </w:r>
    </w:p>
    <w:p w14:paraId="1F210699" w14:textId="77777777" w:rsidR="00583133" w:rsidRDefault="002D6B15" w:rsidP="00583133">
      <w:pPr>
        <w:pStyle w:val="Body"/>
        <w:numPr>
          <w:ilvl w:val="0"/>
          <w:numId w:val="7"/>
        </w:numPr>
        <w:ind w:left="1080"/>
      </w:pPr>
      <w:r>
        <w:t>Janis commented that some institutions are allowing students in creative writing disciplines to di</w:t>
      </w:r>
      <w:r w:rsidR="00583133">
        <w:t>splay only 3 out of 5 chapters.</w:t>
      </w:r>
    </w:p>
    <w:p w14:paraId="45D0E2EF" w14:textId="77777777" w:rsidR="00583133" w:rsidRDefault="00261FD4" w:rsidP="00583133">
      <w:pPr>
        <w:pStyle w:val="Body"/>
        <w:numPr>
          <w:ilvl w:val="0"/>
          <w:numId w:val="7"/>
        </w:numPr>
        <w:ind w:left="1080"/>
      </w:pPr>
      <w:r>
        <w:t>University of Texas automatically embargoes for one year; metadata isn’t e</w:t>
      </w:r>
      <w:r w:rsidR="00583133">
        <w:t xml:space="preserve">ven available during that time. </w:t>
      </w:r>
      <w:r w:rsidR="002D6B15">
        <w:t>An</w:t>
      </w:r>
      <w:r>
        <w:t xml:space="preserve"> automatic two-year embargo</w:t>
      </w:r>
      <w:r w:rsidR="002D6B15">
        <w:t xml:space="preserve"> will be available to all departments</w:t>
      </w:r>
      <w:r>
        <w:t>.</w:t>
      </w:r>
    </w:p>
    <w:p w14:paraId="0C0A9E5A" w14:textId="77777777" w:rsidR="00583133" w:rsidRDefault="002D6B15" w:rsidP="00583133">
      <w:pPr>
        <w:pStyle w:val="Body"/>
        <w:numPr>
          <w:ilvl w:val="0"/>
          <w:numId w:val="7"/>
        </w:numPr>
        <w:ind w:left="1080"/>
      </w:pPr>
      <w:r>
        <w:t xml:space="preserve">American Historical Association embargo </w:t>
      </w:r>
      <w:r w:rsidR="00583133">
        <w:t>positions</w:t>
      </w:r>
      <w:r>
        <w:t xml:space="preserve"> were discussed. </w:t>
      </w:r>
    </w:p>
    <w:p w14:paraId="4AC5F3CE" w14:textId="357D1C2F" w:rsidR="00EE7E9D" w:rsidRDefault="002D6B15" w:rsidP="00583133">
      <w:pPr>
        <w:pStyle w:val="Body"/>
        <w:numPr>
          <w:ilvl w:val="0"/>
          <w:numId w:val="7"/>
        </w:numPr>
        <w:ind w:left="1080"/>
      </w:pPr>
      <w:r>
        <w:t>At UNT, the advisor determines whether there will be an embargo.</w:t>
      </w:r>
      <w:r w:rsidR="00583133">
        <w:br/>
      </w:r>
    </w:p>
    <w:p w14:paraId="7D276350" w14:textId="17FF3ABD" w:rsidR="00583133" w:rsidRDefault="00583133" w:rsidP="00EE7E9D">
      <w:pPr>
        <w:pStyle w:val="Body"/>
        <w:numPr>
          <w:ilvl w:val="0"/>
          <w:numId w:val="6"/>
        </w:numPr>
      </w:pPr>
      <w:r>
        <w:t>Review of outstanding issues (see separate document)</w:t>
      </w:r>
      <w:r>
        <w:br/>
      </w:r>
    </w:p>
    <w:p w14:paraId="68C5AA93" w14:textId="6CE46572" w:rsidR="00583133" w:rsidRPr="00583133" w:rsidRDefault="00583133" w:rsidP="00EE7E9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hAnsi="Arial"/>
          <w:color w:val="000000"/>
          <w:sz w:val="23"/>
          <w:szCs w:val="23"/>
          <w:bdr w:val="none" w:sz="0" w:space="0" w:color="auto"/>
        </w:rPr>
      </w:pPr>
      <w:r w:rsidRPr="00142165">
        <w:rPr>
          <w:rFonts w:ascii="Arial" w:hAnsi="Arial"/>
          <w:color w:val="000000"/>
          <w:sz w:val="23"/>
          <w:szCs w:val="23"/>
          <w:bdr w:val="none" w:sz="0" w:space="0" w:color="auto"/>
        </w:rPr>
        <w:t>Results of native file format survey / policy revisions</w:t>
      </w:r>
      <w:r w:rsidR="00D31BFD">
        <w:rPr>
          <w:rFonts w:ascii="Arial" w:hAnsi="Arial"/>
          <w:color w:val="000000"/>
          <w:sz w:val="23"/>
          <w:szCs w:val="23"/>
          <w:bdr w:val="none" w:sz="0" w:space="0" w:color="auto"/>
        </w:rPr>
        <w:t xml:space="preserve"> — 67</w:t>
      </w:r>
      <w:r>
        <w:rPr>
          <w:rFonts w:ascii="Arial" w:hAnsi="Arial"/>
          <w:color w:val="000000"/>
          <w:sz w:val="23"/>
          <w:szCs w:val="23"/>
          <w:bdr w:val="none" w:sz="0" w:space="0" w:color="auto"/>
        </w:rPr>
        <w:t xml:space="preserve">% of dissertation submitters from Fall 2013 / Spring 2014 have no strong feelings about submitting the native file formats (Word, etc.) for their dissertation. </w:t>
      </w:r>
      <w:r w:rsidR="00D31BFD">
        <w:rPr>
          <w:rFonts w:ascii="Arial" w:hAnsi="Arial"/>
          <w:color w:val="000000"/>
          <w:sz w:val="23"/>
          <w:szCs w:val="23"/>
          <w:bdr w:val="none" w:sz="0" w:space="0" w:color="auto"/>
        </w:rPr>
        <w:t xml:space="preserve">However, 33% did have concerns. </w:t>
      </w:r>
      <w:r>
        <w:rPr>
          <w:rFonts w:ascii="Arial" w:hAnsi="Arial"/>
          <w:color w:val="000000"/>
          <w:sz w:val="23"/>
          <w:szCs w:val="23"/>
          <w:bdr w:val="none" w:sz="0" w:space="0" w:color="auto"/>
        </w:rPr>
        <w:t xml:space="preserve">Library would still like to require native files on submission but is adding a checkbox to allow the native files to be </w:t>
      </w:r>
      <w:proofErr w:type="spellStart"/>
      <w:r>
        <w:rPr>
          <w:rFonts w:ascii="Arial" w:hAnsi="Arial"/>
          <w:color w:val="000000"/>
          <w:sz w:val="23"/>
          <w:szCs w:val="23"/>
          <w:bdr w:val="none" w:sz="0" w:space="0" w:color="auto"/>
        </w:rPr>
        <w:t>supressed</w:t>
      </w:r>
      <w:proofErr w:type="spellEnd"/>
      <w:r>
        <w:rPr>
          <w:rFonts w:ascii="Arial" w:hAnsi="Arial"/>
          <w:color w:val="000000"/>
          <w:sz w:val="23"/>
          <w:szCs w:val="23"/>
          <w:bdr w:val="none" w:sz="0" w:space="0" w:color="auto"/>
        </w:rPr>
        <w:t xml:space="preserve"> from public view, and can suppress after-the-fact if student or Graduate College requests.</w:t>
      </w:r>
      <w:r w:rsidR="00841850">
        <w:rPr>
          <w:rFonts w:ascii="Arial" w:hAnsi="Arial"/>
          <w:color w:val="000000"/>
          <w:sz w:val="23"/>
          <w:szCs w:val="23"/>
          <w:bdr w:val="none" w:sz="0" w:space="0" w:color="auto"/>
        </w:rPr>
        <w:t xml:space="preserve"> We'll work together to get the message out on the submission forms and in the dissertation packet.</w:t>
      </w:r>
      <w:r>
        <w:rPr>
          <w:rFonts w:ascii="Arial" w:hAnsi="Arial"/>
          <w:color w:val="000000"/>
          <w:sz w:val="23"/>
          <w:szCs w:val="23"/>
          <w:bdr w:val="none" w:sz="0" w:space="0" w:color="auto"/>
        </w:rPr>
        <w:br/>
      </w:r>
    </w:p>
    <w:p w14:paraId="11ABC72F" w14:textId="71E674E5" w:rsidR="00583133" w:rsidRDefault="00583133" w:rsidP="00EE7E9D">
      <w:pPr>
        <w:pStyle w:val="Body"/>
        <w:numPr>
          <w:ilvl w:val="0"/>
          <w:numId w:val="6"/>
        </w:numPr>
      </w:pPr>
      <w:r>
        <w:t xml:space="preserve">ORCID on dissertation submission — Library </w:t>
      </w:r>
      <w:r w:rsidR="00D31BFD">
        <w:t>requests that Graduate College</w:t>
      </w:r>
      <w:r w:rsidR="00AD3C22">
        <w:t xml:space="preserve"> think</w:t>
      </w:r>
      <w:r>
        <w:t xml:space="preserve"> about </w:t>
      </w:r>
      <w:r w:rsidR="00AD3C22">
        <w:t>working with dissertation submitters to create an ORCI</w:t>
      </w:r>
      <w:r>
        <w:t>D (</w:t>
      </w:r>
      <w:r w:rsidRPr="00583133">
        <w:t>http://orcid.org</w:t>
      </w:r>
      <w:r>
        <w:t>)</w:t>
      </w:r>
      <w:r w:rsidR="00AD3C22">
        <w:t xml:space="preserve"> as part of the submission process, perhaps starting with it as an optional field and in the future making it required.</w:t>
      </w:r>
      <w:r w:rsidR="00841850">
        <w:t xml:space="preserve"> Would be ideal if IDs were created as part of the 4x4 creation process, but that may take years to get in place so it seems reasonable to target dissertation candidates.</w:t>
      </w:r>
      <w:r w:rsidR="00841850">
        <w:br/>
      </w:r>
    </w:p>
    <w:p w14:paraId="1782FD75" w14:textId="69ED0B51" w:rsidR="00EE7E9D" w:rsidRDefault="00EE7E9D" w:rsidP="00EE7E9D">
      <w:pPr>
        <w:pStyle w:val="Body"/>
        <w:numPr>
          <w:ilvl w:val="0"/>
          <w:numId w:val="6"/>
        </w:numPr>
      </w:pPr>
      <w:r>
        <w:t>Dissertation submission “boot camp” — Graduate College already works individually with each student</w:t>
      </w:r>
      <w:r w:rsidR="00D31BFD">
        <w:t>, doesn't see the need to do something special with the library</w:t>
      </w:r>
      <w:r>
        <w:t xml:space="preserve">. </w:t>
      </w:r>
      <w:r w:rsidR="00261FD4">
        <w:t>However, we may both</w:t>
      </w:r>
      <w:r>
        <w:t xml:space="preserve"> want to partner with </w:t>
      </w:r>
      <w:r w:rsidR="00D31BFD">
        <w:t xml:space="preserve">the Office of Academic </w:t>
      </w:r>
      <w:r>
        <w:t xml:space="preserve">Integrity </w:t>
      </w:r>
      <w:r w:rsidR="00D31BFD">
        <w:t>Programs</w:t>
      </w:r>
      <w:r w:rsidR="00261FD4">
        <w:t xml:space="preserve"> on educating students about plagiarism, etc</w:t>
      </w:r>
      <w:r>
        <w:t>.</w:t>
      </w:r>
      <w:r w:rsidR="00D31BFD">
        <w:t>, that seems to be a bigger problem.</w:t>
      </w:r>
    </w:p>
    <w:p w14:paraId="77C11E1C" w14:textId="77777777" w:rsidR="00EE7E9D" w:rsidRDefault="00EE7E9D" w:rsidP="00EE7E9D">
      <w:pPr>
        <w:pStyle w:val="Body"/>
      </w:pPr>
    </w:p>
    <w:p w14:paraId="122A31DC" w14:textId="77777777" w:rsidR="00142165" w:rsidRDefault="00142165">
      <w:pPr>
        <w:pStyle w:val="Body"/>
      </w:pPr>
    </w:p>
    <w:p w14:paraId="7FE508CB" w14:textId="108F6170" w:rsidR="00142165" w:rsidRDefault="00142165">
      <w:pPr>
        <w:pStyle w:val="Body"/>
      </w:pPr>
      <w:r>
        <w:t>Previous discussion items:</w:t>
      </w:r>
    </w:p>
    <w:p w14:paraId="3C14987D" w14:textId="77777777" w:rsidR="00BA6E68" w:rsidRDefault="00BA6E68">
      <w:pPr>
        <w:pStyle w:val="Body"/>
      </w:pPr>
    </w:p>
    <w:p w14:paraId="7D2AC228" w14:textId="77777777" w:rsidR="00BA6E68" w:rsidRDefault="0077095A">
      <w:pPr>
        <w:pStyle w:val="Body"/>
        <w:rPr>
          <w:color w:val="AD1915"/>
        </w:rPr>
      </w:pPr>
      <w:r>
        <w:rPr>
          <w:color w:val="AD1915"/>
        </w:rPr>
        <w:t>Action Item:</w:t>
      </w:r>
    </w:p>
    <w:p w14:paraId="6C67750F" w14:textId="5513FF4A" w:rsidR="00BA6E68" w:rsidRPr="00E02F69" w:rsidRDefault="0077095A">
      <w:pPr>
        <w:pStyle w:val="Body"/>
        <w:numPr>
          <w:ilvl w:val="0"/>
          <w:numId w:val="3"/>
        </w:numPr>
        <w:rPr>
          <w:color w:val="AD1915"/>
          <w:position w:val="-2"/>
        </w:rPr>
      </w:pPr>
      <w:r w:rsidRPr="00E02F69">
        <w:rPr>
          <w:color w:val="AD1915"/>
        </w:rPr>
        <w:t>When Logan returns in April, he’ll implement the requested changes on the production server.</w:t>
      </w:r>
    </w:p>
    <w:p w14:paraId="7B359C2F" w14:textId="52B5C344" w:rsidR="00E02F69" w:rsidRDefault="00E02F69" w:rsidP="00E02F69">
      <w:pPr>
        <w:pStyle w:val="Body"/>
        <w:rPr>
          <w:color w:val="000000" w:themeColor="text1"/>
        </w:rPr>
      </w:pPr>
      <w:r w:rsidRPr="00E02F69">
        <w:rPr>
          <w:color w:val="000000" w:themeColor="text1"/>
          <w:highlight w:val="yellow"/>
        </w:rPr>
        <w:t>UPDATE:</w:t>
      </w:r>
      <w:r w:rsidRPr="00E02F69">
        <w:rPr>
          <w:color w:val="000000" w:themeColor="text1"/>
        </w:rPr>
        <w:t xml:space="preserve"> See list, many items are now in production</w:t>
      </w:r>
    </w:p>
    <w:p w14:paraId="2210DBDA" w14:textId="77777777" w:rsidR="00E02F69" w:rsidRPr="00E02F69" w:rsidRDefault="00E02F69" w:rsidP="00E02F69">
      <w:pPr>
        <w:pStyle w:val="Body"/>
        <w:rPr>
          <w:color w:val="000000" w:themeColor="text1"/>
          <w:position w:val="-2"/>
        </w:rPr>
      </w:pPr>
    </w:p>
    <w:p w14:paraId="5802BC74" w14:textId="77777777" w:rsidR="00BA6E68" w:rsidRPr="00E02F69" w:rsidRDefault="0077095A">
      <w:pPr>
        <w:pStyle w:val="Body"/>
        <w:numPr>
          <w:ilvl w:val="0"/>
          <w:numId w:val="3"/>
        </w:numPr>
        <w:rPr>
          <w:color w:val="AD1915"/>
          <w:position w:val="-2"/>
        </w:rPr>
      </w:pPr>
      <w:r>
        <w:rPr>
          <w:color w:val="AD1915"/>
        </w:rPr>
        <w:t>Logan will work on a script to identify dissertations going out of embargo and notify Graduate College by email on a rolling regular interval.</w:t>
      </w:r>
    </w:p>
    <w:p w14:paraId="56418B2F" w14:textId="592339B1" w:rsidR="00E02F69" w:rsidRPr="00E02F69" w:rsidRDefault="00E02F69" w:rsidP="00E02F69">
      <w:pPr>
        <w:pStyle w:val="Body"/>
        <w:rPr>
          <w:color w:val="000000" w:themeColor="text1"/>
          <w:position w:val="-2"/>
        </w:rPr>
      </w:pPr>
      <w:r w:rsidRPr="00E02F69">
        <w:rPr>
          <w:color w:val="000000" w:themeColor="text1"/>
          <w:highlight w:val="yellow"/>
        </w:rPr>
        <w:t>UPDATE:</w:t>
      </w:r>
      <w:r w:rsidRPr="00E02F69">
        <w:rPr>
          <w:color w:val="000000" w:themeColor="text1"/>
        </w:rPr>
        <w:t xml:space="preserve"> Not yet started</w:t>
      </w:r>
      <w:r w:rsidR="001E1B15">
        <w:rPr>
          <w:color w:val="000000" w:themeColor="text1"/>
        </w:rPr>
        <w:t>, will add to Sara's list</w:t>
      </w:r>
    </w:p>
    <w:p w14:paraId="7C049FA7" w14:textId="77777777" w:rsidR="00BA6E68" w:rsidRDefault="00BA6E68">
      <w:pPr>
        <w:pStyle w:val="Body"/>
      </w:pPr>
    </w:p>
    <w:p w14:paraId="07F7558D" w14:textId="275092FA" w:rsidR="00BA6E68" w:rsidRPr="001E1B15" w:rsidRDefault="0077095A" w:rsidP="001E1B15">
      <w:pPr>
        <w:pStyle w:val="Body"/>
        <w:numPr>
          <w:ilvl w:val="0"/>
          <w:numId w:val="3"/>
        </w:numPr>
        <w:rPr>
          <w:position w:val="-2"/>
        </w:rPr>
      </w:pPr>
      <w:r>
        <w:rPr>
          <w:rFonts w:eastAsia="Arial Unicode MS" w:hAnsi="Arial Unicode MS" w:cs="Arial Unicode MS"/>
        </w:rPr>
        <w:t>Embargo release for dissertations after 2008</w:t>
      </w:r>
    </w:p>
    <w:p w14:paraId="3699BB52" w14:textId="77777777" w:rsidR="00BA6E68" w:rsidRDefault="0077095A">
      <w:pPr>
        <w:pStyle w:val="Body"/>
        <w:rPr>
          <w:color w:val="AD1915"/>
        </w:rPr>
      </w:pPr>
      <w:r>
        <w:rPr>
          <w:color w:val="AD1915"/>
        </w:rPr>
        <w:t>Action Items:</w:t>
      </w:r>
    </w:p>
    <w:p w14:paraId="42B3FC00" w14:textId="77777777" w:rsidR="00BA6E68" w:rsidRPr="00E02F69" w:rsidRDefault="0077095A">
      <w:pPr>
        <w:pStyle w:val="Body"/>
        <w:numPr>
          <w:ilvl w:val="0"/>
          <w:numId w:val="4"/>
        </w:numPr>
        <w:rPr>
          <w:color w:val="AD1915"/>
          <w:position w:val="-2"/>
        </w:rPr>
      </w:pPr>
      <w:r>
        <w:rPr>
          <w:color w:val="AD1915"/>
        </w:rPr>
        <w:t xml:space="preserve">When Logan returns in April, he’ll double-check his list of 1/1/2008 to 8/18/2013 </w:t>
      </w:r>
      <w:proofErr w:type="spellStart"/>
      <w:r>
        <w:rPr>
          <w:color w:val="AD1915"/>
        </w:rPr>
        <w:t>Proquest</w:t>
      </w:r>
      <w:proofErr w:type="spellEnd"/>
      <w:r>
        <w:rPr>
          <w:color w:val="AD1915"/>
        </w:rPr>
        <w:t xml:space="preserve"> dissertations against the data provided to Karen by Institutional Research &amp; </w:t>
      </w:r>
      <w:proofErr w:type="gramStart"/>
      <w:r>
        <w:rPr>
          <w:color w:val="AD1915"/>
        </w:rPr>
        <w:t>Reporting  and</w:t>
      </w:r>
      <w:proofErr w:type="gramEnd"/>
      <w:r>
        <w:rPr>
          <w:color w:val="AD1915"/>
        </w:rPr>
        <w:t xml:space="preserve"> send a comprehensive list of all dissertations, with author addresses, to the Graduate College.</w:t>
      </w:r>
    </w:p>
    <w:p w14:paraId="35885676" w14:textId="547D9C01" w:rsidR="00E02F69" w:rsidRDefault="00E02F69" w:rsidP="00E02F69">
      <w:pPr>
        <w:pStyle w:val="Body"/>
        <w:rPr>
          <w:color w:val="000000" w:themeColor="text1"/>
        </w:rPr>
      </w:pPr>
      <w:r w:rsidRPr="00E02F69">
        <w:rPr>
          <w:color w:val="000000" w:themeColor="text1"/>
          <w:highlight w:val="yellow"/>
        </w:rPr>
        <w:t>UPDATE:</w:t>
      </w:r>
      <w:r w:rsidRPr="00E02F69">
        <w:rPr>
          <w:color w:val="000000" w:themeColor="text1"/>
        </w:rPr>
        <w:t xml:space="preserve"> </w:t>
      </w:r>
      <w:r>
        <w:rPr>
          <w:color w:val="000000" w:themeColor="text1"/>
        </w:rPr>
        <w:t>David and Tao are working on this</w:t>
      </w:r>
    </w:p>
    <w:p w14:paraId="57C94853" w14:textId="77777777" w:rsidR="00E02F69" w:rsidRPr="00E02F69" w:rsidRDefault="00E02F69" w:rsidP="00E02F69">
      <w:pPr>
        <w:pStyle w:val="Body"/>
        <w:rPr>
          <w:color w:val="000000" w:themeColor="text1"/>
          <w:position w:val="-2"/>
        </w:rPr>
      </w:pPr>
    </w:p>
    <w:p w14:paraId="0DD76338" w14:textId="77777777" w:rsidR="00BA6E68" w:rsidRPr="00E02F69" w:rsidRDefault="0077095A">
      <w:pPr>
        <w:pStyle w:val="Body"/>
        <w:numPr>
          <w:ilvl w:val="0"/>
          <w:numId w:val="4"/>
        </w:numPr>
        <w:rPr>
          <w:color w:val="AD1915"/>
          <w:position w:val="-2"/>
        </w:rPr>
      </w:pPr>
      <w:r>
        <w:rPr>
          <w:color w:val="AD1915"/>
        </w:rPr>
        <w:t>Graduate College will send targeted lists to each college/department and request that they contact dissertation authors and/or make a decision on embargo periods and report back to Graduate College by November 1.</w:t>
      </w:r>
    </w:p>
    <w:p w14:paraId="641AEF1D" w14:textId="59CBCF46" w:rsidR="00142165" w:rsidRDefault="00142165" w:rsidP="00142165">
      <w:pPr>
        <w:pStyle w:val="Body"/>
      </w:pPr>
      <w:r w:rsidRPr="00E02F69">
        <w:rPr>
          <w:highlight w:val="yellow"/>
        </w:rPr>
        <w:t>UPDATE:</w:t>
      </w:r>
      <w:r>
        <w:t xml:space="preserve"> Waiting on library to produce lists</w:t>
      </w:r>
    </w:p>
    <w:p w14:paraId="71D6C826" w14:textId="77777777" w:rsidR="00E02F69" w:rsidRDefault="00E02F69" w:rsidP="00E02F69">
      <w:pPr>
        <w:pStyle w:val="Body"/>
        <w:rPr>
          <w:color w:val="AD1915"/>
          <w:position w:val="-2"/>
        </w:rPr>
      </w:pPr>
    </w:p>
    <w:p w14:paraId="1B061F4E" w14:textId="77777777" w:rsidR="00BA6E68" w:rsidRDefault="0077095A">
      <w:pPr>
        <w:pStyle w:val="Body"/>
        <w:numPr>
          <w:ilvl w:val="0"/>
          <w:numId w:val="4"/>
        </w:numPr>
        <w:rPr>
          <w:color w:val="AD1915"/>
          <w:position w:val="-2"/>
        </w:rPr>
      </w:pPr>
      <w:r>
        <w:rPr>
          <w:color w:val="AD1915"/>
        </w:rPr>
        <w:t>Related Item: Logan will test a submission workflow that requests the student’s current and future addresses only if an embargo is requested. The student and the degree-granting department will be responsible for keeping the address up-to-date.</w:t>
      </w:r>
    </w:p>
    <w:p w14:paraId="54EBC382" w14:textId="2AE269EC" w:rsidR="00BA6E68" w:rsidRPr="00E02F69" w:rsidRDefault="00E02F69">
      <w:pPr>
        <w:pStyle w:val="Body"/>
        <w:rPr>
          <w:color w:val="000000" w:themeColor="text1"/>
        </w:rPr>
      </w:pPr>
      <w:r w:rsidRPr="00E02F69">
        <w:rPr>
          <w:color w:val="000000" w:themeColor="text1"/>
          <w:highlight w:val="yellow"/>
        </w:rPr>
        <w:t>UPDATE:</w:t>
      </w:r>
      <w:r w:rsidRPr="00E02F69">
        <w:rPr>
          <w:color w:val="000000" w:themeColor="text1"/>
        </w:rPr>
        <w:t xml:space="preserve"> </w:t>
      </w:r>
      <w:r>
        <w:rPr>
          <w:color w:val="000000" w:themeColor="text1"/>
        </w:rPr>
        <w:t>Not yet started</w:t>
      </w:r>
    </w:p>
    <w:p w14:paraId="73B839B3" w14:textId="77777777" w:rsidR="00BA6E68" w:rsidRDefault="00BA6E68">
      <w:pPr>
        <w:pStyle w:val="Body"/>
      </w:pPr>
    </w:p>
    <w:p w14:paraId="7D8A824F" w14:textId="77777777" w:rsidR="00BA6E68" w:rsidRDefault="0077095A">
      <w:pPr>
        <w:pStyle w:val="Body"/>
        <w:numPr>
          <w:ilvl w:val="0"/>
          <w:numId w:val="4"/>
        </w:numPr>
        <w:rPr>
          <w:position w:val="-2"/>
        </w:rPr>
      </w:pPr>
      <w:r>
        <w:rPr>
          <w:rFonts w:eastAsia="Arial Unicode MS" w:hAnsi="Arial Unicode MS" w:cs="Arial Unicode MS"/>
        </w:rPr>
        <w:t>Submissions to Graduate College instead of major department. Example:</w:t>
      </w:r>
    </w:p>
    <w:p w14:paraId="45B5FB52" w14:textId="77777777" w:rsidR="00BA6E68" w:rsidRDefault="00BA6E68">
      <w:pPr>
        <w:pStyle w:val="Body"/>
      </w:pPr>
    </w:p>
    <w:p w14:paraId="717764E8" w14:textId="77777777" w:rsidR="00BA6E68" w:rsidRDefault="0077095A">
      <w:pPr>
        <w:pStyle w:val="Body"/>
      </w:pPr>
      <w:r>
        <w:rPr>
          <w:rFonts w:eastAsia="Arial Unicode MS" w:hAnsi="Arial Unicode MS" w:cs="Arial Unicode MS"/>
        </w:rPr>
        <w:tab/>
        <w:t xml:space="preserve">Prasad </w:t>
      </w:r>
      <w:proofErr w:type="spellStart"/>
      <w:r>
        <w:rPr>
          <w:rFonts w:eastAsia="Arial Unicode MS" w:hAnsi="Arial Unicode MS" w:cs="Arial Unicode MS"/>
        </w:rPr>
        <w:t>Hemantha</w:t>
      </w:r>
      <w:proofErr w:type="spellEnd"/>
      <w:r>
        <w:rPr>
          <w:rFonts w:eastAsia="Arial Unicode MS" w:hAnsi="Arial Unicode MS" w:cs="Arial Unicode MS"/>
        </w:rPr>
        <w:t xml:space="preserve"> </w:t>
      </w:r>
      <w:proofErr w:type="spellStart"/>
      <w:r>
        <w:rPr>
          <w:rFonts w:eastAsia="Arial Unicode MS" w:hAnsi="Arial Unicode MS" w:cs="Arial Unicode MS"/>
        </w:rPr>
        <w:t>Maddumage</w:t>
      </w:r>
      <w:proofErr w:type="spellEnd"/>
      <w:r>
        <w:rPr>
          <w:rFonts w:eastAsia="Arial Unicode MS" w:hAnsi="Arial Unicode MS" w:cs="Arial Unicode MS"/>
        </w:rPr>
        <w:t xml:space="preserve"> Don</w:t>
      </w:r>
    </w:p>
    <w:p w14:paraId="0C671C9C" w14:textId="77777777" w:rsidR="00BA6E68" w:rsidRDefault="0077095A">
      <w:pPr>
        <w:pStyle w:val="Body"/>
      </w:pPr>
      <w:r>
        <w:tab/>
      </w:r>
      <w:hyperlink r:id="rId8" w:history="1">
        <w:r>
          <w:rPr>
            <w:rStyle w:val="Hyperlink0"/>
            <w:rFonts w:eastAsia="Arial Unicode MS" w:hAnsi="Arial Unicode MS" w:cs="Arial Unicode MS"/>
          </w:rPr>
          <w:t>https://shareok.org/handle/11244/7902?show=full</w:t>
        </w:r>
      </w:hyperlink>
    </w:p>
    <w:p w14:paraId="6AC137C1" w14:textId="77777777" w:rsidR="00BA6E68" w:rsidRDefault="00BA6E68">
      <w:pPr>
        <w:pStyle w:val="Body"/>
      </w:pPr>
    </w:p>
    <w:p w14:paraId="1184D1F7" w14:textId="77777777" w:rsidR="00BA6E68" w:rsidRDefault="0077095A">
      <w:pPr>
        <w:pStyle w:val="Body"/>
      </w:pPr>
      <w:r>
        <w:rPr>
          <w:rFonts w:eastAsia="Arial Unicode MS" w:hAnsi="Arial Unicode MS" w:cs="Arial Unicode MS"/>
        </w:rPr>
        <w:t xml:space="preserve">There are actually over 2,400 like that, in the </w:t>
      </w:r>
      <w:r>
        <w:rPr>
          <w:rFonts w:ascii="Arial Unicode MS" w:eastAsia="Arial Unicode MS" w:cs="Arial Unicode MS"/>
        </w:rPr>
        <w:t>“</w:t>
      </w:r>
      <w:r>
        <w:rPr>
          <w:rFonts w:eastAsia="Arial Unicode MS" w:hAnsi="Arial Unicode MS" w:cs="Arial Unicode MS"/>
        </w:rPr>
        <w:t>Other</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location:</w:t>
      </w:r>
    </w:p>
    <w:p w14:paraId="2F77A4F5" w14:textId="77777777" w:rsidR="00BA6E68" w:rsidRDefault="0077095A">
      <w:pPr>
        <w:pStyle w:val="Body"/>
      </w:pPr>
      <w:r>
        <w:tab/>
      </w:r>
    </w:p>
    <w:p w14:paraId="1C0015A3" w14:textId="77777777" w:rsidR="00BA6E68" w:rsidRDefault="0077095A">
      <w:pPr>
        <w:pStyle w:val="Body"/>
      </w:pPr>
      <w:r>
        <w:tab/>
      </w:r>
      <w:hyperlink r:id="rId9" w:history="1">
        <w:r>
          <w:rPr>
            <w:rStyle w:val="Hyperlink0"/>
            <w:rFonts w:eastAsia="Arial Unicode MS" w:hAnsi="Arial Unicode MS" w:cs="Arial Unicode MS"/>
          </w:rPr>
          <w:t>https://shareok.org/handle/11244/110</w:t>
        </w:r>
      </w:hyperlink>
    </w:p>
    <w:p w14:paraId="4A4ABE65" w14:textId="77777777" w:rsidR="00BA6E68" w:rsidRDefault="00BA6E68">
      <w:pPr>
        <w:pStyle w:val="Body"/>
      </w:pPr>
    </w:p>
    <w:p w14:paraId="3076FAAA" w14:textId="77777777" w:rsidR="00BA6E68" w:rsidRDefault="0077095A">
      <w:pPr>
        <w:pStyle w:val="Body"/>
      </w:pPr>
      <w:r>
        <w:rPr>
          <w:rFonts w:eastAsia="Arial Unicode MS" w:hAnsi="Arial Unicode MS" w:cs="Arial Unicode MS"/>
        </w:rPr>
        <w:t>OU IT may be able to help us identify the colleges/departments those students graduated from. Would Graduate College be OK with us investigating that with them and then report back to you?</w:t>
      </w:r>
    </w:p>
    <w:p w14:paraId="5F7B1AA8" w14:textId="77777777" w:rsidR="00BA6E68" w:rsidRDefault="00BA6E68">
      <w:pPr>
        <w:pStyle w:val="Body"/>
      </w:pPr>
    </w:p>
    <w:p w14:paraId="10BA8323" w14:textId="77777777" w:rsidR="00BA6E68" w:rsidRDefault="0077095A">
      <w:pPr>
        <w:pStyle w:val="Body"/>
        <w:rPr>
          <w:color w:val="AD1915"/>
        </w:rPr>
      </w:pPr>
      <w:r>
        <w:rPr>
          <w:color w:val="AD1915"/>
        </w:rPr>
        <w:t>Action Item: When Logan returns in April, he’ll compare the list from IR&amp;R to the dissertations in the “Other” category and see if we can script a mass change.</w:t>
      </w:r>
    </w:p>
    <w:p w14:paraId="4B065515" w14:textId="35EC8229" w:rsidR="00E02F69" w:rsidRPr="00E02F69" w:rsidRDefault="00E02F69">
      <w:pPr>
        <w:pStyle w:val="Body"/>
        <w:rPr>
          <w:color w:val="000000" w:themeColor="text1"/>
        </w:rPr>
      </w:pPr>
      <w:r w:rsidRPr="00E02F69">
        <w:rPr>
          <w:color w:val="000000" w:themeColor="text1"/>
          <w:highlight w:val="yellow"/>
        </w:rPr>
        <w:t>UPDATE:</w:t>
      </w:r>
      <w:r w:rsidRPr="00E02F69">
        <w:rPr>
          <w:color w:val="000000" w:themeColor="text1"/>
        </w:rPr>
        <w:t xml:space="preserve"> </w:t>
      </w:r>
      <w:r>
        <w:rPr>
          <w:color w:val="000000" w:themeColor="text1"/>
        </w:rPr>
        <w:t xml:space="preserve">David and Tao are working on </w:t>
      </w:r>
      <w:proofErr w:type="gramStart"/>
      <w:r>
        <w:rPr>
          <w:color w:val="000000" w:themeColor="text1"/>
        </w:rPr>
        <w:t>this,</w:t>
      </w:r>
      <w:proofErr w:type="gramEnd"/>
      <w:r>
        <w:rPr>
          <w:color w:val="000000" w:themeColor="text1"/>
        </w:rPr>
        <w:t xml:space="preserve"> only 80 of the items in question had college/department info in the IR&amp;R data. Those have been updated. </w:t>
      </w:r>
    </w:p>
    <w:p w14:paraId="5E45A2F7" w14:textId="77777777" w:rsidR="00BA6E68" w:rsidRDefault="00BA6E68">
      <w:pPr>
        <w:pStyle w:val="Body"/>
      </w:pPr>
    </w:p>
    <w:p w14:paraId="0CFA0B0B" w14:textId="77777777" w:rsidR="001E1B15" w:rsidRDefault="001E1B15">
      <w:pPr>
        <w:pStyle w:val="Body"/>
      </w:pPr>
    </w:p>
    <w:p w14:paraId="6F865253" w14:textId="77777777" w:rsidR="001E1B15" w:rsidRDefault="001E1B15">
      <w:pPr>
        <w:pStyle w:val="Body"/>
      </w:pPr>
    </w:p>
    <w:p w14:paraId="2FE3BBBC" w14:textId="2E0B8667" w:rsidR="00BA6E68" w:rsidRPr="001E1B15" w:rsidRDefault="0077095A" w:rsidP="001E1B15">
      <w:pPr>
        <w:pStyle w:val="Body"/>
        <w:numPr>
          <w:ilvl w:val="0"/>
          <w:numId w:val="4"/>
        </w:numPr>
        <w:rPr>
          <w:position w:val="-2"/>
        </w:rPr>
      </w:pPr>
      <w:proofErr w:type="spellStart"/>
      <w:r>
        <w:rPr>
          <w:rFonts w:eastAsia="Arial Unicode MS" w:hAnsi="Arial Unicode MS" w:cs="Arial Unicode MS"/>
        </w:rPr>
        <w:t>DSpace</w:t>
      </w:r>
      <w:proofErr w:type="spellEnd"/>
      <w:r>
        <w:rPr>
          <w:rFonts w:eastAsia="Arial Unicode MS" w:hAnsi="Arial Unicode MS" w:cs="Arial Unicode MS"/>
        </w:rPr>
        <w:t xml:space="preserve"> upgrade in mid-May after submission deadline</w:t>
      </w:r>
    </w:p>
    <w:p w14:paraId="4EA5F74F" w14:textId="77777777" w:rsidR="00BA6E68" w:rsidRDefault="0077095A">
      <w:pPr>
        <w:pStyle w:val="Body"/>
        <w:rPr>
          <w:color w:val="AD1915"/>
        </w:rPr>
      </w:pPr>
      <w:r>
        <w:rPr>
          <w:color w:val="AD1915"/>
        </w:rPr>
        <w:t xml:space="preserve">Action Item: Repository Services will upgrade </w:t>
      </w:r>
      <w:proofErr w:type="spellStart"/>
      <w:r>
        <w:rPr>
          <w:color w:val="AD1915"/>
        </w:rPr>
        <w:t>DSpace</w:t>
      </w:r>
      <w:proofErr w:type="spellEnd"/>
      <w:r>
        <w:rPr>
          <w:color w:val="AD1915"/>
        </w:rPr>
        <w:t xml:space="preserve"> to version 4.1 after the May 9 dissertation submission deadline, and will involve the Graduate College in testing.</w:t>
      </w:r>
    </w:p>
    <w:p w14:paraId="1789B67D" w14:textId="4D4A1E22" w:rsidR="00E02F69" w:rsidRPr="00E02F69" w:rsidRDefault="00E02F69">
      <w:pPr>
        <w:pStyle w:val="Body"/>
        <w:rPr>
          <w:color w:val="000000" w:themeColor="text1"/>
        </w:rPr>
      </w:pPr>
      <w:r w:rsidRPr="00E02F69">
        <w:rPr>
          <w:color w:val="000000" w:themeColor="text1"/>
          <w:highlight w:val="yellow"/>
        </w:rPr>
        <w:t>UPDATE:</w:t>
      </w:r>
      <w:r w:rsidRPr="00E02F69">
        <w:rPr>
          <w:color w:val="000000" w:themeColor="text1"/>
        </w:rPr>
        <w:t xml:space="preserve"> Won't be able to do this until Winter </w:t>
      </w:r>
      <w:r>
        <w:rPr>
          <w:color w:val="000000" w:themeColor="text1"/>
        </w:rPr>
        <w:t xml:space="preserve">2014-2015 </w:t>
      </w:r>
      <w:r w:rsidRPr="00E02F69">
        <w:rPr>
          <w:color w:val="000000" w:themeColor="text1"/>
        </w:rPr>
        <w:t>Intersession.</w:t>
      </w:r>
    </w:p>
    <w:p w14:paraId="500D6DA3" w14:textId="77777777" w:rsidR="00BA6E68" w:rsidRDefault="00BA6E68">
      <w:pPr>
        <w:pStyle w:val="Body"/>
      </w:pPr>
    </w:p>
    <w:p w14:paraId="166C732B" w14:textId="4084EFDC" w:rsidR="00BA6E68" w:rsidRPr="001E1B15" w:rsidRDefault="0077095A" w:rsidP="001E1B15">
      <w:pPr>
        <w:pStyle w:val="Body"/>
        <w:numPr>
          <w:ilvl w:val="0"/>
          <w:numId w:val="4"/>
        </w:numPr>
        <w:rPr>
          <w:position w:val="-2"/>
        </w:rPr>
      </w:pPr>
      <w:r>
        <w:rPr>
          <w:rFonts w:eastAsia="Arial Unicode MS" w:hAnsi="Arial Unicode MS" w:cs="Arial Unicode MS"/>
        </w:rPr>
        <w:t xml:space="preserve">Collapsing of the hierarchical organization </w:t>
      </w:r>
    </w:p>
    <w:p w14:paraId="598AEAF9" w14:textId="77777777" w:rsidR="00BA6E68" w:rsidRDefault="0077095A">
      <w:pPr>
        <w:pStyle w:val="Body"/>
        <w:rPr>
          <w:color w:val="AD1915"/>
        </w:rPr>
      </w:pPr>
      <w:r>
        <w:rPr>
          <w:color w:val="AD1915"/>
        </w:rPr>
        <w:t xml:space="preserve">Action Item: Before the Fall 2014 semester, Repository Services will demonstrate on the test server what it would look like to collapse the hierarchical College / Department structure into the metadata for items. This would simplify management of SHAREOK, reduce the number of pull-down selections a submitter must wade through, and allow more precise searching by other systems. </w:t>
      </w:r>
    </w:p>
    <w:p w14:paraId="41652EB2" w14:textId="659D0D4C" w:rsidR="00BA6E68" w:rsidRDefault="00E02F69">
      <w:pPr>
        <w:pStyle w:val="Body"/>
      </w:pPr>
      <w:r w:rsidRPr="00E02F69">
        <w:rPr>
          <w:highlight w:val="yellow"/>
        </w:rPr>
        <w:t>UPDATE:</w:t>
      </w:r>
      <w:r>
        <w:t xml:space="preserve"> Complete</w:t>
      </w:r>
    </w:p>
    <w:p w14:paraId="2F72E3E1" w14:textId="77777777" w:rsidR="00E02F69" w:rsidRDefault="00E02F69">
      <w:pPr>
        <w:pStyle w:val="Body"/>
      </w:pPr>
    </w:p>
    <w:p w14:paraId="3179AD0C" w14:textId="206A93F6" w:rsidR="00BA6E68" w:rsidRPr="001E1B15" w:rsidRDefault="0077095A" w:rsidP="001E1B15">
      <w:pPr>
        <w:pStyle w:val="Body"/>
        <w:numPr>
          <w:ilvl w:val="0"/>
          <w:numId w:val="4"/>
        </w:numPr>
        <w:rPr>
          <w:position w:val="-2"/>
        </w:rPr>
      </w:pPr>
      <w:r>
        <w:rPr>
          <w:rFonts w:eastAsia="Arial Unicode MS" w:hAnsi="Arial Unicode MS" w:cs="Arial Unicode MS"/>
        </w:rPr>
        <w:t>File naming conventions for dissertations</w:t>
      </w:r>
    </w:p>
    <w:p w14:paraId="23F07F93" w14:textId="77777777" w:rsidR="00BA6E68" w:rsidRDefault="0077095A">
      <w:pPr>
        <w:pStyle w:val="Body"/>
        <w:rPr>
          <w:color w:val="AD1915"/>
        </w:rPr>
      </w:pPr>
      <w:r>
        <w:rPr>
          <w:color w:val="AD1915"/>
        </w:rPr>
        <w:t>Action Item: In the next revision to the Graduate College Dissertation Packet, suggestions will be made to candidates that they employ more descriptive file naming techniques (e.g., 2014_Vaughan_Sara_E_Dissertation).</w:t>
      </w:r>
    </w:p>
    <w:p w14:paraId="5C5AF88D" w14:textId="540363B0" w:rsidR="00BA6E68" w:rsidRDefault="00E02F69">
      <w:pPr>
        <w:pStyle w:val="Body"/>
      </w:pPr>
      <w:r w:rsidRPr="00E02F69">
        <w:rPr>
          <w:highlight w:val="yellow"/>
        </w:rPr>
        <w:t>UPDATE:</w:t>
      </w:r>
      <w:r>
        <w:t xml:space="preserve"> Complete</w:t>
      </w:r>
    </w:p>
    <w:p w14:paraId="28FE245F" w14:textId="77777777" w:rsidR="00BA6E68" w:rsidRDefault="00BA6E68">
      <w:pPr>
        <w:pStyle w:val="Body"/>
      </w:pPr>
    </w:p>
    <w:p w14:paraId="23DDE12E" w14:textId="02E6E152" w:rsidR="00BA6E68" w:rsidRPr="001E1B15" w:rsidRDefault="0077095A" w:rsidP="001E1B15">
      <w:pPr>
        <w:pStyle w:val="Body"/>
        <w:numPr>
          <w:ilvl w:val="0"/>
          <w:numId w:val="4"/>
        </w:numPr>
        <w:rPr>
          <w:position w:val="-2"/>
        </w:rPr>
      </w:pPr>
      <w:r>
        <w:rPr>
          <w:rFonts w:eastAsia="Arial Unicode MS" w:hAnsi="Arial Unicode MS" w:cs="Arial Unicode MS"/>
        </w:rPr>
        <w:t>Enhanced dissertation files</w:t>
      </w:r>
    </w:p>
    <w:p w14:paraId="121479C1" w14:textId="77777777" w:rsidR="00BA6E68" w:rsidRDefault="0077095A">
      <w:pPr>
        <w:pStyle w:val="Body"/>
        <w:rPr>
          <w:color w:val="AD1915"/>
        </w:rPr>
      </w:pPr>
      <w:r>
        <w:rPr>
          <w:color w:val="AD1915"/>
        </w:rPr>
        <w:t xml:space="preserve">Action Item: Some post-docs (Kerry </w:t>
      </w:r>
      <w:proofErr w:type="spellStart"/>
      <w:r>
        <w:rPr>
          <w:color w:val="AD1915"/>
        </w:rPr>
        <w:t>Magruder</w:t>
      </w:r>
      <w:proofErr w:type="spellEnd"/>
      <w:r>
        <w:rPr>
          <w:color w:val="AD1915"/>
        </w:rPr>
        <w:t xml:space="preserve"> is a good example) have indicated that they have better electronic versions of their dissertations than what </w:t>
      </w:r>
      <w:proofErr w:type="spellStart"/>
      <w:r>
        <w:rPr>
          <w:color w:val="AD1915"/>
        </w:rPr>
        <w:t>ProQuest</w:t>
      </w:r>
      <w:proofErr w:type="spellEnd"/>
      <w:r>
        <w:rPr>
          <w:color w:val="AD1915"/>
        </w:rPr>
        <w:t>/UMI would accept. The Graduate College will think about the best way to handle such requests.</w:t>
      </w:r>
    </w:p>
    <w:p w14:paraId="368FA500" w14:textId="5B4EB21F" w:rsidR="00BA6E68" w:rsidRPr="00142165" w:rsidRDefault="00142165">
      <w:pPr>
        <w:pStyle w:val="Body"/>
      </w:pPr>
      <w:r w:rsidRPr="00E02F69">
        <w:rPr>
          <w:highlight w:val="yellow"/>
        </w:rPr>
        <w:t>UPDATE:</w:t>
      </w:r>
      <w:r>
        <w:t xml:space="preserve"> Complete</w:t>
      </w:r>
    </w:p>
    <w:p w14:paraId="3FB9BA35" w14:textId="77777777" w:rsidR="00BA6E68" w:rsidRDefault="00BA6E68">
      <w:pPr>
        <w:pStyle w:val="Body"/>
      </w:pPr>
    </w:p>
    <w:p w14:paraId="5329487D" w14:textId="77777777" w:rsidR="00BA6E68" w:rsidRDefault="0077095A">
      <w:pPr>
        <w:pStyle w:val="Body"/>
      </w:pPr>
      <w:r>
        <w:rPr>
          <w:rFonts w:eastAsia="Arial Unicode MS" w:hAnsi="Arial Unicode MS" w:cs="Arial Unicode MS"/>
        </w:rPr>
        <w:t>Other business:</w:t>
      </w:r>
    </w:p>
    <w:p w14:paraId="71CEB6F4" w14:textId="77777777" w:rsidR="00BA6E68" w:rsidRDefault="00BA6E68">
      <w:pPr>
        <w:pStyle w:val="Body"/>
      </w:pPr>
    </w:p>
    <w:p w14:paraId="1684A576" w14:textId="6E5EAD60" w:rsidR="00BA6E68" w:rsidRPr="001E1B15" w:rsidRDefault="0077095A">
      <w:pPr>
        <w:pStyle w:val="Body"/>
      </w:pPr>
      <w:r>
        <w:rPr>
          <w:rFonts w:eastAsia="Arial Unicode MS" w:hAnsi="Arial Unicode MS" w:cs="Arial Unicode MS"/>
        </w:rPr>
        <w:t>I forgot to include this in our list</w:t>
      </w:r>
      <w:r>
        <w:rPr>
          <w:rFonts w:ascii="Arial Unicode MS" w:eastAsia="Arial Unicode MS" w:cs="Arial Unicode MS"/>
        </w:rPr>
        <w:t>—</w:t>
      </w:r>
      <w:r>
        <w:rPr>
          <w:rFonts w:eastAsia="Arial Unicode MS" w:hAnsi="Arial Unicode MS" w:cs="Arial Unicode MS"/>
        </w:rPr>
        <w:t>another thing for the Graduate College to think about</w:t>
      </w:r>
      <w:r>
        <w:rPr>
          <w:rFonts w:ascii="Arial Unicode MS" w:eastAsia="Arial Unicode MS" w:cs="Arial Unicode MS"/>
        </w:rPr>
        <w:t>…</w:t>
      </w:r>
      <w:r>
        <w:rPr>
          <w:rFonts w:eastAsia="Arial Unicode MS" w:hAnsi="Arial Unicode MS" w:cs="Arial Unicode MS"/>
        </w:rPr>
        <w:t>.</w:t>
      </w:r>
    </w:p>
    <w:p w14:paraId="79CC5C8E" w14:textId="77777777" w:rsidR="00BA6E68" w:rsidRDefault="0077095A">
      <w:pPr>
        <w:pStyle w:val="Body"/>
        <w:rPr>
          <w:color w:val="AD1915"/>
        </w:rPr>
      </w:pPr>
      <w:r>
        <w:rPr>
          <w:color w:val="AD1915"/>
        </w:rPr>
        <w:t>Action Item: The library and the VPR Office have as a goal to work with faculty and grad students to store, organize and make available their research data sets. We’d like to put in the dissertation submission workflow a prompt (optional) requesting the deposit of data sets used in the dissertation. This is a big deal, we know! But please add this to things for the Graduate College to think about.</w:t>
      </w:r>
    </w:p>
    <w:p w14:paraId="20FE01AE" w14:textId="16768913" w:rsidR="00142165" w:rsidRDefault="00142165" w:rsidP="00142165">
      <w:pPr>
        <w:pStyle w:val="Body"/>
      </w:pPr>
      <w:r w:rsidRPr="00E02F69">
        <w:rPr>
          <w:highlight w:val="yellow"/>
        </w:rPr>
        <w:t>UPDATE:</w:t>
      </w:r>
      <w:r>
        <w:t xml:space="preserve"> </w:t>
      </w:r>
      <w:r w:rsidR="000E6075">
        <w:t xml:space="preserve"> Let's continue this discussion.</w:t>
      </w:r>
    </w:p>
    <w:p w14:paraId="751425E0" w14:textId="77777777" w:rsidR="00142165" w:rsidRDefault="00142165">
      <w:pPr>
        <w:pStyle w:val="Body"/>
        <w:rPr>
          <w:color w:val="AD1915"/>
        </w:rPr>
      </w:pPr>
    </w:p>
    <w:p w14:paraId="3007B8BC" w14:textId="13D113B8" w:rsidR="00BA6E68" w:rsidRDefault="0077095A">
      <w:pPr>
        <w:pStyle w:val="Body"/>
        <w:rPr>
          <w:color w:val="AD1915"/>
        </w:rPr>
      </w:pPr>
      <w:r>
        <w:rPr>
          <w:color w:val="AD1915"/>
        </w:rPr>
        <w:br w:type="page"/>
      </w:r>
    </w:p>
    <w:p w14:paraId="56EE4692" w14:textId="77777777" w:rsidR="00CE5894" w:rsidRDefault="00CE5894">
      <w:pPr>
        <w:pStyle w:val="Body"/>
      </w:pPr>
    </w:p>
    <w:tbl>
      <w:tblPr>
        <w:tblW w:w="51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1"/>
        <w:gridCol w:w="872"/>
        <w:gridCol w:w="7299"/>
      </w:tblGrid>
      <w:tr w:rsidR="00142165" w:rsidRPr="002B29DB" w14:paraId="0E4E5FFF" w14:textId="77777777" w:rsidTr="000E6075">
        <w:trPr>
          <w:trHeight w:val="289"/>
          <w:tblHeader/>
          <w:jc w:val="center"/>
        </w:trPr>
        <w:tc>
          <w:tcPr>
            <w:tcW w:w="9812" w:type="dxa"/>
            <w:gridSpan w:val="3"/>
            <w:tcBorders>
              <w:top w:val="single" w:sz="4" w:space="0" w:color="auto"/>
              <w:left w:val="single" w:sz="4" w:space="0" w:color="auto"/>
              <w:bottom w:val="single" w:sz="4" w:space="0" w:color="auto"/>
              <w:right w:val="single" w:sz="4" w:space="0" w:color="auto"/>
            </w:tcBorders>
            <w:shd w:val="clear" w:color="auto" w:fill="D9D9D9"/>
            <w:tcMar>
              <w:top w:w="29" w:type="dxa"/>
              <w:left w:w="86" w:type="dxa"/>
              <w:bottom w:w="29" w:type="dxa"/>
              <w:right w:w="86" w:type="dxa"/>
            </w:tcMar>
          </w:tcPr>
          <w:p w14:paraId="5DB1EFEE" w14:textId="77777777" w:rsidR="00142165" w:rsidRPr="002B29DB" w:rsidRDefault="00142165" w:rsidP="00EE7E9D">
            <w:pPr>
              <w:pStyle w:val="TableStyle2"/>
              <w:jc w:val="center"/>
              <w:rPr>
                <w:rFonts w:ascii="Calibri" w:hAnsi="Calibri" w:cs="Calibri"/>
                <w:b/>
                <w:bCs/>
                <w:sz w:val="19"/>
                <w:szCs w:val="19"/>
              </w:rPr>
            </w:pPr>
            <w:r w:rsidRPr="002B29DB">
              <w:rPr>
                <w:rFonts w:ascii="Calibri" w:hAnsi="Calibri" w:cs="Calibri"/>
                <w:b/>
                <w:bCs/>
                <w:sz w:val="19"/>
                <w:szCs w:val="19"/>
              </w:rPr>
              <w:t xml:space="preserve">SHAREOK - Graduate College Priorities, Fall </w:t>
            </w:r>
            <w:r>
              <w:rPr>
                <w:rFonts w:ascii="Calibri" w:hAnsi="Calibri" w:cs="Calibri"/>
                <w:b/>
                <w:bCs/>
                <w:sz w:val="19"/>
                <w:szCs w:val="19"/>
              </w:rPr>
              <w:t>2014</w:t>
            </w:r>
          </w:p>
        </w:tc>
      </w:tr>
      <w:tr w:rsidR="00142165" w:rsidRPr="002B29DB" w14:paraId="1C6E063D" w14:textId="77777777" w:rsidTr="000E6075">
        <w:trPr>
          <w:trHeight w:val="289"/>
          <w:tblHeader/>
          <w:jc w:val="center"/>
        </w:trPr>
        <w:tc>
          <w:tcPr>
            <w:tcW w:w="1641" w:type="dxa"/>
            <w:tcBorders>
              <w:top w:val="single" w:sz="4" w:space="0" w:color="auto"/>
              <w:bottom w:val="single" w:sz="4" w:space="0" w:color="auto"/>
            </w:tcBorders>
            <w:shd w:val="clear" w:color="auto" w:fill="auto"/>
            <w:tcMar>
              <w:top w:w="29" w:type="dxa"/>
              <w:left w:w="86" w:type="dxa"/>
              <w:bottom w:w="29" w:type="dxa"/>
              <w:right w:w="86" w:type="dxa"/>
            </w:tcMar>
          </w:tcPr>
          <w:p w14:paraId="6FC567A4" w14:textId="77777777" w:rsidR="00142165" w:rsidRPr="002B29DB" w:rsidRDefault="00142165" w:rsidP="00EE7E9D">
            <w:pPr>
              <w:pStyle w:val="TableStyle2"/>
              <w:rPr>
                <w:rFonts w:ascii="Calibri" w:hAnsi="Calibri" w:cs="Calibri"/>
                <w:b/>
                <w:bCs/>
                <w:sz w:val="19"/>
                <w:szCs w:val="19"/>
              </w:rPr>
            </w:pPr>
            <w:r w:rsidRPr="002B29DB">
              <w:rPr>
                <w:rFonts w:ascii="Calibri" w:hAnsi="Calibri" w:cs="Calibri"/>
                <w:b/>
                <w:bCs/>
                <w:sz w:val="19"/>
                <w:szCs w:val="19"/>
              </w:rPr>
              <w:t>Summary</w:t>
            </w:r>
          </w:p>
        </w:tc>
        <w:tc>
          <w:tcPr>
            <w:tcW w:w="872" w:type="dxa"/>
            <w:tcBorders>
              <w:top w:val="single" w:sz="4" w:space="0" w:color="auto"/>
              <w:bottom w:val="single" w:sz="4" w:space="0" w:color="auto"/>
            </w:tcBorders>
            <w:shd w:val="clear" w:color="auto" w:fill="auto"/>
            <w:tcMar>
              <w:top w:w="29" w:type="dxa"/>
              <w:left w:w="86" w:type="dxa"/>
              <w:bottom w:w="29" w:type="dxa"/>
              <w:right w:w="86" w:type="dxa"/>
            </w:tcMar>
          </w:tcPr>
          <w:p w14:paraId="0325ECA7" w14:textId="77777777" w:rsidR="00142165" w:rsidRPr="002B29DB" w:rsidRDefault="00142165" w:rsidP="00EE7E9D">
            <w:pPr>
              <w:pStyle w:val="TableStyle2"/>
              <w:rPr>
                <w:rFonts w:ascii="Calibri" w:hAnsi="Calibri" w:cs="Calibri"/>
                <w:b/>
                <w:bCs/>
                <w:sz w:val="19"/>
                <w:szCs w:val="19"/>
              </w:rPr>
            </w:pPr>
            <w:r w:rsidRPr="002B29DB">
              <w:rPr>
                <w:rFonts w:ascii="Calibri" w:hAnsi="Calibri" w:cs="Calibri"/>
                <w:b/>
                <w:bCs/>
                <w:sz w:val="19"/>
                <w:szCs w:val="19"/>
              </w:rPr>
              <w:t>Priority</w:t>
            </w:r>
          </w:p>
        </w:tc>
        <w:tc>
          <w:tcPr>
            <w:tcW w:w="7299" w:type="dxa"/>
            <w:tcBorders>
              <w:top w:val="single" w:sz="4" w:space="0" w:color="auto"/>
              <w:bottom w:val="single" w:sz="4" w:space="0" w:color="auto"/>
            </w:tcBorders>
            <w:shd w:val="clear" w:color="auto" w:fill="auto"/>
            <w:tcMar>
              <w:top w:w="29" w:type="dxa"/>
              <w:left w:w="86" w:type="dxa"/>
              <w:bottom w:w="29" w:type="dxa"/>
              <w:right w:w="86" w:type="dxa"/>
            </w:tcMar>
          </w:tcPr>
          <w:p w14:paraId="60F46FB3" w14:textId="77777777" w:rsidR="00142165" w:rsidRPr="002B29DB" w:rsidRDefault="00142165" w:rsidP="00EE7E9D">
            <w:pPr>
              <w:pStyle w:val="TableStyle2"/>
              <w:rPr>
                <w:rFonts w:ascii="Calibri" w:hAnsi="Calibri" w:cs="Calibri"/>
                <w:b/>
                <w:bCs/>
                <w:sz w:val="19"/>
                <w:szCs w:val="19"/>
              </w:rPr>
            </w:pPr>
            <w:r w:rsidRPr="002B29DB">
              <w:rPr>
                <w:rFonts w:ascii="Calibri" w:hAnsi="Calibri" w:cs="Calibri"/>
                <w:b/>
                <w:bCs/>
                <w:sz w:val="19"/>
                <w:szCs w:val="19"/>
              </w:rPr>
              <w:t>Explanation</w:t>
            </w:r>
          </w:p>
        </w:tc>
      </w:tr>
      <w:tr w:rsidR="00142165" w:rsidRPr="002B29DB" w14:paraId="7AC0358D" w14:textId="77777777" w:rsidTr="000E6075">
        <w:trPr>
          <w:trHeight w:val="273"/>
          <w:jc w:val="center"/>
        </w:trPr>
        <w:tc>
          <w:tcPr>
            <w:tcW w:w="1641" w:type="dxa"/>
            <w:tcBorders>
              <w:bottom w:val="single" w:sz="4" w:space="0" w:color="auto"/>
            </w:tcBorders>
            <w:shd w:val="clear" w:color="auto" w:fill="E6E6E6"/>
            <w:tcMar>
              <w:top w:w="29" w:type="dxa"/>
              <w:left w:w="86" w:type="dxa"/>
              <w:bottom w:w="29" w:type="dxa"/>
              <w:right w:w="86" w:type="dxa"/>
            </w:tcMar>
          </w:tcPr>
          <w:p w14:paraId="43F22555"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1. </w:t>
            </w:r>
            <w:r w:rsidRPr="002B29DB">
              <w:rPr>
                <w:rFonts w:ascii="Calibri" w:hAnsi="Calibri" w:cs="Calibri"/>
                <w:b/>
                <w:bCs/>
                <w:sz w:val="19"/>
                <w:szCs w:val="19"/>
              </w:rPr>
              <w:t>Email Notification upon Rejection</w:t>
            </w:r>
          </w:p>
        </w:tc>
        <w:tc>
          <w:tcPr>
            <w:tcW w:w="872" w:type="dxa"/>
            <w:tcBorders>
              <w:bottom w:val="single" w:sz="4" w:space="0" w:color="auto"/>
            </w:tcBorders>
            <w:shd w:val="clear" w:color="auto" w:fill="E6E6E6"/>
            <w:tcMar>
              <w:top w:w="29" w:type="dxa"/>
              <w:left w:w="86" w:type="dxa"/>
              <w:bottom w:w="29" w:type="dxa"/>
              <w:right w:w="86" w:type="dxa"/>
            </w:tcMar>
          </w:tcPr>
          <w:p w14:paraId="3B8EF92F"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High</w:t>
            </w:r>
          </w:p>
        </w:tc>
        <w:tc>
          <w:tcPr>
            <w:tcW w:w="7299" w:type="dxa"/>
            <w:tcBorders>
              <w:bottom w:val="single" w:sz="4" w:space="0" w:color="auto"/>
            </w:tcBorders>
            <w:shd w:val="clear" w:color="auto" w:fill="E6E6E6"/>
            <w:tcMar>
              <w:top w:w="29" w:type="dxa"/>
              <w:left w:w="86" w:type="dxa"/>
              <w:bottom w:w="29" w:type="dxa"/>
              <w:right w:w="86" w:type="dxa"/>
            </w:tcMar>
          </w:tcPr>
          <w:p w14:paraId="76FA489A" w14:textId="77777777" w:rsidR="00142165" w:rsidRPr="002B29DB" w:rsidRDefault="00142165" w:rsidP="00EE7E9D">
            <w:pPr>
              <w:pStyle w:val="TableStyle2"/>
              <w:rPr>
                <w:rFonts w:ascii="Calibri" w:hAnsi="Calibri" w:cs="Calibri"/>
                <w:sz w:val="19"/>
                <w:szCs w:val="19"/>
              </w:rPr>
            </w:pPr>
            <w:r w:rsidRPr="002B29DB">
              <w:rPr>
                <w:rFonts w:ascii="Calibri" w:hAnsi="Calibri" w:cs="Calibri"/>
                <w:sz w:val="19"/>
                <w:szCs w:val="19"/>
              </w:rPr>
              <w:t xml:space="preserve">Trigger notification email upon rejection of a submission. If the student/submitter is already receiving this email, we need the GC counselor who rejected the submission to be copied on that email. (If that isn’t possible, we need the </w:t>
            </w:r>
            <w:hyperlink r:id="rId10" w:history="1">
              <w:r w:rsidRPr="002B29DB">
                <w:rPr>
                  <w:rStyle w:val="Hyperlink"/>
                  <w:rFonts w:ascii="Calibri" w:hAnsi="Calibri" w:cs="Calibri"/>
                  <w:sz w:val="19"/>
                  <w:szCs w:val="19"/>
                </w:rPr>
                <w:t>shareok-dissertation@ou.edu</w:t>
              </w:r>
            </w:hyperlink>
            <w:r w:rsidRPr="002B29DB">
              <w:rPr>
                <w:rFonts w:ascii="Calibri" w:hAnsi="Calibri" w:cs="Calibri"/>
                <w:sz w:val="19"/>
                <w:szCs w:val="19"/>
              </w:rPr>
              <w:t xml:space="preserve"> list to be copied.)</w:t>
            </w:r>
          </w:p>
        </w:tc>
      </w:tr>
      <w:tr w:rsidR="00142165" w:rsidRPr="00541B92" w14:paraId="01816559" w14:textId="77777777" w:rsidTr="000E6075">
        <w:trPr>
          <w:trHeight w:val="273"/>
          <w:jc w:val="center"/>
        </w:trPr>
        <w:tc>
          <w:tcPr>
            <w:tcW w:w="1641" w:type="dxa"/>
            <w:tcBorders>
              <w:bottom w:val="single" w:sz="4" w:space="0" w:color="auto"/>
            </w:tcBorders>
            <w:shd w:val="clear" w:color="auto" w:fill="auto"/>
            <w:tcMar>
              <w:top w:w="29" w:type="dxa"/>
              <w:left w:w="86" w:type="dxa"/>
              <w:bottom w:w="29" w:type="dxa"/>
              <w:right w:w="86" w:type="dxa"/>
            </w:tcMar>
          </w:tcPr>
          <w:p w14:paraId="3AD35AEF" w14:textId="77777777" w:rsidR="00142165" w:rsidRPr="00541B92" w:rsidRDefault="00142165" w:rsidP="00EE7E9D">
            <w:pPr>
              <w:pStyle w:val="TableStyle2"/>
              <w:rPr>
                <w:rFonts w:ascii="Calibri" w:hAnsi="Calibri" w:cs="Calibri"/>
                <w:bCs/>
                <w:color w:val="FF0000"/>
                <w:sz w:val="19"/>
                <w:szCs w:val="19"/>
              </w:rPr>
            </w:pPr>
          </w:p>
        </w:tc>
        <w:tc>
          <w:tcPr>
            <w:tcW w:w="872" w:type="dxa"/>
            <w:tcBorders>
              <w:bottom w:val="single" w:sz="4" w:space="0" w:color="auto"/>
            </w:tcBorders>
            <w:shd w:val="clear" w:color="auto" w:fill="auto"/>
            <w:tcMar>
              <w:top w:w="29" w:type="dxa"/>
              <w:left w:w="86" w:type="dxa"/>
              <w:bottom w:w="29" w:type="dxa"/>
              <w:right w:w="86" w:type="dxa"/>
            </w:tcMar>
          </w:tcPr>
          <w:p w14:paraId="59544E47" w14:textId="77777777" w:rsidR="00142165" w:rsidRPr="002B29DB" w:rsidRDefault="00142165" w:rsidP="00EE7E9D">
            <w:pPr>
              <w:pStyle w:val="TableStyle2"/>
              <w:jc w:val="center"/>
              <w:rPr>
                <w:rFonts w:ascii="Calibri" w:hAnsi="Calibri" w:cs="Calibri"/>
                <w:sz w:val="19"/>
                <w:szCs w:val="19"/>
              </w:rPr>
            </w:pPr>
          </w:p>
        </w:tc>
        <w:tc>
          <w:tcPr>
            <w:tcW w:w="7299" w:type="dxa"/>
            <w:tcBorders>
              <w:bottom w:val="single" w:sz="4" w:space="0" w:color="auto"/>
            </w:tcBorders>
            <w:shd w:val="clear" w:color="auto" w:fill="auto"/>
            <w:tcMar>
              <w:top w:w="29" w:type="dxa"/>
              <w:left w:w="86" w:type="dxa"/>
              <w:bottom w:w="29" w:type="dxa"/>
              <w:right w:w="86" w:type="dxa"/>
            </w:tcMar>
          </w:tcPr>
          <w:p w14:paraId="124BD043" w14:textId="77777777" w:rsidR="00142165" w:rsidRPr="00541B92" w:rsidRDefault="00142165" w:rsidP="00EE7E9D">
            <w:pPr>
              <w:pStyle w:val="TableStyle2"/>
              <w:rPr>
                <w:rFonts w:ascii="Calibri" w:hAnsi="Calibri" w:cs="Calibri"/>
                <w:color w:val="FF0000"/>
                <w:sz w:val="19"/>
                <w:szCs w:val="19"/>
              </w:rPr>
            </w:pPr>
            <w:r>
              <w:rPr>
                <w:rFonts w:ascii="Calibri" w:hAnsi="Calibri" w:cs="Calibri"/>
                <w:color w:val="FF0000"/>
                <w:sz w:val="19"/>
                <w:szCs w:val="19"/>
              </w:rPr>
              <w:t>Next in the developer queue</w:t>
            </w:r>
          </w:p>
        </w:tc>
      </w:tr>
      <w:tr w:rsidR="00142165" w:rsidRPr="002B29DB" w14:paraId="3ED3E368" w14:textId="77777777" w:rsidTr="000E6075">
        <w:trPr>
          <w:trHeight w:val="273"/>
          <w:jc w:val="center"/>
        </w:trPr>
        <w:tc>
          <w:tcPr>
            <w:tcW w:w="1641" w:type="dxa"/>
            <w:shd w:val="clear" w:color="auto" w:fill="E6E6E6"/>
            <w:tcMar>
              <w:top w:w="29" w:type="dxa"/>
              <w:left w:w="86" w:type="dxa"/>
              <w:bottom w:w="29" w:type="dxa"/>
              <w:right w:w="86" w:type="dxa"/>
            </w:tcMar>
          </w:tcPr>
          <w:p w14:paraId="5C19B3FD"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2. </w:t>
            </w:r>
            <w:r w:rsidRPr="002B29DB">
              <w:rPr>
                <w:rFonts w:ascii="Calibri" w:hAnsi="Calibri" w:cs="Calibri"/>
                <w:b/>
                <w:bCs/>
                <w:sz w:val="19"/>
                <w:szCs w:val="19"/>
              </w:rPr>
              <w:t>Email Notification upon Final Approval</w:t>
            </w:r>
          </w:p>
        </w:tc>
        <w:tc>
          <w:tcPr>
            <w:tcW w:w="872" w:type="dxa"/>
            <w:shd w:val="clear" w:color="auto" w:fill="E6E6E6"/>
            <w:tcMar>
              <w:top w:w="29" w:type="dxa"/>
              <w:left w:w="86" w:type="dxa"/>
              <w:bottom w:w="29" w:type="dxa"/>
              <w:right w:w="86" w:type="dxa"/>
            </w:tcMar>
          </w:tcPr>
          <w:p w14:paraId="611AD4A4"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High</w:t>
            </w:r>
          </w:p>
        </w:tc>
        <w:tc>
          <w:tcPr>
            <w:tcW w:w="7299" w:type="dxa"/>
            <w:shd w:val="clear" w:color="auto" w:fill="E6E6E6"/>
            <w:tcMar>
              <w:top w:w="29" w:type="dxa"/>
              <w:left w:w="86" w:type="dxa"/>
              <w:bottom w:w="29" w:type="dxa"/>
              <w:right w:w="86" w:type="dxa"/>
            </w:tcMar>
          </w:tcPr>
          <w:p w14:paraId="5D5C73D0" w14:textId="77777777" w:rsidR="00142165" w:rsidRPr="002B29DB" w:rsidRDefault="00142165" w:rsidP="00EE7E9D">
            <w:pPr>
              <w:pStyle w:val="TableStyle2"/>
              <w:rPr>
                <w:rFonts w:ascii="Calibri" w:hAnsi="Calibri" w:cs="Calibri"/>
                <w:sz w:val="19"/>
                <w:szCs w:val="19"/>
              </w:rPr>
            </w:pPr>
            <w:r w:rsidRPr="002B29DB">
              <w:rPr>
                <w:rFonts w:ascii="Calibri" w:hAnsi="Calibri" w:cs="Calibri"/>
                <w:sz w:val="19"/>
                <w:szCs w:val="19"/>
              </w:rPr>
              <w:t>Trigger notification email upon final approval of a submissi</w:t>
            </w:r>
            <w:r>
              <w:rPr>
                <w:rFonts w:ascii="Calibri" w:hAnsi="Calibri" w:cs="Calibri"/>
                <w:sz w:val="19"/>
                <w:szCs w:val="19"/>
              </w:rPr>
              <w:t xml:space="preserve">on. </w:t>
            </w:r>
            <w:r w:rsidRPr="002B29DB">
              <w:rPr>
                <w:rFonts w:ascii="Calibri" w:hAnsi="Calibri" w:cs="Calibri"/>
                <w:sz w:val="19"/>
                <w:szCs w:val="19"/>
              </w:rPr>
              <w:t xml:space="preserve">If the student/submitter is already receiving such an email, we need for the GC counselor who gave final approval to be copied on that email. (If that isn’t possible, we need the </w:t>
            </w:r>
            <w:hyperlink r:id="rId11" w:history="1">
              <w:r w:rsidRPr="002B29DB">
                <w:rPr>
                  <w:rStyle w:val="Hyperlink"/>
                  <w:rFonts w:ascii="Calibri" w:hAnsi="Calibri" w:cs="Calibri"/>
                  <w:sz w:val="19"/>
                  <w:szCs w:val="19"/>
                </w:rPr>
                <w:t>shareok-dissertation@ou.edu</w:t>
              </w:r>
            </w:hyperlink>
            <w:r w:rsidRPr="002B29DB">
              <w:rPr>
                <w:rFonts w:ascii="Calibri" w:hAnsi="Calibri" w:cs="Calibri"/>
                <w:sz w:val="19"/>
                <w:szCs w:val="19"/>
              </w:rPr>
              <w:t xml:space="preserve"> list to be copied.)</w:t>
            </w:r>
          </w:p>
        </w:tc>
      </w:tr>
      <w:tr w:rsidR="00142165" w:rsidRPr="002B29DB" w14:paraId="7DBDE611" w14:textId="77777777" w:rsidTr="000E6075">
        <w:trPr>
          <w:trHeight w:val="273"/>
          <w:jc w:val="center"/>
        </w:trPr>
        <w:tc>
          <w:tcPr>
            <w:tcW w:w="1641" w:type="dxa"/>
            <w:tcBorders>
              <w:bottom w:val="single" w:sz="4" w:space="0" w:color="auto"/>
            </w:tcBorders>
            <w:shd w:val="clear" w:color="auto" w:fill="auto"/>
            <w:tcMar>
              <w:top w:w="29" w:type="dxa"/>
              <w:left w:w="86" w:type="dxa"/>
              <w:bottom w:w="29" w:type="dxa"/>
              <w:right w:w="86" w:type="dxa"/>
            </w:tcMar>
          </w:tcPr>
          <w:p w14:paraId="61C7D563" w14:textId="77777777" w:rsidR="00142165" w:rsidRPr="002B29DB" w:rsidRDefault="00142165" w:rsidP="00EE7E9D">
            <w:pPr>
              <w:pStyle w:val="TableStyle2"/>
              <w:rPr>
                <w:rFonts w:ascii="Calibri" w:hAnsi="Calibri" w:cs="Calibri"/>
                <w:b/>
                <w:bCs/>
                <w:sz w:val="19"/>
                <w:szCs w:val="19"/>
              </w:rPr>
            </w:pPr>
          </w:p>
        </w:tc>
        <w:tc>
          <w:tcPr>
            <w:tcW w:w="872" w:type="dxa"/>
            <w:tcBorders>
              <w:bottom w:val="single" w:sz="4" w:space="0" w:color="auto"/>
            </w:tcBorders>
            <w:shd w:val="clear" w:color="auto" w:fill="auto"/>
            <w:tcMar>
              <w:top w:w="29" w:type="dxa"/>
              <w:left w:w="86" w:type="dxa"/>
              <w:bottom w:w="29" w:type="dxa"/>
              <w:right w:w="86" w:type="dxa"/>
            </w:tcMar>
          </w:tcPr>
          <w:p w14:paraId="4A52112E" w14:textId="77777777" w:rsidR="00142165" w:rsidRPr="002B29DB" w:rsidRDefault="00142165" w:rsidP="00EE7E9D">
            <w:pPr>
              <w:pStyle w:val="TableStyle2"/>
              <w:jc w:val="center"/>
              <w:rPr>
                <w:rFonts w:ascii="Calibri" w:hAnsi="Calibri" w:cs="Calibri"/>
                <w:sz w:val="19"/>
                <w:szCs w:val="19"/>
              </w:rPr>
            </w:pPr>
          </w:p>
        </w:tc>
        <w:tc>
          <w:tcPr>
            <w:tcW w:w="7299" w:type="dxa"/>
            <w:tcBorders>
              <w:bottom w:val="single" w:sz="4" w:space="0" w:color="auto"/>
            </w:tcBorders>
            <w:shd w:val="clear" w:color="auto" w:fill="auto"/>
            <w:tcMar>
              <w:top w:w="29" w:type="dxa"/>
              <w:left w:w="86" w:type="dxa"/>
              <w:bottom w:w="29" w:type="dxa"/>
              <w:right w:w="86" w:type="dxa"/>
            </w:tcMar>
          </w:tcPr>
          <w:p w14:paraId="4969DFDC" w14:textId="77777777" w:rsidR="00142165" w:rsidRPr="002B29DB" w:rsidRDefault="00142165" w:rsidP="00EE7E9D">
            <w:pPr>
              <w:pStyle w:val="TableStyle2"/>
              <w:rPr>
                <w:rFonts w:ascii="Calibri" w:hAnsi="Calibri" w:cs="Calibri"/>
                <w:sz w:val="19"/>
                <w:szCs w:val="19"/>
              </w:rPr>
            </w:pPr>
            <w:r>
              <w:rPr>
                <w:rFonts w:ascii="Calibri" w:hAnsi="Calibri" w:cs="Calibri"/>
                <w:color w:val="FF0000"/>
                <w:sz w:val="19"/>
                <w:szCs w:val="19"/>
              </w:rPr>
              <w:t>Same issue as #1 above, next in the developer queue</w:t>
            </w:r>
          </w:p>
        </w:tc>
      </w:tr>
      <w:tr w:rsidR="00142165" w:rsidRPr="002B29DB" w14:paraId="543516E5" w14:textId="77777777" w:rsidTr="000E6075">
        <w:trPr>
          <w:trHeight w:val="562"/>
          <w:jc w:val="center"/>
        </w:trPr>
        <w:tc>
          <w:tcPr>
            <w:tcW w:w="1641" w:type="dxa"/>
            <w:tcBorders>
              <w:bottom w:val="single" w:sz="4" w:space="0" w:color="auto"/>
            </w:tcBorders>
            <w:shd w:val="clear" w:color="auto" w:fill="E6E6E6"/>
            <w:tcMar>
              <w:top w:w="29" w:type="dxa"/>
              <w:left w:w="86" w:type="dxa"/>
              <w:bottom w:w="29" w:type="dxa"/>
              <w:right w:w="86" w:type="dxa"/>
            </w:tcMar>
          </w:tcPr>
          <w:p w14:paraId="793010A2"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3. </w:t>
            </w:r>
            <w:r w:rsidRPr="002B29DB">
              <w:rPr>
                <w:rFonts w:ascii="Calibri" w:hAnsi="Calibri" w:cs="Calibri"/>
                <w:b/>
                <w:bCs/>
                <w:sz w:val="19"/>
                <w:szCs w:val="19"/>
              </w:rPr>
              <w:t>Refine Email Subject Headings</w:t>
            </w:r>
          </w:p>
        </w:tc>
        <w:tc>
          <w:tcPr>
            <w:tcW w:w="872" w:type="dxa"/>
            <w:tcBorders>
              <w:bottom w:val="single" w:sz="4" w:space="0" w:color="auto"/>
            </w:tcBorders>
            <w:shd w:val="clear" w:color="auto" w:fill="E6E6E6"/>
            <w:tcMar>
              <w:top w:w="29" w:type="dxa"/>
              <w:left w:w="86" w:type="dxa"/>
              <w:bottom w:w="29" w:type="dxa"/>
              <w:right w:w="86" w:type="dxa"/>
            </w:tcMar>
          </w:tcPr>
          <w:p w14:paraId="43FB1DCC"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Medium</w:t>
            </w:r>
          </w:p>
        </w:tc>
        <w:tc>
          <w:tcPr>
            <w:tcW w:w="7299" w:type="dxa"/>
            <w:tcBorders>
              <w:bottom w:val="single" w:sz="4" w:space="0" w:color="auto"/>
            </w:tcBorders>
            <w:shd w:val="clear" w:color="auto" w:fill="E6E6E6"/>
            <w:tcMar>
              <w:top w:w="29" w:type="dxa"/>
              <w:left w:w="86" w:type="dxa"/>
              <w:bottom w:w="29" w:type="dxa"/>
              <w:right w:w="86" w:type="dxa"/>
            </w:tcMar>
          </w:tcPr>
          <w:p w14:paraId="13B2FA32" w14:textId="77777777" w:rsidR="00142165" w:rsidRPr="002B29DB" w:rsidRDefault="00142165" w:rsidP="00EE7E9D">
            <w:pPr>
              <w:pStyle w:val="TableStyle2"/>
              <w:rPr>
                <w:rFonts w:ascii="Calibri" w:hAnsi="Calibri" w:cs="Calibri"/>
                <w:sz w:val="19"/>
                <w:szCs w:val="19"/>
              </w:rPr>
            </w:pPr>
            <w:r w:rsidRPr="002B29DB">
              <w:rPr>
                <w:rFonts w:ascii="Calibri" w:hAnsi="Calibri" w:cs="Calibri"/>
                <w:sz w:val="19"/>
                <w:szCs w:val="19"/>
              </w:rPr>
              <w:t>Currently, the subject for</w:t>
            </w:r>
            <w:r>
              <w:rPr>
                <w:rFonts w:ascii="Calibri" w:hAnsi="Calibri" w:cs="Calibri"/>
                <w:sz w:val="19"/>
                <w:szCs w:val="19"/>
              </w:rPr>
              <w:t xml:space="preserve"> all</w:t>
            </w:r>
            <w:r w:rsidRPr="002B29DB">
              <w:rPr>
                <w:rFonts w:ascii="Calibri" w:hAnsi="Calibri" w:cs="Calibri"/>
                <w:sz w:val="19"/>
                <w:szCs w:val="19"/>
              </w:rPr>
              <w:t xml:space="preserve"> new submission emails is “</w:t>
            </w:r>
            <w:proofErr w:type="spellStart"/>
            <w:r w:rsidRPr="002B29DB">
              <w:rPr>
                <w:rFonts w:ascii="Calibri" w:hAnsi="Calibri" w:cs="Calibri"/>
                <w:sz w:val="19"/>
                <w:szCs w:val="19"/>
              </w:rPr>
              <w:t>DSpace</w:t>
            </w:r>
            <w:proofErr w:type="spellEnd"/>
            <w:r w:rsidRPr="002B29DB">
              <w:rPr>
                <w:rFonts w:ascii="Calibri" w:hAnsi="Calibri" w:cs="Calibri"/>
                <w:sz w:val="19"/>
                <w:szCs w:val="19"/>
              </w:rPr>
              <w:t xml:space="preserve">: You have a new task.” </w:t>
            </w:r>
            <w:r>
              <w:rPr>
                <w:rFonts w:ascii="Calibri" w:hAnsi="Calibri" w:cs="Calibri"/>
                <w:sz w:val="19"/>
                <w:szCs w:val="19"/>
              </w:rPr>
              <w:t>T</w:t>
            </w:r>
            <w:r w:rsidRPr="002B29DB">
              <w:rPr>
                <w:rFonts w:ascii="Calibri" w:hAnsi="Calibri" w:cs="Calibri"/>
                <w:sz w:val="19"/>
                <w:szCs w:val="19"/>
              </w:rPr>
              <w:t xml:space="preserve">he submitter’s name and “SHAREOK” </w:t>
            </w:r>
            <w:r>
              <w:rPr>
                <w:rFonts w:ascii="Calibri" w:hAnsi="Calibri" w:cs="Calibri"/>
                <w:sz w:val="19"/>
                <w:szCs w:val="19"/>
              </w:rPr>
              <w:t>should be</w:t>
            </w:r>
            <w:r w:rsidRPr="002B29DB">
              <w:rPr>
                <w:rFonts w:ascii="Calibri" w:hAnsi="Calibri" w:cs="Calibri"/>
                <w:sz w:val="19"/>
                <w:szCs w:val="19"/>
              </w:rPr>
              <w:t xml:space="preserve"> included in the email subject line.</w:t>
            </w:r>
          </w:p>
        </w:tc>
      </w:tr>
      <w:tr w:rsidR="00142165" w:rsidRPr="00367B6E" w14:paraId="020B796D" w14:textId="77777777" w:rsidTr="000E6075">
        <w:trPr>
          <w:trHeight w:val="273"/>
          <w:jc w:val="center"/>
        </w:trPr>
        <w:tc>
          <w:tcPr>
            <w:tcW w:w="1641" w:type="dxa"/>
            <w:tcBorders>
              <w:bottom w:val="single" w:sz="4" w:space="0" w:color="auto"/>
            </w:tcBorders>
            <w:shd w:val="clear" w:color="auto" w:fill="auto"/>
            <w:tcMar>
              <w:top w:w="29" w:type="dxa"/>
              <w:left w:w="86" w:type="dxa"/>
              <w:bottom w:w="29" w:type="dxa"/>
              <w:right w:w="86" w:type="dxa"/>
            </w:tcMar>
          </w:tcPr>
          <w:p w14:paraId="13BC3B04" w14:textId="77777777" w:rsidR="00142165" w:rsidRPr="00541B92" w:rsidRDefault="00142165" w:rsidP="00EE7E9D">
            <w:pPr>
              <w:pStyle w:val="TableStyle2"/>
              <w:rPr>
                <w:rFonts w:ascii="Calibri" w:hAnsi="Calibri" w:cs="Calibri"/>
                <w:bCs/>
                <w:sz w:val="19"/>
                <w:szCs w:val="19"/>
              </w:rPr>
            </w:pPr>
          </w:p>
        </w:tc>
        <w:tc>
          <w:tcPr>
            <w:tcW w:w="872" w:type="dxa"/>
            <w:tcBorders>
              <w:bottom w:val="single" w:sz="4" w:space="0" w:color="auto"/>
            </w:tcBorders>
            <w:shd w:val="clear" w:color="auto" w:fill="auto"/>
            <w:tcMar>
              <w:top w:w="29" w:type="dxa"/>
              <w:left w:w="86" w:type="dxa"/>
              <w:bottom w:w="29" w:type="dxa"/>
              <w:right w:w="86" w:type="dxa"/>
            </w:tcMar>
          </w:tcPr>
          <w:p w14:paraId="3730CA8A" w14:textId="77777777" w:rsidR="00142165" w:rsidRPr="00541B92" w:rsidRDefault="00142165" w:rsidP="00EE7E9D">
            <w:pPr>
              <w:pStyle w:val="TableStyle2"/>
              <w:jc w:val="center"/>
              <w:rPr>
                <w:rFonts w:ascii="Calibri" w:hAnsi="Calibri" w:cs="Calibri"/>
                <w:sz w:val="19"/>
                <w:szCs w:val="19"/>
              </w:rPr>
            </w:pPr>
          </w:p>
        </w:tc>
        <w:tc>
          <w:tcPr>
            <w:tcW w:w="7299" w:type="dxa"/>
            <w:tcBorders>
              <w:bottom w:val="single" w:sz="4" w:space="0" w:color="auto"/>
            </w:tcBorders>
            <w:shd w:val="clear" w:color="auto" w:fill="auto"/>
            <w:tcMar>
              <w:top w:w="29" w:type="dxa"/>
              <w:left w:w="86" w:type="dxa"/>
              <w:bottom w:w="29" w:type="dxa"/>
              <w:right w:w="86" w:type="dxa"/>
            </w:tcMar>
          </w:tcPr>
          <w:p w14:paraId="65D6F1EA" w14:textId="77777777" w:rsidR="00142165" w:rsidRPr="00367B6E" w:rsidRDefault="00142165" w:rsidP="00EE7E9D">
            <w:pPr>
              <w:pStyle w:val="TableStyle2"/>
              <w:rPr>
                <w:rFonts w:ascii="Calibri" w:hAnsi="Calibri" w:cs="Calibri"/>
                <w:color w:val="FF0000"/>
                <w:sz w:val="19"/>
                <w:szCs w:val="19"/>
              </w:rPr>
            </w:pPr>
            <w:r w:rsidRPr="00367B6E">
              <w:rPr>
                <w:rFonts w:ascii="Calibri" w:hAnsi="Calibri" w:cs="Calibri"/>
                <w:color w:val="FF0000"/>
                <w:sz w:val="19"/>
                <w:szCs w:val="19"/>
              </w:rPr>
              <w:t>Complete</w:t>
            </w:r>
          </w:p>
        </w:tc>
      </w:tr>
      <w:tr w:rsidR="00142165" w:rsidRPr="002B29DB" w14:paraId="5D874D1D" w14:textId="77777777" w:rsidTr="000E6075">
        <w:trPr>
          <w:trHeight w:val="273"/>
          <w:jc w:val="center"/>
        </w:trPr>
        <w:tc>
          <w:tcPr>
            <w:tcW w:w="1641" w:type="dxa"/>
            <w:shd w:val="clear" w:color="auto" w:fill="E6E6E6"/>
            <w:tcMar>
              <w:top w:w="29" w:type="dxa"/>
              <w:left w:w="86" w:type="dxa"/>
              <w:bottom w:w="29" w:type="dxa"/>
              <w:right w:w="86" w:type="dxa"/>
            </w:tcMar>
          </w:tcPr>
          <w:p w14:paraId="0D3DEECB"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4. </w:t>
            </w:r>
            <w:r w:rsidRPr="002B29DB">
              <w:rPr>
                <w:rFonts w:ascii="Calibri" w:hAnsi="Calibri" w:cs="Calibri"/>
                <w:b/>
                <w:bCs/>
                <w:sz w:val="19"/>
                <w:szCs w:val="19"/>
              </w:rPr>
              <w:t xml:space="preserve">Task Pool </w:t>
            </w:r>
            <w:r>
              <w:rPr>
                <w:rFonts w:ascii="Calibri" w:hAnsi="Calibri" w:cs="Calibri"/>
                <w:b/>
                <w:bCs/>
                <w:sz w:val="19"/>
                <w:szCs w:val="19"/>
              </w:rPr>
              <w:t>Access</w:t>
            </w:r>
          </w:p>
        </w:tc>
        <w:tc>
          <w:tcPr>
            <w:tcW w:w="872" w:type="dxa"/>
            <w:shd w:val="clear" w:color="auto" w:fill="E6E6E6"/>
            <w:tcMar>
              <w:top w:w="29" w:type="dxa"/>
              <w:left w:w="86" w:type="dxa"/>
              <w:bottom w:w="29" w:type="dxa"/>
              <w:right w:w="86" w:type="dxa"/>
            </w:tcMar>
          </w:tcPr>
          <w:p w14:paraId="1BFE8AF6"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Medium</w:t>
            </w:r>
          </w:p>
          <w:p w14:paraId="0F25C618" w14:textId="77777777" w:rsidR="00142165" w:rsidRPr="002B29DB" w:rsidRDefault="00142165" w:rsidP="00EE7E9D">
            <w:pPr>
              <w:pStyle w:val="TableStyle2"/>
              <w:jc w:val="center"/>
              <w:rPr>
                <w:rFonts w:ascii="Calibri" w:hAnsi="Calibri" w:cs="Calibri"/>
                <w:strike/>
                <w:sz w:val="19"/>
                <w:szCs w:val="19"/>
              </w:rPr>
            </w:pPr>
            <w:r w:rsidRPr="002B29DB">
              <w:rPr>
                <w:rFonts w:ascii="Calibri" w:hAnsi="Calibri" w:cs="Calibri"/>
                <w:strike/>
                <w:sz w:val="19"/>
                <w:szCs w:val="19"/>
              </w:rPr>
              <w:t>Low</w:t>
            </w:r>
          </w:p>
        </w:tc>
        <w:tc>
          <w:tcPr>
            <w:tcW w:w="7299" w:type="dxa"/>
            <w:shd w:val="clear" w:color="auto" w:fill="E6E6E6"/>
            <w:tcMar>
              <w:top w:w="29" w:type="dxa"/>
              <w:left w:w="86" w:type="dxa"/>
              <w:bottom w:w="29" w:type="dxa"/>
              <w:right w:w="86" w:type="dxa"/>
            </w:tcMar>
          </w:tcPr>
          <w:p w14:paraId="372D3CEE" w14:textId="77777777" w:rsidR="00142165" w:rsidRPr="002B29DB" w:rsidRDefault="00142165" w:rsidP="00EE7E9D">
            <w:pPr>
              <w:pStyle w:val="TableStyle2"/>
              <w:rPr>
                <w:rFonts w:ascii="Calibri" w:hAnsi="Calibri" w:cs="Calibri"/>
                <w:sz w:val="19"/>
                <w:szCs w:val="19"/>
              </w:rPr>
            </w:pPr>
            <w:r>
              <w:rPr>
                <w:rFonts w:ascii="Calibri" w:hAnsi="Calibri" w:cs="Calibri"/>
                <w:sz w:val="19"/>
                <w:szCs w:val="19"/>
              </w:rPr>
              <w:t>Allow</w:t>
            </w:r>
            <w:r w:rsidRPr="002B29DB">
              <w:rPr>
                <w:rFonts w:ascii="Calibri" w:hAnsi="Calibri" w:cs="Calibri"/>
                <w:sz w:val="19"/>
                <w:szCs w:val="19"/>
              </w:rPr>
              <w:t xml:space="preserve"> all Grad Co</w:t>
            </w:r>
            <w:r>
              <w:rPr>
                <w:rFonts w:ascii="Calibri" w:hAnsi="Calibri" w:cs="Calibri"/>
                <w:sz w:val="19"/>
                <w:szCs w:val="19"/>
              </w:rPr>
              <w:t xml:space="preserve">llege Dissertation Approvers access to </w:t>
            </w:r>
            <w:r w:rsidRPr="002B29DB">
              <w:rPr>
                <w:rFonts w:ascii="Calibri" w:hAnsi="Calibri" w:cs="Calibri"/>
                <w:sz w:val="19"/>
                <w:szCs w:val="19"/>
              </w:rPr>
              <w:t xml:space="preserve">all dissertation submissions in progress, even if they have been taken </w:t>
            </w:r>
            <w:r>
              <w:rPr>
                <w:rFonts w:ascii="Calibri" w:hAnsi="Calibri" w:cs="Calibri"/>
                <w:sz w:val="19"/>
                <w:szCs w:val="19"/>
              </w:rPr>
              <w:t>out</w:t>
            </w:r>
            <w:r w:rsidRPr="002B29DB">
              <w:rPr>
                <w:rFonts w:ascii="Calibri" w:hAnsi="Calibri" w:cs="Calibri"/>
                <w:sz w:val="19"/>
                <w:szCs w:val="19"/>
              </w:rPr>
              <w:t xml:space="preserve"> of the task pool and are currently “owned” by a</w:t>
            </w:r>
            <w:r>
              <w:rPr>
                <w:rFonts w:ascii="Calibri" w:hAnsi="Calibri" w:cs="Calibri"/>
                <w:sz w:val="19"/>
                <w:szCs w:val="19"/>
              </w:rPr>
              <w:t xml:space="preserve"> specific a</w:t>
            </w:r>
            <w:r w:rsidRPr="002B29DB">
              <w:rPr>
                <w:rFonts w:ascii="Calibri" w:hAnsi="Calibri" w:cs="Calibri"/>
                <w:sz w:val="19"/>
                <w:szCs w:val="19"/>
              </w:rPr>
              <w:t>pprover. If this is not possible, at least Sara Vaughan (</w:t>
            </w:r>
            <w:hyperlink r:id="rId12" w:history="1">
              <w:r w:rsidRPr="002B29DB">
                <w:rPr>
                  <w:rStyle w:val="Hyperlink"/>
                  <w:rFonts w:ascii="Calibri" w:hAnsi="Calibri" w:cs="Calibri"/>
                  <w:sz w:val="19"/>
                  <w:szCs w:val="19"/>
                </w:rPr>
                <w:t>saravaughan@ou.edu</w:t>
              </w:r>
            </w:hyperlink>
            <w:r w:rsidRPr="002B29DB">
              <w:rPr>
                <w:rFonts w:ascii="Calibri" w:hAnsi="Calibri" w:cs="Calibri"/>
                <w:sz w:val="19"/>
                <w:szCs w:val="19"/>
              </w:rPr>
              <w:t>) and Kristin Meyers (</w:t>
            </w:r>
            <w:hyperlink r:id="rId13" w:history="1">
              <w:r w:rsidRPr="002B29DB">
                <w:rPr>
                  <w:rStyle w:val="Hyperlink"/>
                  <w:rFonts w:ascii="Calibri" w:hAnsi="Calibri" w:cs="Calibri"/>
                  <w:sz w:val="19"/>
                  <w:szCs w:val="19"/>
                </w:rPr>
                <w:t>kglenn@ou.edu</w:t>
              </w:r>
            </w:hyperlink>
            <w:r w:rsidRPr="002B29DB">
              <w:rPr>
                <w:rFonts w:ascii="Calibri" w:hAnsi="Calibri" w:cs="Calibri"/>
                <w:sz w:val="19"/>
                <w:szCs w:val="19"/>
              </w:rPr>
              <w:t xml:space="preserve">) both need some </w:t>
            </w:r>
            <w:r>
              <w:rPr>
                <w:rFonts w:ascii="Calibri" w:hAnsi="Calibri" w:cs="Calibri"/>
                <w:sz w:val="19"/>
                <w:szCs w:val="19"/>
              </w:rPr>
              <w:t>form</w:t>
            </w:r>
            <w:r w:rsidRPr="002B29DB">
              <w:rPr>
                <w:rFonts w:ascii="Calibri" w:hAnsi="Calibri" w:cs="Calibri"/>
                <w:sz w:val="19"/>
                <w:szCs w:val="19"/>
              </w:rPr>
              <w:t xml:space="preserve"> of administrator access and oversight for dissertations.</w:t>
            </w:r>
          </w:p>
        </w:tc>
      </w:tr>
      <w:tr w:rsidR="00142165" w:rsidRPr="00367B6E" w14:paraId="7D2E3F7A" w14:textId="77777777" w:rsidTr="000E6075">
        <w:trPr>
          <w:trHeight w:val="273"/>
          <w:jc w:val="center"/>
        </w:trPr>
        <w:tc>
          <w:tcPr>
            <w:tcW w:w="1641" w:type="dxa"/>
            <w:tcBorders>
              <w:bottom w:val="single" w:sz="4" w:space="0" w:color="auto"/>
            </w:tcBorders>
            <w:tcMar>
              <w:top w:w="29" w:type="dxa"/>
              <w:left w:w="86" w:type="dxa"/>
              <w:bottom w:w="29" w:type="dxa"/>
              <w:right w:w="86" w:type="dxa"/>
            </w:tcMar>
          </w:tcPr>
          <w:p w14:paraId="2AA6412E" w14:textId="77777777" w:rsidR="00142165" w:rsidRPr="002B29DB" w:rsidRDefault="00142165" w:rsidP="00EE7E9D">
            <w:pPr>
              <w:pStyle w:val="TableStyle2"/>
              <w:rPr>
                <w:rFonts w:ascii="Calibri" w:hAnsi="Calibri" w:cs="Calibri"/>
                <w:b/>
                <w:bCs/>
                <w:sz w:val="19"/>
                <w:szCs w:val="19"/>
              </w:rPr>
            </w:pPr>
          </w:p>
        </w:tc>
        <w:tc>
          <w:tcPr>
            <w:tcW w:w="872" w:type="dxa"/>
            <w:tcBorders>
              <w:bottom w:val="single" w:sz="4" w:space="0" w:color="auto"/>
            </w:tcBorders>
            <w:tcMar>
              <w:top w:w="29" w:type="dxa"/>
              <w:left w:w="86" w:type="dxa"/>
              <w:bottom w:w="29" w:type="dxa"/>
              <w:right w:w="86" w:type="dxa"/>
            </w:tcMar>
          </w:tcPr>
          <w:p w14:paraId="471F4DEA" w14:textId="77777777" w:rsidR="00142165" w:rsidRPr="002B29DB" w:rsidRDefault="00142165" w:rsidP="00EE7E9D">
            <w:pPr>
              <w:pStyle w:val="TableStyle2"/>
              <w:jc w:val="center"/>
              <w:rPr>
                <w:rFonts w:ascii="Calibri" w:hAnsi="Calibri" w:cs="Calibri"/>
                <w:sz w:val="19"/>
                <w:szCs w:val="19"/>
              </w:rPr>
            </w:pPr>
          </w:p>
        </w:tc>
        <w:tc>
          <w:tcPr>
            <w:tcW w:w="7299" w:type="dxa"/>
            <w:tcBorders>
              <w:bottom w:val="single" w:sz="4" w:space="0" w:color="auto"/>
            </w:tcBorders>
            <w:tcMar>
              <w:top w:w="29" w:type="dxa"/>
              <w:left w:w="86" w:type="dxa"/>
              <w:bottom w:w="29" w:type="dxa"/>
              <w:right w:w="86" w:type="dxa"/>
            </w:tcMar>
          </w:tcPr>
          <w:p w14:paraId="16FCD96F" w14:textId="77777777" w:rsidR="00142165" w:rsidRPr="00367B6E" w:rsidRDefault="00142165" w:rsidP="00EE7E9D">
            <w:pPr>
              <w:pStyle w:val="TableStyle2"/>
              <w:rPr>
                <w:rFonts w:ascii="Calibri" w:hAnsi="Calibri" w:cs="Calibri"/>
                <w:color w:val="FF0000"/>
                <w:sz w:val="19"/>
                <w:szCs w:val="19"/>
              </w:rPr>
            </w:pPr>
            <w:r w:rsidRPr="00367B6E">
              <w:rPr>
                <w:rFonts w:ascii="Calibri" w:hAnsi="Calibri" w:cs="Calibri"/>
                <w:color w:val="FF0000"/>
                <w:sz w:val="19"/>
                <w:szCs w:val="19"/>
              </w:rPr>
              <w:t xml:space="preserve">Permissions issue, still working on a permanent solution, in the meantime </w:t>
            </w:r>
            <w:r>
              <w:rPr>
                <w:rFonts w:ascii="Calibri" w:hAnsi="Calibri" w:cs="Calibri"/>
                <w:color w:val="FF0000"/>
                <w:sz w:val="19"/>
                <w:szCs w:val="19"/>
              </w:rPr>
              <w:t>we'll make Sarah and Kristin administrators.</w:t>
            </w:r>
          </w:p>
        </w:tc>
      </w:tr>
      <w:tr w:rsidR="00142165" w:rsidRPr="002B29DB" w14:paraId="6055A08E" w14:textId="77777777" w:rsidTr="000E6075">
        <w:trPr>
          <w:trHeight w:val="273"/>
          <w:jc w:val="center"/>
        </w:trPr>
        <w:tc>
          <w:tcPr>
            <w:tcW w:w="1641" w:type="dxa"/>
            <w:tcBorders>
              <w:bottom w:val="single" w:sz="4" w:space="0" w:color="auto"/>
            </w:tcBorders>
            <w:shd w:val="clear" w:color="auto" w:fill="E6E6E6"/>
            <w:tcMar>
              <w:top w:w="29" w:type="dxa"/>
              <w:left w:w="86" w:type="dxa"/>
              <w:bottom w:w="29" w:type="dxa"/>
              <w:right w:w="86" w:type="dxa"/>
            </w:tcMar>
          </w:tcPr>
          <w:p w14:paraId="72462873"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5. </w:t>
            </w:r>
            <w:r w:rsidRPr="002B29DB">
              <w:rPr>
                <w:rFonts w:ascii="Calibri" w:hAnsi="Calibri" w:cs="Calibri"/>
                <w:b/>
                <w:bCs/>
                <w:sz w:val="19"/>
                <w:szCs w:val="19"/>
              </w:rPr>
              <w:t xml:space="preserve">Workflow Customization: </w:t>
            </w:r>
            <w:r>
              <w:rPr>
                <w:rFonts w:ascii="Calibri" w:hAnsi="Calibri" w:cs="Calibri"/>
                <w:b/>
                <w:bCs/>
                <w:sz w:val="19"/>
                <w:szCs w:val="19"/>
              </w:rPr>
              <w:t>Describe</w:t>
            </w:r>
            <w:r w:rsidRPr="002B29DB">
              <w:rPr>
                <w:rFonts w:ascii="Calibri" w:hAnsi="Calibri" w:cs="Calibri"/>
                <w:b/>
                <w:bCs/>
                <w:sz w:val="19"/>
                <w:szCs w:val="19"/>
              </w:rPr>
              <w:t xml:space="preserve"> Step </w:t>
            </w:r>
          </w:p>
        </w:tc>
        <w:tc>
          <w:tcPr>
            <w:tcW w:w="872" w:type="dxa"/>
            <w:tcBorders>
              <w:bottom w:val="single" w:sz="4" w:space="0" w:color="auto"/>
            </w:tcBorders>
            <w:shd w:val="clear" w:color="auto" w:fill="E6E6E6"/>
            <w:tcMar>
              <w:top w:w="29" w:type="dxa"/>
              <w:left w:w="86" w:type="dxa"/>
              <w:bottom w:w="29" w:type="dxa"/>
              <w:right w:w="86" w:type="dxa"/>
            </w:tcMar>
          </w:tcPr>
          <w:p w14:paraId="088AAACF"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Medium</w:t>
            </w:r>
          </w:p>
        </w:tc>
        <w:tc>
          <w:tcPr>
            <w:tcW w:w="7299" w:type="dxa"/>
            <w:tcBorders>
              <w:bottom w:val="single" w:sz="4" w:space="0" w:color="auto"/>
            </w:tcBorders>
            <w:shd w:val="clear" w:color="auto" w:fill="E6E6E6"/>
            <w:tcMar>
              <w:top w:w="29" w:type="dxa"/>
              <w:left w:w="86" w:type="dxa"/>
              <w:bottom w:w="29" w:type="dxa"/>
              <w:right w:w="86" w:type="dxa"/>
            </w:tcMar>
          </w:tcPr>
          <w:p w14:paraId="4AC77162" w14:textId="77777777" w:rsidR="00142165" w:rsidRPr="002B29DB" w:rsidRDefault="00142165" w:rsidP="00EE7E9D">
            <w:pPr>
              <w:pStyle w:val="TableStyle2"/>
              <w:rPr>
                <w:rFonts w:ascii="Calibri" w:hAnsi="Calibri" w:cs="Calibri"/>
                <w:sz w:val="19"/>
                <w:szCs w:val="19"/>
              </w:rPr>
            </w:pPr>
            <w:r>
              <w:rPr>
                <w:rFonts w:ascii="Calibri" w:hAnsi="Calibri" w:cs="Calibri"/>
                <w:sz w:val="19"/>
                <w:szCs w:val="19"/>
              </w:rPr>
              <w:t>Integrate Karen’s language regarding abstracts and subject keywords from the</w:t>
            </w:r>
            <w:r w:rsidRPr="002B29DB">
              <w:rPr>
                <w:rFonts w:ascii="Calibri" w:hAnsi="Calibri" w:cs="Calibri"/>
                <w:sz w:val="19"/>
                <w:szCs w:val="19"/>
              </w:rPr>
              <w:t xml:space="preserve"> </w:t>
            </w:r>
            <w:hyperlink r:id="rId14" w:history="1">
              <w:r w:rsidRPr="00EE71C0">
                <w:rPr>
                  <w:rStyle w:val="Hyperlink"/>
                  <w:rFonts w:ascii="Calibri" w:hAnsi="Calibri" w:cs="Calibri"/>
                  <w:i/>
                  <w:sz w:val="19"/>
                  <w:szCs w:val="19"/>
                </w:rPr>
                <w:t>Dissertation Instruction Packet</w:t>
              </w:r>
            </w:hyperlink>
            <w:r>
              <w:rPr>
                <w:rFonts w:ascii="Calibri" w:hAnsi="Calibri" w:cs="Calibri"/>
                <w:sz w:val="19"/>
                <w:szCs w:val="19"/>
              </w:rPr>
              <w:t>. The vast majority of students have been selecting only one subject keyword.</w:t>
            </w:r>
          </w:p>
        </w:tc>
      </w:tr>
      <w:tr w:rsidR="00142165" w:rsidRPr="00B95972" w14:paraId="532D2AC4" w14:textId="77777777" w:rsidTr="000E6075">
        <w:trPr>
          <w:trHeight w:val="273"/>
          <w:jc w:val="center"/>
        </w:trPr>
        <w:tc>
          <w:tcPr>
            <w:tcW w:w="1641" w:type="dxa"/>
            <w:tcBorders>
              <w:bottom w:val="single" w:sz="4" w:space="0" w:color="auto"/>
            </w:tcBorders>
            <w:shd w:val="clear" w:color="auto" w:fill="auto"/>
            <w:tcMar>
              <w:top w:w="29" w:type="dxa"/>
              <w:left w:w="86" w:type="dxa"/>
              <w:bottom w:w="29" w:type="dxa"/>
              <w:right w:w="86" w:type="dxa"/>
            </w:tcMar>
          </w:tcPr>
          <w:p w14:paraId="4FFD4D43" w14:textId="77777777" w:rsidR="00142165" w:rsidRPr="002B29DB" w:rsidRDefault="00142165" w:rsidP="00EE7E9D">
            <w:pPr>
              <w:pStyle w:val="TableStyle2"/>
              <w:rPr>
                <w:rFonts w:ascii="Calibri" w:hAnsi="Calibri" w:cs="Calibri"/>
                <w:b/>
                <w:bCs/>
                <w:sz w:val="19"/>
                <w:szCs w:val="19"/>
              </w:rPr>
            </w:pPr>
          </w:p>
        </w:tc>
        <w:tc>
          <w:tcPr>
            <w:tcW w:w="872" w:type="dxa"/>
            <w:tcBorders>
              <w:bottom w:val="single" w:sz="4" w:space="0" w:color="auto"/>
            </w:tcBorders>
            <w:shd w:val="clear" w:color="auto" w:fill="auto"/>
            <w:tcMar>
              <w:top w:w="29" w:type="dxa"/>
              <w:left w:w="86" w:type="dxa"/>
              <w:bottom w:w="29" w:type="dxa"/>
              <w:right w:w="86" w:type="dxa"/>
            </w:tcMar>
          </w:tcPr>
          <w:p w14:paraId="4389EFD6" w14:textId="77777777" w:rsidR="00142165" w:rsidRPr="002B29DB" w:rsidRDefault="00142165" w:rsidP="00EE7E9D">
            <w:pPr>
              <w:pStyle w:val="TableStyle2"/>
              <w:jc w:val="center"/>
              <w:rPr>
                <w:rFonts w:ascii="Calibri" w:hAnsi="Calibri" w:cs="Calibri"/>
                <w:sz w:val="19"/>
                <w:szCs w:val="19"/>
              </w:rPr>
            </w:pPr>
          </w:p>
        </w:tc>
        <w:tc>
          <w:tcPr>
            <w:tcW w:w="7299" w:type="dxa"/>
            <w:tcBorders>
              <w:bottom w:val="single" w:sz="4" w:space="0" w:color="auto"/>
            </w:tcBorders>
            <w:shd w:val="clear" w:color="auto" w:fill="auto"/>
            <w:tcMar>
              <w:top w:w="29" w:type="dxa"/>
              <w:left w:w="86" w:type="dxa"/>
              <w:bottom w:w="29" w:type="dxa"/>
              <w:right w:w="86" w:type="dxa"/>
            </w:tcMar>
          </w:tcPr>
          <w:p w14:paraId="1DC2BF2F" w14:textId="338D9816" w:rsidR="00142165" w:rsidRPr="00B95972" w:rsidRDefault="00142165" w:rsidP="00EE7E9D">
            <w:pPr>
              <w:pStyle w:val="TableStyle2"/>
              <w:rPr>
                <w:rFonts w:ascii="Calibri" w:hAnsi="Calibri" w:cs="Calibri"/>
                <w:color w:val="FF0000"/>
                <w:sz w:val="19"/>
                <w:szCs w:val="19"/>
              </w:rPr>
            </w:pPr>
            <w:r w:rsidRPr="00B95972">
              <w:rPr>
                <w:rFonts w:ascii="Calibri" w:hAnsi="Calibri" w:cs="Calibri"/>
                <w:color w:val="FF0000"/>
                <w:sz w:val="19"/>
                <w:szCs w:val="19"/>
              </w:rPr>
              <w:t>Complete</w:t>
            </w:r>
            <w:r>
              <w:rPr>
                <w:rFonts w:ascii="Calibri" w:hAnsi="Calibri" w:cs="Calibri"/>
                <w:color w:val="FF0000"/>
                <w:sz w:val="19"/>
                <w:szCs w:val="19"/>
              </w:rPr>
              <w:t>, needs review</w:t>
            </w:r>
            <w:r w:rsidR="009C6440">
              <w:rPr>
                <w:rFonts w:ascii="Calibri" w:hAnsi="Calibri" w:cs="Calibri"/>
                <w:color w:val="FF0000"/>
                <w:sz w:val="19"/>
                <w:szCs w:val="19"/>
              </w:rPr>
              <w:t xml:space="preserve"> by Karen</w:t>
            </w:r>
          </w:p>
        </w:tc>
      </w:tr>
      <w:tr w:rsidR="00142165" w:rsidRPr="002B29DB" w14:paraId="1013E833" w14:textId="77777777" w:rsidTr="000E6075">
        <w:trPr>
          <w:trHeight w:val="273"/>
          <w:jc w:val="center"/>
        </w:trPr>
        <w:tc>
          <w:tcPr>
            <w:tcW w:w="1641" w:type="dxa"/>
            <w:shd w:val="clear" w:color="auto" w:fill="E6E6E6"/>
            <w:tcMar>
              <w:top w:w="29" w:type="dxa"/>
              <w:left w:w="86" w:type="dxa"/>
              <w:bottom w:w="29" w:type="dxa"/>
              <w:right w:w="86" w:type="dxa"/>
            </w:tcMar>
          </w:tcPr>
          <w:p w14:paraId="06CE7FFE"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6. </w:t>
            </w:r>
            <w:r w:rsidRPr="002B29DB">
              <w:rPr>
                <w:rFonts w:ascii="Calibri" w:hAnsi="Calibri" w:cs="Calibri"/>
                <w:b/>
                <w:bCs/>
                <w:sz w:val="19"/>
                <w:szCs w:val="19"/>
              </w:rPr>
              <w:t xml:space="preserve">Workflow Customization: Access Step </w:t>
            </w:r>
          </w:p>
        </w:tc>
        <w:tc>
          <w:tcPr>
            <w:tcW w:w="872" w:type="dxa"/>
            <w:shd w:val="clear" w:color="auto" w:fill="E6E6E6"/>
            <w:tcMar>
              <w:top w:w="29" w:type="dxa"/>
              <w:left w:w="86" w:type="dxa"/>
              <w:bottom w:w="29" w:type="dxa"/>
              <w:right w:w="86" w:type="dxa"/>
            </w:tcMar>
          </w:tcPr>
          <w:p w14:paraId="3B10DE22"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Medium</w:t>
            </w:r>
          </w:p>
        </w:tc>
        <w:tc>
          <w:tcPr>
            <w:tcW w:w="7299" w:type="dxa"/>
            <w:shd w:val="clear" w:color="auto" w:fill="E6E6E6"/>
            <w:tcMar>
              <w:top w:w="29" w:type="dxa"/>
              <w:left w:w="86" w:type="dxa"/>
              <w:bottom w:w="29" w:type="dxa"/>
              <w:right w:w="86" w:type="dxa"/>
            </w:tcMar>
          </w:tcPr>
          <w:p w14:paraId="1126944C" w14:textId="77777777" w:rsidR="00142165" w:rsidRPr="002B29DB" w:rsidRDefault="00142165" w:rsidP="00EE7E9D">
            <w:pPr>
              <w:pStyle w:val="TableStyle2"/>
              <w:rPr>
                <w:rFonts w:ascii="Calibri" w:hAnsi="Calibri" w:cs="Calibri"/>
                <w:sz w:val="19"/>
                <w:szCs w:val="19"/>
              </w:rPr>
            </w:pPr>
            <w:r w:rsidRPr="002B29DB">
              <w:rPr>
                <w:rFonts w:ascii="Calibri" w:hAnsi="Calibri" w:cs="Calibri"/>
                <w:sz w:val="19"/>
                <w:szCs w:val="19"/>
              </w:rPr>
              <w:t>Advise submitters of the 100-character lim</w:t>
            </w:r>
            <w:r>
              <w:rPr>
                <w:rFonts w:ascii="Calibri" w:hAnsi="Calibri" w:cs="Calibri"/>
                <w:sz w:val="19"/>
                <w:szCs w:val="19"/>
              </w:rPr>
              <w:t>it for the embargo reason field, and include the following</w:t>
            </w:r>
            <w:r w:rsidRPr="002B29DB">
              <w:rPr>
                <w:rFonts w:ascii="Calibri" w:hAnsi="Calibri" w:cs="Calibri"/>
                <w:sz w:val="19"/>
                <w:szCs w:val="19"/>
              </w:rPr>
              <w:t xml:space="preserve"> language</w:t>
            </w:r>
            <w:r>
              <w:rPr>
                <w:rFonts w:ascii="Calibri" w:hAnsi="Calibri" w:cs="Calibri"/>
                <w:sz w:val="19"/>
                <w:szCs w:val="19"/>
              </w:rPr>
              <w:t>:</w:t>
            </w:r>
            <w:r w:rsidRPr="002B29DB">
              <w:rPr>
                <w:rFonts w:ascii="Calibri" w:hAnsi="Calibri" w:cs="Calibri"/>
                <w:sz w:val="19"/>
                <w:szCs w:val="19"/>
              </w:rPr>
              <w:t xml:space="preserve"> “Embargoes require advance approval</w:t>
            </w:r>
            <w:r>
              <w:rPr>
                <w:rFonts w:ascii="Calibri" w:hAnsi="Calibri" w:cs="Calibri"/>
                <w:sz w:val="19"/>
                <w:szCs w:val="19"/>
              </w:rPr>
              <w:t xml:space="preserve"> according to the policy in the Graduate College </w:t>
            </w:r>
            <w:r w:rsidRPr="002B29DB">
              <w:rPr>
                <w:rFonts w:ascii="Calibri" w:hAnsi="Calibri" w:cs="Calibri"/>
                <w:i/>
                <w:sz w:val="19"/>
                <w:szCs w:val="19"/>
              </w:rPr>
              <w:t>Dissertation Instruction Packet</w:t>
            </w:r>
            <w:r w:rsidRPr="002B29DB">
              <w:rPr>
                <w:rFonts w:ascii="Calibri" w:hAnsi="Calibri" w:cs="Calibri"/>
                <w:sz w:val="19"/>
                <w:szCs w:val="19"/>
              </w:rPr>
              <w:t>. Please contact your</w:t>
            </w:r>
            <w:r>
              <w:rPr>
                <w:rFonts w:ascii="Calibri" w:hAnsi="Calibri" w:cs="Calibri"/>
                <w:sz w:val="19"/>
                <w:szCs w:val="19"/>
              </w:rPr>
              <w:t xml:space="preserve"> </w:t>
            </w:r>
            <w:r w:rsidRPr="002B29DB">
              <w:rPr>
                <w:rFonts w:ascii="Calibri" w:hAnsi="Calibri" w:cs="Calibri"/>
                <w:sz w:val="19"/>
                <w:szCs w:val="19"/>
              </w:rPr>
              <w:t>Graduate College counselor if you have</w:t>
            </w:r>
            <w:r>
              <w:rPr>
                <w:rFonts w:ascii="Calibri" w:hAnsi="Calibri" w:cs="Calibri"/>
                <w:sz w:val="19"/>
                <w:szCs w:val="19"/>
              </w:rPr>
              <w:t xml:space="preserve"> </w:t>
            </w:r>
            <w:r w:rsidRPr="002B29DB">
              <w:rPr>
                <w:rFonts w:ascii="Calibri" w:hAnsi="Calibri" w:cs="Calibri"/>
                <w:sz w:val="19"/>
                <w:szCs w:val="19"/>
              </w:rPr>
              <w:t xml:space="preserve">questions or concerns.” </w:t>
            </w:r>
          </w:p>
        </w:tc>
      </w:tr>
      <w:tr w:rsidR="00142165" w:rsidRPr="00423682" w14:paraId="43633F3C" w14:textId="77777777" w:rsidTr="000E6075">
        <w:trPr>
          <w:trHeight w:val="273"/>
          <w:jc w:val="center"/>
        </w:trPr>
        <w:tc>
          <w:tcPr>
            <w:tcW w:w="1641" w:type="dxa"/>
            <w:tcBorders>
              <w:bottom w:val="single" w:sz="4" w:space="0" w:color="auto"/>
            </w:tcBorders>
            <w:tcMar>
              <w:top w:w="29" w:type="dxa"/>
              <w:left w:w="86" w:type="dxa"/>
              <w:bottom w:w="29" w:type="dxa"/>
              <w:right w:w="86" w:type="dxa"/>
            </w:tcMar>
          </w:tcPr>
          <w:p w14:paraId="66BFB608" w14:textId="77777777" w:rsidR="00142165" w:rsidRPr="002B29DB" w:rsidRDefault="00142165" w:rsidP="00EE7E9D">
            <w:pPr>
              <w:pStyle w:val="TableStyle2"/>
              <w:rPr>
                <w:rFonts w:ascii="Calibri" w:hAnsi="Calibri" w:cs="Calibri"/>
                <w:b/>
                <w:bCs/>
                <w:sz w:val="19"/>
                <w:szCs w:val="19"/>
              </w:rPr>
            </w:pPr>
          </w:p>
        </w:tc>
        <w:tc>
          <w:tcPr>
            <w:tcW w:w="872" w:type="dxa"/>
            <w:tcBorders>
              <w:bottom w:val="single" w:sz="4" w:space="0" w:color="auto"/>
            </w:tcBorders>
            <w:tcMar>
              <w:top w:w="29" w:type="dxa"/>
              <w:left w:w="86" w:type="dxa"/>
              <w:bottom w:w="29" w:type="dxa"/>
              <w:right w:w="86" w:type="dxa"/>
            </w:tcMar>
          </w:tcPr>
          <w:p w14:paraId="63B73203" w14:textId="77777777" w:rsidR="00142165" w:rsidRPr="002B29DB" w:rsidRDefault="00142165" w:rsidP="00EE7E9D">
            <w:pPr>
              <w:pStyle w:val="TableStyle2"/>
              <w:jc w:val="center"/>
              <w:rPr>
                <w:rFonts w:ascii="Calibri" w:hAnsi="Calibri" w:cs="Calibri"/>
                <w:sz w:val="19"/>
                <w:szCs w:val="19"/>
              </w:rPr>
            </w:pPr>
          </w:p>
        </w:tc>
        <w:tc>
          <w:tcPr>
            <w:tcW w:w="7299" w:type="dxa"/>
            <w:tcBorders>
              <w:bottom w:val="single" w:sz="4" w:space="0" w:color="auto"/>
            </w:tcBorders>
            <w:tcMar>
              <w:top w:w="29" w:type="dxa"/>
              <w:left w:w="86" w:type="dxa"/>
              <w:bottom w:w="29" w:type="dxa"/>
              <w:right w:w="86" w:type="dxa"/>
            </w:tcMar>
          </w:tcPr>
          <w:p w14:paraId="06068685" w14:textId="77777777" w:rsidR="00142165" w:rsidRPr="00423682" w:rsidRDefault="00142165" w:rsidP="00EE7E9D">
            <w:pPr>
              <w:pStyle w:val="TableStyle2"/>
              <w:rPr>
                <w:rFonts w:ascii="Calibri" w:hAnsi="Calibri" w:cs="Calibri"/>
                <w:color w:val="FF0000"/>
                <w:sz w:val="19"/>
                <w:szCs w:val="19"/>
              </w:rPr>
            </w:pPr>
            <w:r>
              <w:rPr>
                <w:rFonts w:ascii="Calibri" w:hAnsi="Calibri" w:cs="Calibri"/>
                <w:color w:val="FF0000"/>
                <w:sz w:val="19"/>
                <w:szCs w:val="19"/>
              </w:rPr>
              <w:t>Requires custom coding, have assigned this to our consulting company @mire</w:t>
            </w:r>
          </w:p>
        </w:tc>
      </w:tr>
      <w:tr w:rsidR="00142165" w:rsidRPr="002B29DB" w14:paraId="478933E1" w14:textId="77777777" w:rsidTr="000E6075">
        <w:trPr>
          <w:trHeight w:val="273"/>
          <w:jc w:val="center"/>
        </w:trPr>
        <w:tc>
          <w:tcPr>
            <w:tcW w:w="1641" w:type="dxa"/>
            <w:tcBorders>
              <w:bottom w:val="single" w:sz="4" w:space="0" w:color="auto"/>
            </w:tcBorders>
            <w:shd w:val="clear" w:color="auto" w:fill="E6E6E6"/>
            <w:tcMar>
              <w:top w:w="29" w:type="dxa"/>
              <w:left w:w="86" w:type="dxa"/>
              <w:bottom w:w="29" w:type="dxa"/>
              <w:right w:w="86" w:type="dxa"/>
            </w:tcMar>
          </w:tcPr>
          <w:p w14:paraId="517DAD00"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7. </w:t>
            </w:r>
            <w:r w:rsidRPr="002B29DB">
              <w:rPr>
                <w:rFonts w:ascii="Calibri" w:hAnsi="Calibri" w:cs="Calibri"/>
                <w:b/>
                <w:bCs/>
                <w:sz w:val="19"/>
                <w:szCs w:val="19"/>
              </w:rPr>
              <w:t>Open Files in New Tab</w:t>
            </w:r>
          </w:p>
        </w:tc>
        <w:tc>
          <w:tcPr>
            <w:tcW w:w="872" w:type="dxa"/>
            <w:tcBorders>
              <w:bottom w:val="single" w:sz="4" w:space="0" w:color="auto"/>
            </w:tcBorders>
            <w:shd w:val="clear" w:color="auto" w:fill="E6E6E6"/>
            <w:tcMar>
              <w:top w:w="29" w:type="dxa"/>
              <w:left w:w="86" w:type="dxa"/>
              <w:bottom w:w="29" w:type="dxa"/>
              <w:right w:w="86" w:type="dxa"/>
            </w:tcMar>
          </w:tcPr>
          <w:p w14:paraId="5D62A86C"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Low</w:t>
            </w:r>
          </w:p>
        </w:tc>
        <w:tc>
          <w:tcPr>
            <w:tcW w:w="7299" w:type="dxa"/>
            <w:tcBorders>
              <w:bottom w:val="single" w:sz="4" w:space="0" w:color="auto"/>
            </w:tcBorders>
            <w:shd w:val="clear" w:color="auto" w:fill="E6E6E6"/>
            <w:tcMar>
              <w:top w:w="29" w:type="dxa"/>
              <w:left w:w="86" w:type="dxa"/>
              <w:bottom w:w="29" w:type="dxa"/>
              <w:right w:w="86" w:type="dxa"/>
            </w:tcMar>
          </w:tcPr>
          <w:p w14:paraId="2CE425C1" w14:textId="77777777" w:rsidR="00142165" w:rsidRPr="002B29DB" w:rsidRDefault="00142165" w:rsidP="00EE7E9D">
            <w:pPr>
              <w:pStyle w:val="TableStyle2"/>
              <w:rPr>
                <w:rFonts w:ascii="Calibri" w:hAnsi="Calibri" w:cs="Calibri"/>
                <w:sz w:val="19"/>
                <w:szCs w:val="19"/>
              </w:rPr>
            </w:pPr>
            <w:r w:rsidRPr="002B29DB">
              <w:rPr>
                <w:rFonts w:ascii="Calibri" w:hAnsi="Calibri" w:cs="Calibri"/>
                <w:sz w:val="19"/>
                <w:szCs w:val="19"/>
              </w:rPr>
              <w:t xml:space="preserve">It’s been suggested that SHAREOK items and submissions would be easier to navigate </w:t>
            </w:r>
            <w:proofErr w:type="gramStart"/>
            <w:r w:rsidRPr="002B29DB">
              <w:rPr>
                <w:rFonts w:ascii="Calibri" w:hAnsi="Calibri" w:cs="Calibri"/>
                <w:sz w:val="19"/>
                <w:szCs w:val="19"/>
              </w:rPr>
              <w:t>if .PDFs</w:t>
            </w:r>
            <w:proofErr w:type="gramEnd"/>
            <w:r w:rsidRPr="002B29DB">
              <w:rPr>
                <w:rFonts w:ascii="Calibri" w:hAnsi="Calibri" w:cs="Calibri"/>
                <w:sz w:val="19"/>
                <w:szCs w:val="19"/>
              </w:rPr>
              <w:t xml:space="preserve"> and other files that open in the web browser were targeted to a new window or tab, instead of opening in the current window/tab.</w:t>
            </w:r>
          </w:p>
        </w:tc>
      </w:tr>
      <w:tr w:rsidR="00142165" w:rsidRPr="003A6BA3" w14:paraId="6533D9C5" w14:textId="77777777" w:rsidTr="000E6075">
        <w:trPr>
          <w:trHeight w:val="273"/>
          <w:jc w:val="center"/>
        </w:trPr>
        <w:tc>
          <w:tcPr>
            <w:tcW w:w="1641" w:type="dxa"/>
            <w:tcBorders>
              <w:bottom w:val="single" w:sz="4" w:space="0" w:color="auto"/>
            </w:tcBorders>
            <w:shd w:val="clear" w:color="auto" w:fill="auto"/>
            <w:tcMar>
              <w:top w:w="29" w:type="dxa"/>
              <w:left w:w="86" w:type="dxa"/>
              <w:bottom w:w="29" w:type="dxa"/>
              <w:right w:w="86" w:type="dxa"/>
            </w:tcMar>
          </w:tcPr>
          <w:p w14:paraId="7598259D" w14:textId="77777777" w:rsidR="00142165" w:rsidRPr="002B29DB" w:rsidRDefault="00142165" w:rsidP="00EE7E9D">
            <w:pPr>
              <w:pStyle w:val="TableStyle2"/>
              <w:rPr>
                <w:rFonts w:ascii="Calibri" w:hAnsi="Calibri" w:cs="Calibri"/>
                <w:b/>
                <w:bCs/>
                <w:sz w:val="19"/>
                <w:szCs w:val="19"/>
              </w:rPr>
            </w:pPr>
          </w:p>
        </w:tc>
        <w:tc>
          <w:tcPr>
            <w:tcW w:w="872" w:type="dxa"/>
            <w:tcBorders>
              <w:bottom w:val="single" w:sz="4" w:space="0" w:color="auto"/>
            </w:tcBorders>
            <w:shd w:val="clear" w:color="auto" w:fill="auto"/>
            <w:tcMar>
              <w:top w:w="29" w:type="dxa"/>
              <w:left w:w="86" w:type="dxa"/>
              <w:bottom w:w="29" w:type="dxa"/>
              <w:right w:w="86" w:type="dxa"/>
            </w:tcMar>
          </w:tcPr>
          <w:p w14:paraId="68E7E0EF" w14:textId="77777777" w:rsidR="00142165" w:rsidRPr="002B29DB" w:rsidRDefault="00142165" w:rsidP="00EE7E9D">
            <w:pPr>
              <w:pStyle w:val="TableStyle2"/>
              <w:jc w:val="center"/>
              <w:rPr>
                <w:rFonts w:ascii="Calibri" w:hAnsi="Calibri" w:cs="Calibri"/>
                <w:sz w:val="19"/>
                <w:szCs w:val="19"/>
              </w:rPr>
            </w:pPr>
          </w:p>
        </w:tc>
        <w:tc>
          <w:tcPr>
            <w:tcW w:w="7299" w:type="dxa"/>
            <w:tcBorders>
              <w:bottom w:val="single" w:sz="4" w:space="0" w:color="auto"/>
            </w:tcBorders>
            <w:shd w:val="clear" w:color="auto" w:fill="auto"/>
            <w:tcMar>
              <w:top w:w="29" w:type="dxa"/>
              <w:left w:w="86" w:type="dxa"/>
              <w:bottom w:w="29" w:type="dxa"/>
              <w:right w:w="86" w:type="dxa"/>
            </w:tcMar>
          </w:tcPr>
          <w:p w14:paraId="22AD160E" w14:textId="158306DB" w:rsidR="00142165" w:rsidRPr="003A6BA3" w:rsidRDefault="000E6075" w:rsidP="00EE7E9D">
            <w:pPr>
              <w:pStyle w:val="TableStyle2"/>
              <w:rPr>
                <w:rFonts w:ascii="Calibri" w:hAnsi="Calibri" w:cs="Calibri"/>
                <w:color w:val="FF0000"/>
                <w:sz w:val="19"/>
                <w:szCs w:val="19"/>
              </w:rPr>
            </w:pPr>
            <w:r>
              <w:rPr>
                <w:rFonts w:ascii="Calibri" w:hAnsi="Calibri" w:cs="Calibri"/>
                <w:color w:val="FF0000"/>
                <w:sz w:val="19"/>
                <w:szCs w:val="19"/>
              </w:rPr>
              <w:t>Sara will discuss with colleagues, the new "Open in Document Viewer" functionality may negate the need for this.</w:t>
            </w:r>
          </w:p>
        </w:tc>
      </w:tr>
      <w:tr w:rsidR="00142165" w:rsidRPr="002B29DB" w14:paraId="71A7663D" w14:textId="77777777" w:rsidTr="000E6075">
        <w:trPr>
          <w:trHeight w:val="273"/>
          <w:jc w:val="center"/>
        </w:trPr>
        <w:tc>
          <w:tcPr>
            <w:tcW w:w="1641" w:type="dxa"/>
            <w:shd w:val="clear" w:color="auto" w:fill="E6E6E6"/>
            <w:tcMar>
              <w:top w:w="29" w:type="dxa"/>
              <w:left w:w="86" w:type="dxa"/>
              <w:bottom w:w="29" w:type="dxa"/>
              <w:right w:w="86" w:type="dxa"/>
            </w:tcMar>
          </w:tcPr>
          <w:p w14:paraId="11364DBC" w14:textId="77777777" w:rsidR="00142165" w:rsidRPr="002B29DB" w:rsidRDefault="00142165" w:rsidP="00EE7E9D">
            <w:pPr>
              <w:pStyle w:val="TableStyle2"/>
              <w:rPr>
                <w:rFonts w:ascii="Calibri" w:hAnsi="Calibri" w:cs="Calibri"/>
                <w:b/>
                <w:bCs/>
                <w:sz w:val="19"/>
                <w:szCs w:val="19"/>
              </w:rPr>
            </w:pPr>
            <w:r>
              <w:rPr>
                <w:rFonts w:ascii="Calibri" w:hAnsi="Calibri" w:cs="Calibri"/>
                <w:b/>
                <w:bCs/>
                <w:sz w:val="19"/>
                <w:szCs w:val="19"/>
              </w:rPr>
              <w:t xml:space="preserve">8. </w:t>
            </w:r>
            <w:r w:rsidRPr="002B29DB">
              <w:rPr>
                <w:rFonts w:ascii="Calibri" w:hAnsi="Calibri" w:cs="Calibri"/>
                <w:b/>
                <w:bCs/>
                <w:sz w:val="19"/>
                <w:szCs w:val="19"/>
              </w:rPr>
              <w:t>Refine Email Notifications for New Submissions</w:t>
            </w:r>
          </w:p>
        </w:tc>
        <w:tc>
          <w:tcPr>
            <w:tcW w:w="872" w:type="dxa"/>
            <w:shd w:val="clear" w:color="auto" w:fill="E6E6E6"/>
            <w:tcMar>
              <w:top w:w="29" w:type="dxa"/>
              <w:left w:w="86" w:type="dxa"/>
              <w:bottom w:w="29" w:type="dxa"/>
              <w:right w:w="86" w:type="dxa"/>
            </w:tcMar>
          </w:tcPr>
          <w:p w14:paraId="6B50DFBD" w14:textId="77777777" w:rsidR="00142165" w:rsidRPr="002B29DB" w:rsidRDefault="00142165" w:rsidP="00EE7E9D">
            <w:pPr>
              <w:pStyle w:val="TableStyle2"/>
              <w:jc w:val="center"/>
              <w:rPr>
                <w:rFonts w:ascii="Calibri" w:hAnsi="Calibri" w:cs="Calibri"/>
                <w:sz w:val="19"/>
                <w:szCs w:val="19"/>
              </w:rPr>
            </w:pPr>
            <w:r w:rsidRPr="002B29DB">
              <w:rPr>
                <w:rFonts w:ascii="Calibri" w:hAnsi="Calibri" w:cs="Calibri"/>
                <w:sz w:val="19"/>
                <w:szCs w:val="19"/>
              </w:rPr>
              <w:t>Low</w:t>
            </w:r>
          </w:p>
        </w:tc>
        <w:tc>
          <w:tcPr>
            <w:tcW w:w="7299" w:type="dxa"/>
            <w:shd w:val="clear" w:color="auto" w:fill="E6E6E6"/>
            <w:tcMar>
              <w:top w:w="29" w:type="dxa"/>
              <w:left w:w="86" w:type="dxa"/>
              <w:bottom w:w="29" w:type="dxa"/>
              <w:right w:w="86" w:type="dxa"/>
            </w:tcMar>
          </w:tcPr>
          <w:p w14:paraId="18A44994" w14:textId="77777777" w:rsidR="00142165" w:rsidRPr="002B29DB" w:rsidRDefault="00142165" w:rsidP="00EE7E9D">
            <w:pPr>
              <w:pStyle w:val="TableStyle2"/>
              <w:rPr>
                <w:rFonts w:ascii="Calibri" w:hAnsi="Calibri" w:cs="Calibri"/>
                <w:sz w:val="19"/>
                <w:szCs w:val="19"/>
              </w:rPr>
            </w:pPr>
            <w:r w:rsidRPr="002B29DB">
              <w:rPr>
                <w:rFonts w:ascii="Calibri" w:hAnsi="Calibri" w:cs="Calibri"/>
                <w:sz w:val="19"/>
                <w:szCs w:val="19"/>
              </w:rPr>
              <w:t>We would like for the Grad College Dissertation Approvers list (</w:t>
            </w:r>
            <w:hyperlink r:id="rId15" w:history="1">
              <w:r w:rsidRPr="002B29DB">
                <w:rPr>
                  <w:rStyle w:val="Hyperlink"/>
                  <w:rFonts w:ascii="Calibri" w:hAnsi="Calibri" w:cs="Calibri"/>
                  <w:sz w:val="19"/>
                  <w:szCs w:val="19"/>
                </w:rPr>
                <w:t>shareok-dissertation@ou.edu</w:t>
              </w:r>
            </w:hyperlink>
            <w:r w:rsidRPr="002B29DB">
              <w:rPr>
                <w:rFonts w:ascii="Calibri" w:hAnsi="Calibri" w:cs="Calibri"/>
                <w:sz w:val="19"/>
                <w:szCs w:val="19"/>
              </w:rPr>
              <w:t>) to only receive notification emails for dissertations submitted, as opposed to other open access publications.</w:t>
            </w:r>
          </w:p>
        </w:tc>
      </w:tr>
      <w:tr w:rsidR="00142165" w:rsidRPr="002B29DB" w14:paraId="576E8D18" w14:textId="77777777" w:rsidTr="000E6075">
        <w:trPr>
          <w:trHeight w:val="273"/>
          <w:jc w:val="center"/>
        </w:trPr>
        <w:tc>
          <w:tcPr>
            <w:tcW w:w="1641" w:type="dxa"/>
            <w:tcBorders>
              <w:bottom w:val="single" w:sz="4" w:space="0" w:color="auto"/>
            </w:tcBorders>
            <w:tcMar>
              <w:top w:w="29" w:type="dxa"/>
              <w:left w:w="86" w:type="dxa"/>
              <w:bottom w:w="29" w:type="dxa"/>
              <w:right w:w="86" w:type="dxa"/>
            </w:tcMar>
          </w:tcPr>
          <w:p w14:paraId="3E0A2A32" w14:textId="77777777" w:rsidR="00142165" w:rsidRPr="002B29DB" w:rsidRDefault="00142165" w:rsidP="00EE7E9D">
            <w:pPr>
              <w:pStyle w:val="TableStyle2"/>
              <w:rPr>
                <w:rFonts w:ascii="Calibri" w:hAnsi="Calibri" w:cs="Calibri"/>
                <w:b/>
                <w:bCs/>
                <w:strike/>
                <w:sz w:val="19"/>
                <w:szCs w:val="19"/>
              </w:rPr>
            </w:pPr>
          </w:p>
        </w:tc>
        <w:tc>
          <w:tcPr>
            <w:tcW w:w="872" w:type="dxa"/>
            <w:tcBorders>
              <w:bottom w:val="single" w:sz="4" w:space="0" w:color="auto"/>
            </w:tcBorders>
            <w:tcMar>
              <w:top w:w="29" w:type="dxa"/>
              <w:left w:w="86" w:type="dxa"/>
              <w:bottom w:w="29" w:type="dxa"/>
              <w:right w:w="86" w:type="dxa"/>
            </w:tcMar>
          </w:tcPr>
          <w:p w14:paraId="270199B5" w14:textId="77777777" w:rsidR="00142165" w:rsidRPr="002B29DB" w:rsidRDefault="00142165" w:rsidP="00EE7E9D">
            <w:pPr>
              <w:pStyle w:val="TableStyle2"/>
              <w:jc w:val="center"/>
              <w:rPr>
                <w:rFonts w:ascii="Calibri" w:hAnsi="Calibri" w:cs="Calibri"/>
                <w:strike/>
                <w:sz w:val="19"/>
                <w:szCs w:val="19"/>
              </w:rPr>
            </w:pPr>
          </w:p>
        </w:tc>
        <w:tc>
          <w:tcPr>
            <w:tcW w:w="7299" w:type="dxa"/>
            <w:tcBorders>
              <w:bottom w:val="single" w:sz="4" w:space="0" w:color="auto"/>
            </w:tcBorders>
            <w:tcMar>
              <w:top w:w="29" w:type="dxa"/>
              <w:left w:w="86" w:type="dxa"/>
              <w:bottom w:w="29" w:type="dxa"/>
              <w:right w:w="86" w:type="dxa"/>
            </w:tcMar>
          </w:tcPr>
          <w:p w14:paraId="03726A8E" w14:textId="77777777" w:rsidR="00142165" w:rsidRPr="002B29DB" w:rsidRDefault="00142165" w:rsidP="00EE7E9D">
            <w:pPr>
              <w:pStyle w:val="TableStyle2"/>
              <w:rPr>
                <w:rFonts w:ascii="Calibri" w:hAnsi="Calibri" w:cs="Calibri"/>
                <w:color w:val="FF0000"/>
                <w:sz w:val="19"/>
                <w:szCs w:val="19"/>
              </w:rPr>
            </w:pPr>
            <w:r>
              <w:rPr>
                <w:rFonts w:ascii="Calibri" w:hAnsi="Calibri" w:cs="Calibri"/>
                <w:color w:val="FF0000"/>
                <w:sz w:val="19"/>
                <w:szCs w:val="19"/>
              </w:rPr>
              <w:t>Complete</w:t>
            </w:r>
          </w:p>
        </w:tc>
      </w:tr>
    </w:tbl>
    <w:p w14:paraId="30C8259C" w14:textId="77777777" w:rsidR="00CE5894" w:rsidRDefault="00CE5894">
      <w:pPr>
        <w:pStyle w:val="Body"/>
      </w:pPr>
    </w:p>
    <w:sectPr w:rsidR="00CE5894">
      <w:head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F77ED" w14:textId="77777777" w:rsidR="001E1B15" w:rsidRDefault="001E1B15">
      <w:r>
        <w:separator/>
      </w:r>
    </w:p>
  </w:endnote>
  <w:endnote w:type="continuationSeparator" w:id="0">
    <w:p w14:paraId="1A2312B1" w14:textId="77777777" w:rsidR="001E1B15" w:rsidRDefault="001E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AA5D2" w14:textId="77777777" w:rsidR="001E1B15" w:rsidRDefault="001E1B15">
      <w:r>
        <w:separator/>
      </w:r>
    </w:p>
  </w:footnote>
  <w:footnote w:type="continuationSeparator" w:id="0">
    <w:p w14:paraId="2ACFD635" w14:textId="77777777" w:rsidR="001E1B15" w:rsidRDefault="001E1B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E85BC" w14:textId="77777777" w:rsidR="001E1B15" w:rsidRDefault="001E1B15">
    <w:pPr>
      <w:pStyle w:val="HeaderFooter"/>
      <w:tabs>
        <w:tab w:val="clear" w:pos="9020"/>
        <w:tab w:val="center" w:pos="4680"/>
        <w:tab w:val="right" w:pos="9360"/>
      </w:tabs>
      <w:rPr>
        <w:b/>
        <w:bCs/>
      </w:rPr>
    </w:pPr>
    <w:r>
      <w:rPr>
        <w:b/>
        <w:bCs/>
      </w:rPr>
      <w:tab/>
      <w:t>SHAREOK - Graduate College Projects</w:t>
    </w:r>
  </w:p>
  <w:p w14:paraId="100D3A24" w14:textId="77777777" w:rsidR="001E1B15" w:rsidRDefault="001E1B15">
    <w:pPr>
      <w:pStyle w:val="HeaderFooter"/>
      <w:tabs>
        <w:tab w:val="clear" w:pos="9020"/>
        <w:tab w:val="center" w:pos="4680"/>
        <w:tab w:val="right" w:pos="9360"/>
      </w:tabs>
      <w:rPr>
        <w:b/>
        <w:bCs/>
      </w:rPr>
    </w:pPr>
    <w:r>
      <w:rPr>
        <w:b/>
        <w:bCs/>
      </w:rPr>
      <w:tab/>
      <w:t>10-10-2014 Meeting</w:t>
    </w:r>
  </w:p>
  <w:p w14:paraId="6B870D1F" w14:textId="77777777" w:rsidR="001E1B15" w:rsidRDefault="001E1B15">
    <w:pPr>
      <w:pStyle w:val="HeaderFooter"/>
      <w:tabs>
        <w:tab w:val="clear" w:pos="902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863"/>
    <w:multiLevelType w:val="hybridMultilevel"/>
    <w:tmpl w:val="DF5A2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42102E"/>
    <w:multiLevelType w:val="multilevel"/>
    <w:tmpl w:val="AC7231BA"/>
    <w:styleLink w:val="Bullet"/>
    <w:lvl w:ilvl="0">
      <w:start w:val="1"/>
      <w:numFmt w:val="bullet"/>
      <w:lvlText w:val="•"/>
      <w:lvlJc w:val="left"/>
      <w:pPr>
        <w:tabs>
          <w:tab w:val="num" w:pos="180"/>
        </w:tabs>
        <w:ind w:left="180" w:hanging="180"/>
      </w:pPr>
      <w:rPr>
        <w:color w:val="AD1915"/>
        <w:position w:val="-2"/>
      </w:rPr>
    </w:lvl>
    <w:lvl w:ilvl="1">
      <w:start w:val="1"/>
      <w:numFmt w:val="bullet"/>
      <w:lvlText w:val="•"/>
      <w:lvlJc w:val="left"/>
      <w:pPr>
        <w:tabs>
          <w:tab w:val="num" w:pos="360"/>
        </w:tabs>
        <w:ind w:left="360" w:hanging="180"/>
      </w:pPr>
      <w:rPr>
        <w:color w:val="AD1915"/>
        <w:position w:val="-2"/>
      </w:rPr>
    </w:lvl>
    <w:lvl w:ilvl="2">
      <w:start w:val="1"/>
      <w:numFmt w:val="bullet"/>
      <w:lvlText w:val="•"/>
      <w:lvlJc w:val="left"/>
      <w:pPr>
        <w:tabs>
          <w:tab w:val="num" w:pos="540"/>
        </w:tabs>
        <w:ind w:left="540" w:hanging="180"/>
      </w:pPr>
      <w:rPr>
        <w:color w:val="AD1915"/>
        <w:position w:val="-2"/>
      </w:rPr>
    </w:lvl>
    <w:lvl w:ilvl="3">
      <w:start w:val="1"/>
      <w:numFmt w:val="bullet"/>
      <w:lvlText w:val="•"/>
      <w:lvlJc w:val="left"/>
      <w:pPr>
        <w:tabs>
          <w:tab w:val="num" w:pos="720"/>
        </w:tabs>
        <w:ind w:left="720" w:hanging="180"/>
      </w:pPr>
      <w:rPr>
        <w:color w:val="AD1915"/>
        <w:position w:val="-2"/>
      </w:rPr>
    </w:lvl>
    <w:lvl w:ilvl="4">
      <w:start w:val="1"/>
      <w:numFmt w:val="bullet"/>
      <w:lvlText w:val="•"/>
      <w:lvlJc w:val="left"/>
      <w:pPr>
        <w:tabs>
          <w:tab w:val="num" w:pos="900"/>
        </w:tabs>
        <w:ind w:left="900" w:hanging="180"/>
      </w:pPr>
      <w:rPr>
        <w:color w:val="AD1915"/>
        <w:position w:val="-2"/>
      </w:rPr>
    </w:lvl>
    <w:lvl w:ilvl="5">
      <w:start w:val="1"/>
      <w:numFmt w:val="bullet"/>
      <w:lvlText w:val="•"/>
      <w:lvlJc w:val="left"/>
      <w:pPr>
        <w:tabs>
          <w:tab w:val="num" w:pos="1080"/>
        </w:tabs>
        <w:ind w:left="1080" w:hanging="180"/>
      </w:pPr>
      <w:rPr>
        <w:color w:val="AD1915"/>
        <w:position w:val="-2"/>
      </w:rPr>
    </w:lvl>
    <w:lvl w:ilvl="6">
      <w:start w:val="1"/>
      <w:numFmt w:val="bullet"/>
      <w:lvlText w:val="•"/>
      <w:lvlJc w:val="left"/>
      <w:pPr>
        <w:tabs>
          <w:tab w:val="num" w:pos="1260"/>
        </w:tabs>
        <w:ind w:left="1260" w:hanging="180"/>
      </w:pPr>
      <w:rPr>
        <w:color w:val="AD1915"/>
        <w:position w:val="-2"/>
      </w:rPr>
    </w:lvl>
    <w:lvl w:ilvl="7">
      <w:start w:val="1"/>
      <w:numFmt w:val="bullet"/>
      <w:lvlText w:val="•"/>
      <w:lvlJc w:val="left"/>
      <w:pPr>
        <w:tabs>
          <w:tab w:val="num" w:pos="1440"/>
        </w:tabs>
        <w:ind w:left="1440" w:hanging="180"/>
      </w:pPr>
      <w:rPr>
        <w:color w:val="AD1915"/>
        <w:position w:val="-2"/>
      </w:rPr>
    </w:lvl>
    <w:lvl w:ilvl="8">
      <w:start w:val="1"/>
      <w:numFmt w:val="bullet"/>
      <w:lvlText w:val="•"/>
      <w:lvlJc w:val="left"/>
      <w:pPr>
        <w:tabs>
          <w:tab w:val="num" w:pos="1620"/>
        </w:tabs>
        <w:ind w:left="1620" w:hanging="180"/>
      </w:pPr>
      <w:rPr>
        <w:color w:val="AD1915"/>
        <w:position w:val="-2"/>
      </w:rPr>
    </w:lvl>
  </w:abstractNum>
  <w:abstractNum w:abstractNumId="2">
    <w:nsid w:val="23231E22"/>
    <w:multiLevelType w:val="multilevel"/>
    <w:tmpl w:val="8744A9F2"/>
    <w:lvl w:ilvl="0">
      <w:start w:val="1"/>
      <w:numFmt w:val="bullet"/>
      <w:lvlText w:val="•"/>
      <w:lvlJc w:val="left"/>
      <w:pPr>
        <w:tabs>
          <w:tab w:val="num" w:pos="180"/>
        </w:tabs>
        <w:ind w:left="180" w:hanging="180"/>
      </w:pPr>
      <w:rPr>
        <w:color w:val="AD1915"/>
        <w:position w:val="-2"/>
      </w:rPr>
    </w:lvl>
    <w:lvl w:ilvl="1">
      <w:start w:val="1"/>
      <w:numFmt w:val="bullet"/>
      <w:lvlText w:val="•"/>
      <w:lvlJc w:val="left"/>
      <w:pPr>
        <w:tabs>
          <w:tab w:val="num" w:pos="360"/>
        </w:tabs>
        <w:ind w:left="360" w:hanging="180"/>
      </w:pPr>
      <w:rPr>
        <w:color w:val="AD1915"/>
        <w:position w:val="-2"/>
      </w:rPr>
    </w:lvl>
    <w:lvl w:ilvl="2">
      <w:start w:val="1"/>
      <w:numFmt w:val="bullet"/>
      <w:lvlText w:val="•"/>
      <w:lvlJc w:val="left"/>
      <w:pPr>
        <w:tabs>
          <w:tab w:val="num" w:pos="540"/>
        </w:tabs>
        <w:ind w:left="540" w:hanging="180"/>
      </w:pPr>
      <w:rPr>
        <w:color w:val="AD1915"/>
        <w:position w:val="-2"/>
      </w:rPr>
    </w:lvl>
    <w:lvl w:ilvl="3">
      <w:start w:val="1"/>
      <w:numFmt w:val="bullet"/>
      <w:lvlText w:val="•"/>
      <w:lvlJc w:val="left"/>
      <w:pPr>
        <w:tabs>
          <w:tab w:val="num" w:pos="720"/>
        </w:tabs>
        <w:ind w:left="720" w:hanging="180"/>
      </w:pPr>
      <w:rPr>
        <w:color w:val="AD1915"/>
        <w:position w:val="-2"/>
      </w:rPr>
    </w:lvl>
    <w:lvl w:ilvl="4">
      <w:start w:val="1"/>
      <w:numFmt w:val="bullet"/>
      <w:lvlText w:val="•"/>
      <w:lvlJc w:val="left"/>
      <w:pPr>
        <w:tabs>
          <w:tab w:val="num" w:pos="900"/>
        </w:tabs>
        <w:ind w:left="900" w:hanging="180"/>
      </w:pPr>
      <w:rPr>
        <w:color w:val="AD1915"/>
        <w:position w:val="-2"/>
      </w:rPr>
    </w:lvl>
    <w:lvl w:ilvl="5">
      <w:start w:val="1"/>
      <w:numFmt w:val="bullet"/>
      <w:lvlText w:val="•"/>
      <w:lvlJc w:val="left"/>
      <w:pPr>
        <w:tabs>
          <w:tab w:val="num" w:pos="1080"/>
        </w:tabs>
        <w:ind w:left="1080" w:hanging="180"/>
      </w:pPr>
      <w:rPr>
        <w:color w:val="AD1915"/>
        <w:position w:val="-2"/>
      </w:rPr>
    </w:lvl>
    <w:lvl w:ilvl="6">
      <w:start w:val="1"/>
      <w:numFmt w:val="bullet"/>
      <w:lvlText w:val="•"/>
      <w:lvlJc w:val="left"/>
      <w:pPr>
        <w:tabs>
          <w:tab w:val="num" w:pos="1260"/>
        </w:tabs>
        <w:ind w:left="1260" w:hanging="180"/>
      </w:pPr>
      <w:rPr>
        <w:color w:val="AD1915"/>
        <w:position w:val="-2"/>
      </w:rPr>
    </w:lvl>
    <w:lvl w:ilvl="7">
      <w:start w:val="1"/>
      <w:numFmt w:val="bullet"/>
      <w:lvlText w:val="•"/>
      <w:lvlJc w:val="left"/>
      <w:pPr>
        <w:tabs>
          <w:tab w:val="num" w:pos="1440"/>
        </w:tabs>
        <w:ind w:left="1440" w:hanging="180"/>
      </w:pPr>
      <w:rPr>
        <w:color w:val="AD1915"/>
        <w:position w:val="-2"/>
      </w:rPr>
    </w:lvl>
    <w:lvl w:ilvl="8">
      <w:start w:val="1"/>
      <w:numFmt w:val="bullet"/>
      <w:lvlText w:val="•"/>
      <w:lvlJc w:val="left"/>
      <w:pPr>
        <w:tabs>
          <w:tab w:val="num" w:pos="1620"/>
        </w:tabs>
        <w:ind w:left="1620" w:hanging="180"/>
      </w:pPr>
      <w:rPr>
        <w:color w:val="AD1915"/>
        <w:position w:val="-2"/>
      </w:rPr>
    </w:lvl>
  </w:abstractNum>
  <w:abstractNum w:abstractNumId="3">
    <w:nsid w:val="3C2C194B"/>
    <w:multiLevelType w:val="multilevel"/>
    <w:tmpl w:val="EB2817F2"/>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4E6E1E7C"/>
    <w:multiLevelType w:val="hybridMultilevel"/>
    <w:tmpl w:val="7AEC2C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E489D"/>
    <w:multiLevelType w:val="multilevel"/>
    <w:tmpl w:val="F78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1B504D"/>
    <w:multiLevelType w:val="multilevel"/>
    <w:tmpl w:val="9D4ABE0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6E68"/>
    <w:rsid w:val="000803B7"/>
    <w:rsid w:val="000E6075"/>
    <w:rsid w:val="0010272A"/>
    <w:rsid w:val="00142165"/>
    <w:rsid w:val="001E1B15"/>
    <w:rsid w:val="00261FD4"/>
    <w:rsid w:val="002D6B15"/>
    <w:rsid w:val="00583133"/>
    <w:rsid w:val="0077095A"/>
    <w:rsid w:val="00841850"/>
    <w:rsid w:val="009C6440"/>
    <w:rsid w:val="00A96153"/>
    <w:rsid w:val="00AD3C22"/>
    <w:rsid w:val="00BA238F"/>
    <w:rsid w:val="00BA6E68"/>
    <w:rsid w:val="00C97B62"/>
    <w:rsid w:val="00CE5894"/>
    <w:rsid w:val="00D31BFD"/>
    <w:rsid w:val="00E02F69"/>
    <w:rsid w:val="00EE7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C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numbering" w:customStyle="1" w:styleId="Bullet">
    <w:name w:val="Bullet"/>
    <w:pPr>
      <w:numPr>
        <w:numId w:val="4"/>
      </w:numPr>
    </w:pPr>
  </w:style>
  <w:style w:type="character" w:customStyle="1" w:styleId="Hyperlink0">
    <w:name w:val="Hyperlink.0"/>
    <w:basedOn w:val="Hyperlink"/>
    <w:rPr>
      <w:u w:val="single"/>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0803B7"/>
    <w:pPr>
      <w:tabs>
        <w:tab w:val="center" w:pos="4320"/>
        <w:tab w:val="right" w:pos="8640"/>
      </w:tabs>
    </w:pPr>
  </w:style>
  <w:style w:type="character" w:customStyle="1" w:styleId="HeaderChar">
    <w:name w:val="Header Char"/>
    <w:basedOn w:val="DefaultParagraphFont"/>
    <w:link w:val="Header"/>
    <w:uiPriority w:val="99"/>
    <w:rsid w:val="000803B7"/>
    <w:rPr>
      <w:sz w:val="24"/>
      <w:szCs w:val="24"/>
    </w:rPr>
  </w:style>
  <w:style w:type="paragraph" w:styleId="Footer">
    <w:name w:val="footer"/>
    <w:basedOn w:val="Normal"/>
    <w:link w:val="FooterChar"/>
    <w:uiPriority w:val="99"/>
    <w:unhideWhenUsed/>
    <w:rsid w:val="000803B7"/>
    <w:pPr>
      <w:tabs>
        <w:tab w:val="center" w:pos="4320"/>
        <w:tab w:val="right" w:pos="8640"/>
      </w:tabs>
    </w:pPr>
  </w:style>
  <w:style w:type="character" w:customStyle="1" w:styleId="FooterChar">
    <w:name w:val="Footer Char"/>
    <w:basedOn w:val="DefaultParagraphFont"/>
    <w:link w:val="Footer"/>
    <w:uiPriority w:val="99"/>
    <w:rsid w:val="000803B7"/>
    <w:rPr>
      <w:sz w:val="24"/>
      <w:szCs w:val="24"/>
    </w:rPr>
  </w:style>
  <w:style w:type="paragraph" w:styleId="NormalWeb">
    <w:name w:val="Normal (Web)"/>
    <w:basedOn w:val="Normal"/>
    <w:uiPriority w:val="99"/>
    <w:semiHidden/>
    <w:unhideWhenUsed/>
    <w:rsid w:val="0014216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numbering" w:customStyle="1" w:styleId="Bullet">
    <w:name w:val="Bullet"/>
    <w:pPr>
      <w:numPr>
        <w:numId w:val="4"/>
      </w:numPr>
    </w:pPr>
  </w:style>
  <w:style w:type="character" w:customStyle="1" w:styleId="Hyperlink0">
    <w:name w:val="Hyperlink.0"/>
    <w:basedOn w:val="Hyperlink"/>
    <w:rPr>
      <w:u w:val="single"/>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0803B7"/>
    <w:pPr>
      <w:tabs>
        <w:tab w:val="center" w:pos="4320"/>
        <w:tab w:val="right" w:pos="8640"/>
      </w:tabs>
    </w:pPr>
  </w:style>
  <w:style w:type="character" w:customStyle="1" w:styleId="HeaderChar">
    <w:name w:val="Header Char"/>
    <w:basedOn w:val="DefaultParagraphFont"/>
    <w:link w:val="Header"/>
    <w:uiPriority w:val="99"/>
    <w:rsid w:val="000803B7"/>
    <w:rPr>
      <w:sz w:val="24"/>
      <w:szCs w:val="24"/>
    </w:rPr>
  </w:style>
  <w:style w:type="paragraph" w:styleId="Footer">
    <w:name w:val="footer"/>
    <w:basedOn w:val="Normal"/>
    <w:link w:val="FooterChar"/>
    <w:uiPriority w:val="99"/>
    <w:unhideWhenUsed/>
    <w:rsid w:val="000803B7"/>
    <w:pPr>
      <w:tabs>
        <w:tab w:val="center" w:pos="4320"/>
        <w:tab w:val="right" w:pos="8640"/>
      </w:tabs>
    </w:pPr>
  </w:style>
  <w:style w:type="character" w:customStyle="1" w:styleId="FooterChar">
    <w:name w:val="Footer Char"/>
    <w:basedOn w:val="DefaultParagraphFont"/>
    <w:link w:val="Footer"/>
    <w:uiPriority w:val="99"/>
    <w:rsid w:val="000803B7"/>
    <w:rPr>
      <w:sz w:val="24"/>
      <w:szCs w:val="24"/>
    </w:rPr>
  </w:style>
  <w:style w:type="paragraph" w:styleId="NormalWeb">
    <w:name w:val="Normal (Web)"/>
    <w:basedOn w:val="Normal"/>
    <w:uiPriority w:val="99"/>
    <w:semiHidden/>
    <w:unhideWhenUsed/>
    <w:rsid w:val="0014216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areok-dissertation@ou.edu" TargetMode="External"/><Relationship Id="rId12" Type="http://schemas.openxmlformats.org/officeDocument/2006/relationships/hyperlink" Target="mailto:saravaughan@ou.edu" TargetMode="External"/><Relationship Id="rId13" Type="http://schemas.openxmlformats.org/officeDocument/2006/relationships/hyperlink" Target="mailto:kglenn@ou.edu" TargetMode="External"/><Relationship Id="rId14" Type="http://schemas.openxmlformats.org/officeDocument/2006/relationships/hyperlink" Target="http://www.ou.edu/content/dam/gradweb/documents/Forms_and_packets/Doctoral/DissertationPacket.pdf" TargetMode="External"/><Relationship Id="rId15" Type="http://schemas.openxmlformats.org/officeDocument/2006/relationships/hyperlink" Target="mailto:shareok-dissertation@ou.edu"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hareok.org/handle/11244/7902?show=full" TargetMode="External"/><Relationship Id="rId9" Type="http://schemas.openxmlformats.org/officeDocument/2006/relationships/hyperlink" Target="https://shareok.org/handle/11244/110" TargetMode="External"/><Relationship Id="rId10" Type="http://schemas.openxmlformats.org/officeDocument/2006/relationships/hyperlink" Target="mailto:shareok-dissertation@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1477</Words>
  <Characters>8422</Characters>
  <Application>Microsoft Macintosh Word</Application>
  <DocSecurity>0</DocSecurity>
  <Lines>70</Lines>
  <Paragraphs>19</Paragraphs>
  <ScaleCrop>false</ScaleCrop>
  <Company>The University of Oklahoma</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Tao Zhao</cp:lastModifiedBy>
  <cp:revision>2</cp:revision>
  <dcterms:created xsi:type="dcterms:W3CDTF">2015-06-19T20:36:00Z</dcterms:created>
  <dcterms:modified xsi:type="dcterms:W3CDTF">2015-06-19T20:36:00Z</dcterms:modified>
</cp:coreProperties>
</file>