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EA3041" w:rsidRP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  <w:r w:rsidR="002B5532">
        <w:rPr>
          <w:rFonts w:asciiTheme="minorHAnsi" w:hAnsiTheme="minorHAnsi"/>
          <w:b/>
          <w:sz w:val="96"/>
          <w:szCs w:val="96"/>
        </w:rPr>
        <w:t xml:space="preserve"> EXPOSICION AL </w:t>
      </w:r>
      <w:r w:rsidR="002B5532" w:rsidRPr="002B5532">
        <w:rPr>
          <w:rFonts w:asciiTheme="minorHAnsi" w:hAnsiTheme="minorHAnsi"/>
          <w:b/>
          <w:sz w:val="96"/>
          <w:szCs w:val="96"/>
        </w:rPr>
        <w:t>RIESGO</w:t>
      </w: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D86388" w:rsidRDefault="00D86388" w:rsidP="00EA3041">
      <w:pPr>
        <w:jc w:val="center"/>
        <w:rPr>
          <w:rFonts w:asciiTheme="minorHAnsi" w:hAnsiTheme="minorHAnsi"/>
          <w:b/>
          <w:sz w:val="44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D86388" w:rsidRPr="00D86388" w:rsidTr="00D86388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388" w:rsidRPr="00D86388" w:rsidRDefault="00D86388" w:rsidP="00D863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D86388" w:rsidRPr="00D86388" w:rsidTr="00D86388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388" w:rsidRPr="00D86388" w:rsidRDefault="00D86388" w:rsidP="00D863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6388" w:rsidRPr="00DB3632" w:rsidRDefault="00D86388" w:rsidP="00EA3041">
      <w:pPr>
        <w:jc w:val="center"/>
        <w:rPr>
          <w:rFonts w:asciiTheme="minorHAnsi" w:hAnsiTheme="minorHAnsi"/>
          <w:b/>
          <w:sz w:val="44"/>
        </w:rPr>
      </w:pPr>
    </w:p>
    <w:p w:rsidR="00EA3041" w:rsidRDefault="00EA3041" w:rsidP="00EA3041">
      <w:pPr>
        <w:rPr>
          <w:rFonts w:asciiTheme="minorHAnsi" w:hAnsiTheme="minorHAnsi"/>
        </w:rPr>
      </w:pPr>
    </w:p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D86388" w:rsidRDefault="00D86388"/>
    <w:p w:rsidR="00601134" w:rsidRDefault="00601134"/>
    <w:p w:rsidR="00601134" w:rsidRDefault="00601134"/>
    <w:p w:rsidR="00601134" w:rsidRDefault="00601134"/>
    <w:p w:rsidR="00601134" w:rsidRDefault="00601134"/>
    <w:p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2B55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</w:t>
            </w:r>
            <w:r w:rsidR="00D86388">
              <w:rPr>
                <w:rFonts w:ascii="Calibri" w:eastAsia="Calibri" w:hAnsi="Calibri"/>
                <w:b/>
                <w:sz w:val="28"/>
              </w:rPr>
              <w:t>M</w:t>
            </w:r>
            <w:r w:rsidR="002B5532">
              <w:rPr>
                <w:rFonts w:ascii="Calibri" w:eastAsia="Calibri" w:hAnsi="Calibri"/>
                <w:b/>
                <w:sz w:val="28"/>
              </w:rPr>
              <w:t>EXRI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</w:t>
            </w:r>
            <w:r w:rsidR="002B5532" w:rsidRPr="008B07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Ficha de métricas de </w:t>
            </w:r>
            <w:r w:rsidR="002B55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Exposición al Riesgo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PP-PMC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D86388" w:rsidP="002B553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de </w:t>
            </w:r>
            <w:r w:rsidR="002B5532">
              <w:rPr>
                <w:rFonts w:asciiTheme="minorHAnsi" w:hAnsiTheme="minorHAnsi" w:cs="Arial"/>
                <w:color w:val="000000"/>
                <w:lang w:val="es-MX"/>
              </w:rPr>
              <w:t>Exposición al Riesgo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>-- FM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ICIC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2B553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2B5532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resultado de exposición total al riesgo</w:t>
            </w:r>
            <w:r w:rsidR="00D8638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</w:t>
            </w:r>
            <w:r w:rsidR="002B5532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los registros de riesgos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D86388" w:rsidP="002B553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Obtener resultados</w:t>
            </w:r>
            <w:r w:rsidR="002B5532">
              <w:rPr>
                <w:rFonts w:asciiTheme="minorHAnsi" w:hAnsiTheme="minorHAnsi" w:cstheme="minorHAnsi"/>
              </w:rPr>
              <w:t xml:space="preserve"> de exposición total al riesgo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  <w:p w:rsidR="00AC27E6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EXRIT=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#PROMSEV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4.5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2B5532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EXRIT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2B5532" w:rsidP="00A8671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Resultado de Exposición total al riesgo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A8671D" w:rsidP="002B5532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#PROMSEV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2B5532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severidad</w:t>
                  </w:r>
                </w:p>
              </w:tc>
            </w:tr>
          </w:tbl>
          <w:p w:rsidR="006063AF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2B5532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METAS Y UMBRALES</w:t>
            </w:r>
          </w:p>
        </w:tc>
        <w:tc>
          <w:tcPr>
            <w:tcW w:w="7088" w:type="dxa"/>
          </w:tcPr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 Métrica se miden en Porcentajes:</w:t>
            </w:r>
          </w:p>
          <w:tbl>
            <w:tblPr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2B5532" w:rsidRPr="002B5532" w:rsidTr="002B5532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2B5532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2B5532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2B5532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2B5532" w:rsidRPr="002B5532" w:rsidTr="002B5532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5%</w:t>
                  </w:r>
                </w:p>
              </w:tc>
            </w:tr>
            <w:tr w:rsidR="002B5532" w:rsidRPr="002B5532" w:rsidTr="002B5532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20%</w:t>
                  </w:r>
                </w:p>
              </w:tc>
            </w:tr>
            <w:tr w:rsidR="002B5532" w:rsidRPr="002B5532" w:rsidTr="002B5532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2B5532" w:rsidRPr="002B5532" w:rsidRDefault="002B5532" w:rsidP="002B5532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B553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100%</w:t>
                  </w:r>
                </w:p>
              </w:tc>
            </w:tr>
          </w:tbl>
          <w:p w:rsidR="00A363BF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  <w:p w:rsidR="003F3FE3" w:rsidRPr="00C03710" w:rsidRDefault="003F3FE3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3F3FE3" w:rsidRDefault="003F3FE3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</w:p>
          <w:p w:rsidR="00EA3041" w:rsidRPr="00C03710" w:rsidRDefault="002B553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Promedio de severidad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674A2E" w:rsidRDefault="003469F6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2B5532" w:rsidRPr="002B5532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 xml:space="preserve">https://github.com/Aspersoft/Documentacion/blob/master/PP-PMC/REGRI_V1.0_2017.xls </w:t>
              </w:r>
            </w:hyperlink>
          </w:p>
          <w:p w:rsidR="00C751D7" w:rsidRDefault="00C80AA2" w:rsidP="002B5532">
            <w:pPr>
              <w:spacing w:line="360" w:lineRule="auto"/>
              <w:jc w:val="both"/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r w:rsidR="002B5532" w:rsidRPr="002B553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REGRI_V1.0_2017.xls</w:t>
            </w:r>
          </w:p>
          <w:p w:rsidR="003F3FE3" w:rsidRPr="00C03710" w:rsidRDefault="003F3FE3" w:rsidP="002B5532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3F3FE3" w:rsidRDefault="003F3FE3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C751D7" w:rsidRPr="00C03710" w:rsidRDefault="00D6134C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El </w:t>
            </w:r>
            <w:r w:rsidR="003F3FE3">
              <w:rPr>
                <w:rFonts w:asciiTheme="minorHAnsi" w:hAnsiTheme="minorHAnsi" w:cs="Arial"/>
                <w:color w:val="000000"/>
              </w:rPr>
              <w:t>analista funcional</w:t>
            </w:r>
            <w:r>
              <w:rPr>
                <w:rFonts w:asciiTheme="minorHAnsi" w:hAnsiTheme="minorHAnsi" w:cs="Arial"/>
                <w:color w:val="000000"/>
              </w:rPr>
              <w:t xml:space="preserve"> 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>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3469F6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0" w:history="1">
              <w:r w:rsidR="000924D6" w:rsidRPr="00C66DCD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0924D6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</w:t>
            </w:r>
            <w:r w:rsidR="003F3FE3">
              <w:rPr>
                <w:rFonts w:asciiTheme="minorHAnsi" w:hAnsiTheme="minorHAnsi" w:cs="Arial"/>
              </w:rPr>
              <w:t>EXRI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3F3FE3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="003F3FE3" w:rsidRPr="003F3FE3">
              <w:rPr>
                <w:rFonts w:asciiTheme="minorHAnsi" w:hAnsiTheme="minorHAnsi" w:cs="Arial"/>
              </w:rPr>
              <w:t>TABLERO DE METRICAS DE EXPOSICION AL RIESGO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</w:t>
            </w:r>
            <w:r w:rsidR="00D6134C">
              <w:rPr>
                <w:rFonts w:asciiTheme="minorHAnsi" w:hAnsiTheme="minorHAnsi" w:cs="Arial"/>
              </w:rPr>
              <w:t xml:space="preserve">los cambios </w:t>
            </w:r>
            <w:r w:rsidRPr="00C03710">
              <w:rPr>
                <w:rFonts w:asciiTheme="minorHAnsi" w:hAnsiTheme="minorHAnsi" w:cs="Arial"/>
              </w:rPr>
              <w:t>durante los procesos de acuerdo al mes correspondiente.</w:t>
            </w:r>
          </w:p>
          <w:p w:rsidR="003F3FE3" w:rsidRDefault="003F3FE3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:rsidR="003F3FE3" w:rsidRPr="00C03710" w:rsidRDefault="003F3FE3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3F3FE3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="00D6134C">
                    <w:rPr>
                      <w:rFonts w:ascii="Calibri" w:hAnsi="Calibri"/>
                      <w:lang w:eastAsia="es-PE"/>
                    </w:rPr>
                    <w:t xml:space="preserve"> de </w:t>
                  </w:r>
                  <w:r w:rsidR="003F3FE3">
                    <w:rPr>
                      <w:rFonts w:ascii="Calibri" w:hAnsi="Calibri"/>
                      <w:lang w:eastAsia="es-PE"/>
                    </w:rPr>
                    <w:t>Exposición al Riesgo</w:t>
                  </w:r>
                  <w:r w:rsidR="00D6134C" w:rsidRPr="00D6134C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3F3FE3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</w:t>
                  </w:r>
                  <w:r w:rsidR="003F3FE3">
                    <w:rPr>
                      <w:rFonts w:ascii="Calibri" w:hAnsi="Calibri"/>
                      <w:lang w:val="es-PE" w:eastAsia="es-PE"/>
                    </w:rPr>
                    <w:t>EXRI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FC1506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2480" w:dyaOrig="3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47.1pt;height:101pt" o:ole="">
                  <v:imagedata r:id="rId11" o:title=""/>
                </v:shape>
                <o:OLEObject Type="Embed" ProgID="PBrush" ShapeID="_x0000_i1027" DrawAspect="Content" ObjectID="_1561988639" r:id="rId12"/>
              </w:object>
            </w: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Setiembre, Octubre, Noviembre: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1525D5" w:rsidRDefault="0062511D" w:rsidP="001525D5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1525D5" w:rsidRPr="001525D5" w:rsidRDefault="001525D5" w:rsidP="001525D5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750C7B" w:rsidRDefault="001525D5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165" w:dyaOrig="2340">
                <v:shape id="_x0000_i1025" type="#_x0000_t75" style="width:347.1pt;height:66.65pt" o:ole="">
                  <v:imagedata r:id="rId13" o:title=""/>
                </v:shape>
                <o:OLEObject Type="Embed" ProgID="PBrush" ShapeID="_x0000_i1025" DrawAspect="Content" ObjectID="_1561988640" r:id="rId14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Promedio de severidad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Resultados exposición al riesgo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1525D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210" w:dyaOrig="2310">
                <v:shape id="_x0000_i1026" type="#_x0000_t75" style="width:347.65pt;height:65.55pt" o:ole="">
                  <v:imagedata r:id="rId15" o:title=""/>
                </v:shape>
                <o:OLEObject Type="Embed" ProgID="PBrush" ShapeID="_x0000_i1026" DrawAspect="Content" ObjectID="_1561988641" r:id="rId16"/>
              </w:object>
            </w:r>
          </w:p>
          <w:p w:rsidR="001525D5" w:rsidRDefault="001525D5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lastRenderedPageBreak/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Promedio de severidad</w:t>
            </w:r>
          </w:p>
          <w:p w:rsidR="00BC088B" w:rsidRPr="00C03710" w:rsidRDefault="001525D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Resultados exposición al riesgo</w:t>
            </w:r>
          </w:p>
          <w:p w:rsidR="00BC088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FC1506" w:rsidRPr="00C03710" w:rsidRDefault="00FC1506" w:rsidP="00FC1506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FC1506" w:rsidRPr="00C03710" w:rsidRDefault="00FC1506" w:rsidP="00FC1506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>
              <w:rPr>
                <w:rFonts w:asciiTheme="minorHAnsi" w:hAnsiTheme="minorHAnsi" w:cs="Arial"/>
                <w:b/>
              </w:rPr>
              <w:t xml:space="preserve"> Jul</w:t>
            </w:r>
            <w:r>
              <w:rPr>
                <w:rFonts w:asciiTheme="minorHAnsi" w:hAnsiTheme="minorHAnsi" w:cs="Arial"/>
                <w:b/>
              </w:rPr>
              <w:t>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FC1506" w:rsidRDefault="00FC1506" w:rsidP="00FC1506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0950" w:dyaOrig="2100">
                <v:shape id="_x0000_i1028" type="#_x0000_t75" style="width:347.1pt;height:66.65pt" o:ole="">
                  <v:imagedata r:id="rId17" o:title=""/>
                </v:shape>
                <o:OLEObject Type="Embed" ProgID="PBrush" ShapeID="_x0000_i1028" DrawAspect="Content" ObjectID="_1561988642" r:id="rId18"/>
              </w:object>
            </w:r>
          </w:p>
          <w:p w:rsidR="00FC1506" w:rsidRDefault="00FC1506" w:rsidP="00FC1506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FC1506" w:rsidRPr="00C03710" w:rsidRDefault="00FC1506" w:rsidP="00FC1506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FC1506" w:rsidRPr="00C03710" w:rsidRDefault="00FC1506" w:rsidP="00FC1506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FC1506" w:rsidRPr="00C03710" w:rsidRDefault="00FC1506" w:rsidP="00FC150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FC1506" w:rsidRPr="00C03710" w:rsidRDefault="00FC1506" w:rsidP="00FC150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FC1506" w:rsidRPr="00C03710" w:rsidRDefault="00FC1506" w:rsidP="00FC150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FC1506" w:rsidRPr="00C03710" w:rsidRDefault="00FC1506" w:rsidP="00FC150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Promedio de severidad</w:t>
            </w:r>
          </w:p>
          <w:p w:rsidR="00FC1506" w:rsidRPr="00C03710" w:rsidRDefault="00FC1506" w:rsidP="00FC150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Resultados exposición al riesgo</w:t>
            </w:r>
          </w:p>
          <w:p w:rsidR="00FC1506" w:rsidRPr="00C03710" w:rsidRDefault="00FC1506" w:rsidP="00FC150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FC1506" w:rsidRDefault="00FC1506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FC1506" w:rsidRDefault="00FC1506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FC1506" w:rsidRDefault="00FC1506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FC1506" w:rsidRDefault="00FC1506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FC1506" w:rsidRDefault="00FC1506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lastRenderedPageBreak/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FC1506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9390" w:dyaOrig="8670">
                <v:shape id="_x0000_i1029" type="#_x0000_t75" style="width:347.1pt;height:320.25pt" o:ole="">
                  <v:imagedata r:id="rId19" o:title=""/>
                </v:shape>
                <o:OLEObject Type="Embed" ProgID="PBrush" ShapeID="_x0000_i1029" DrawAspect="Content" ObjectID="_1561988643" r:id="rId20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FC1506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9420" w:dyaOrig="5655">
                <v:shape id="_x0000_i1030" type="#_x0000_t75" style="width:347.1pt;height:208.5pt" o:ole="">
                  <v:imagedata r:id="rId21" o:title=""/>
                </v:shape>
                <o:OLEObject Type="Embed" ProgID="PBrush" ShapeID="_x0000_i1030" DrawAspect="Content" ObjectID="_1561988644" r:id="rId22"/>
              </w:object>
            </w:r>
            <w:bookmarkStart w:id="0" w:name="_GoBack"/>
            <w:bookmarkEnd w:id="0"/>
          </w:p>
          <w:p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674A2E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674A2E" w:rsidRPr="00C03710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674A2E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674A2E" w:rsidRPr="00C03710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674A2E" w:rsidP="00674A2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F6" w:rsidRDefault="003469F6" w:rsidP="00EA3041">
      <w:r>
        <w:separator/>
      </w:r>
    </w:p>
  </w:endnote>
  <w:endnote w:type="continuationSeparator" w:id="0">
    <w:p w:rsidR="003469F6" w:rsidRDefault="003469F6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F6" w:rsidRDefault="003469F6" w:rsidP="00EA3041">
      <w:r>
        <w:separator/>
      </w:r>
    </w:p>
  </w:footnote>
  <w:footnote w:type="continuationSeparator" w:id="0">
    <w:p w:rsidR="003469F6" w:rsidRDefault="003469F6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D963532" wp14:editId="3683A5BE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8B07BF" w:rsidP="002B5532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28"/>
            </w:rPr>
            <w:t>FM</w:t>
          </w:r>
          <w:r w:rsidR="002B5532">
            <w:rPr>
              <w:rFonts w:ascii="Calibri" w:eastAsia="Calibri" w:hAnsi="Calibri"/>
              <w:b/>
              <w:sz w:val="28"/>
            </w:rPr>
            <w:t>EXRI</w:t>
          </w:r>
          <w:r w:rsidR="00601134">
            <w:rPr>
              <w:rFonts w:ascii="Calibri" w:eastAsia="Calibri" w:hAnsi="Calibri"/>
              <w:b/>
              <w:sz w:val="28"/>
            </w:rPr>
            <w:t xml:space="preserve"> </w:t>
          </w:r>
          <w:r w:rsidRPr="008B07BF">
            <w:rPr>
              <w:rFonts w:asciiTheme="minorHAnsi" w:hAnsiTheme="minorHAnsi" w:cstheme="minorHAnsi"/>
              <w:b/>
              <w:bCs/>
              <w:sz w:val="28"/>
              <w:szCs w:val="28"/>
            </w:rPr>
            <w:t xml:space="preserve">Ficha de métricas de </w:t>
          </w:r>
          <w:r w:rsidR="002B5532">
            <w:rPr>
              <w:rFonts w:asciiTheme="minorHAnsi" w:hAnsiTheme="minorHAnsi" w:cstheme="minorHAnsi"/>
              <w:b/>
              <w:bCs/>
              <w:sz w:val="28"/>
              <w:szCs w:val="28"/>
            </w:rPr>
            <w:t>Exposición al Riesgo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0924D6"/>
    <w:rsid w:val="001110A2"/>
    <w:rsid w:val="001525D5"/>
    <w:rsid w:val="0016411F"/>
    <w:rsid w:val="001E0F4E"/>
    <w:rsid w:val="00236B91"/>
    <w:rsid w:val="002B5532"/>
    <w:rsid w:val="00334A85"/>
    <w:rsid w:val="00341712"/>
    <w:rsid w:val="003469F6"/>
    <w:rsid w:val="00354BFC"/>
    <w:rsid w:val="003957BA"/>
    <w:rsid w:val="003977EB"/>
    <w:rsid w:val="003F3FE3"/>
    <w:rsid w:val="003F663E"/>
    <w:rsid w:val="00431153"/>
    <w:rsid w:val="004836D4"/>
    <w:rsid w:val="004F11EE"/>
    <w:rsid w:val="0050551B"/>
    <w:rsid w:val="00512DBD"/>
    <w:rsid w:val="005432BD"/>
    <w:rsid w:val="0058786A"/>
    <w:rsid w:val="005F4395"/>
    <w:rsid w:val="00601134"/>
    <w:rsid w:val="006063AF"/>
    <w:rsid w:val="0062511D"/>
    <w:rsid w:val="00642051"/>
    <w:rsid w:val="00674A2E"/>
    <w:rsid w:val="006E5581"/>
    <w:rsid w:val="00750C7B"/>
    <w:rsid w:val="007C0A26"/>
    <w:rsid w:val="00853142"/>
    <w:rsid w:val="00894BCD"/>
    <w:rsid w:val="008A1C26"/>
    <w:rsid w:val="008B07BF"/>
    <w:rsid w:val="009C63D0"/>
    <w:rsid w:val="00A363BF"/>
    <w:rsid w:val="00A76D40"/>
    <w:rsid w:val="00A8671D"/>
    <w:rsid w:val="00AB6681"/>
    <w:rsid w:val="00AC27E6"/>
    <w:rsid w:val="00B2225A"/>
    <w:rsid w:val="00B563B6"/>
    <w:rsid w:val="00BB2422"/>
    <w:rsid w:val="00BB30E9"/>
    <w:rsid w:val="00BC088B"/>
    <w:rsid w:val="00C03710"/>
    <w:rsid w:val="00C063EF"/>
    <w:rsid w:val="00C751D7"/>
    <w:rsid w:val="00C80AA2"/>
    <w:rsid w:val="00D27211"/>
    <w:rsid w:val="00D6134C"/>
    <w:rsid w:val="00D77B61"/>
    <w:rsid w:val="00D86388"/>
    <w:rsid w:val="00DA44EF"/>
    <w:rsid w:val="00DF7FBA"/>
    <w:rsid w:val="00E857C0"/>
    <w:rsid w:val="00EA3041"/>
    <w:rsid w:val="00EB54D0"/>
    <w:rsid w:val="00F20FE7"/>
    <w:rsid w:val="00F53F8F"/>
    <w:rsid w:val="00F5777F"/>
    <w:rsid w:val="00F71C7F"/>
    <w:rsid w:val="00F944C0"/>
    <w:rsid w:val="00FA1C4D"/>
    <w:rsid w:val="00F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Aspersoft/Documentacion/blob/master/MA/Resolucion/TABME_V1.0_2017.xlsx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PP-PMC/REGRI_V1.0_2017.xls%20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51BBD-91FD-4705-88EA-E2A1418F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2</cp:revision>
  <dcterms:created xsi:type="dcterms:W3CDTF">2017-07-19T21:57:00Z</dcterms:created>
  <dcterms:modified xsi:type="dcterms:W3CDTF">2017-07-19T21:57:00Z</dcterms:modified>
</cp:coreProperties>
</file>