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60" w:before="60"/>
        <w:jc w:val="center"/>
      </w:pPr>
      <w:r>
        <w:rPr>
          <w:rFonts w:ascii="Arial" w:cs="Arial" w:eastAsia="Arial" w:hAnsi="Arial"/>
          <w:b/>
          <w:bCs/>
          <w:color w:val="888888"/>
          <w:sz w:val="20"/>
          <w:szCs w:val="20"/>
        </w:rPr>
        <w:t xml:space="preserve">FINAL YEAR PROJECT REPORT</w:t>
      </w:r>
    </w:p>
    <w:p/>
    <w:p>
      <w:pPr>
        <w:spacing w:after="60" w:before="60"/>
        <w:jc w:val="center"/>
      </w:pPr>
      <w:r>
        <w:rPr>
          <w:rFonts w:ascii="Arial" w:cs="Arial" w:eastAsia="Arial" w:hAnsi="Arial"/>
          <w:b/>
          <w:bCs/>
          <w:color w:val="1F4E79"/>
          <w:sz w:val="36"/>
          <w:szCs w:val="36"/>
        </w:rPr>
        <w:t xml:space="preserve">Investigation of Dual Absorbers with Novel MXene</w:t>
      </w:r>
    </w:p>
    <w:p>
      <w:pPr>
        <w:spacing w:after="60" w:before="60"/>
        <w:jc w:val="center"/>
      </w:pPr>
      <w:r>
        <w:rPr>
          <w:rFonts w:ascii="Arial" w:cs="Arial" w:eastAsia="Arial" w:hAnsi="Arial"/>
          <w:b/>
          <w:bCs/>
          <w:color w:val="1F4E79"/>
          <w:sz w:val="36"/>
          <w:szCs w:val="36"/>
        </w:rPr>
        <w:t xml:space="preserve">Doped Perovskite for Extraordinary Performance</w:t>
      </w:r>
    </w:p>
    <w:p>
      <w:pPr>
        <w:spacing w:after="60" w:before="60"/>
        <w:jc w:val="center"/>
      </w:pPr>
      <w:r>
        <w:rPr>
          <w:rFonts w:ascii="Arial" w:cs="Arial" w:eastAsia="Arial" w:hAnsi="Arial"/>
          <w:b/>
          <w:bCs/>
          <w:color w:val="1F4E79"/>
          <w:sz w:val="36"/>
          <w:szCs w:val="36"/>
        </w:rPr>
        <w:t xml:space="preserve">of Perovskite Solar Cells</w:t>
      </w:r>
    </w:p>
    <w:p/>
    <w:p/>
    <w:p>
      <w:pPr>
        <w:spacing w:after="60" w:before="60"/>
        <w:jc w:val="center"/>
      </w:pPr>
      <w:r>
        <w:rPr>
          <w:rFonts w:ascii="Arial" w:cs="Arial" w:eastAsia="Arial" w:hAnsi="Arial"/>
          <w:i/>
          <w:iCs/>
          <w:color w:val="444444"/>
          <w:sz w:val="24"/>
          <w:szCs w:val="24"/>
        </w:rPr>
        <w:t xml:space="preserve">A Numerical Simulation Study using SCAPS-1D Software</w:t>
      </w:r>
    </w:p>
    <w:p/>
    <w:p/>
    <w:p>
      <w:pPr>
        <w:jc w:val="center"/>
      </w:pPr>
      <w:r>
        <w:rPr>
          <w:color w:val="CCCCCC"/>
          <w:sz w:val="22"/>
          <w:szCs w:val="22"/>
        </w:rPr>
        <w:t xml:space="preserve">──────────────────────────────────────────────────</w:t>
      </w:r>
    </w:p>
    <w:p/>
    <w:p>
      <w:pPr>
        <w:spacing w:after="60" w:before="60"/>
        <w:jc w:val="center"/>
      </w:pPr>
      <w:r>
        <w:rPr>
          <w:rFonts w:ascii="Arial" w:cs="Arial" w:eastAsia="Arial" w:hAnsi="Arial"/>
          <w:color w:val="555555"/>
          <w:sz w:val="22"/>
          <w:szCs w:val="22"/>
        </w:rPr>
        <w:t xml:space="preserve">Submitted by</w:t>
      </w:r>
    </w:p>
    <w:p/>
    <w:p>
      <w:pPr>
        <w:spacing w:after="60" w:before="60"/>
        <w:jc w:val="center"/>
      </w:pPr>
      <w:r>
        <w:rPr>
          <w:rFonts w:ascii="Arial" w:cs="Arial" w:eastAsia="Arial" w:hAnsi="Arial"/>
          <w:b/>
          <w:bCs/>
          <w:sz w:val="26"/>
          <w:szCs w:val="26"/>
        </w:rPr>
        <w:t xml:space="preserve">[Student Name(s)]</w:t>
      </w:r>
    </w:p>
    <w:p>
      <w:pPr>
        <w:spacing w:after="60" w:before="60"/>
        <w:jc w:val="center"/>
      </w:pPr>
      <w:r>
        <w:rPr>
          <w:rFonts w:ascii="Arial" w:cs="Arial" w:eastAsia="Arial" w:hAnsi="Arial"/>
          <w:sz w:val="22"/>
          <w:szCs w:val="22"/>
        </w:rPr>
        <w:t xml:space="preserve">[Roll Number(s)]</w:t>
      </w:r>
    </w:p>
    <w:p/>
    <w:p>
      <w:pPr>
        <w:spacing w:after="60" w:before="60"/>
        <w:jc w:val="center"/>
      </w:pPr>
      <w:r>
        <w:rPr>
          <w:rFonts w:ascii="Arial" w:cs="Arial" w:eastAsia="Arial" w:hAnsi="Arial"/>
          <w:color w:val="555555"/>
          <w:sz w:val="22"/>
          <w:szCs w:val="22"/>
        </w:rPr>
        <w:t xml:space="preserve">Under the guidance of</w:t>
      </w:r>
    </w:p>
    <w:p>
      <w:pPr>
        <w:spacing w:after="60" w:before="60"/>
        <w:jc w:val="center"/>
      </w:pPr>
      <w:r>
        <w:rPr>
          <w:rFonts w:ascii="Arial" w:cs="Arial" w:eastAsia="Arial" w:hAnsi="Arial"/>
          <w:b/>
          <w:bCs/>
          <w:sz w:val="24"/>
          <w:szCs w:val="24"/>
        </w:rPr>
        <w:t xml:space="preserve">[Supervisor Name &amp; Designation]</w:t>
      </w:r>
    </w:p>
    <w:p/>
    <w:p/>
    <w:p>
      <w:pPr>
        <w:spacing w:after="60" w:before="60"/>
        <w:jc w:val="center"/>
      </w:pPr>
      <w:r>
        <w:rPr>
          <w:rFonts w:ascii="Arial" w:cs="Arial" w:eastAsia="Arial" w:hAnsi="Arial"/>
          <w:b/>
          <w:bCs/>
          <w:sz w:val="24"/>
          <w:szCs w:val="24"/>
        </w:rPr>
        <w:t xml:space="preserve">[Department Name]</w:t>
      </w:r>
    </w:p>
    <w:p>
      <w:pPr>
        <w:spacing w:after="60" w:before="60"/>
        <w:jc w:val="center"/>
      </w:pPr>
      <w:r>
        <w:rPr>
          <w:rFonts w:ascii="Arial" w:cs="Arial" w:eastAsia="Arial" w:hAnsi="Arial"/>
          <w:sz w:val="22"/>
          <w:szCs w:val="22"/>
        </w:rPr>
        <w:t xml:space="preserve">[Institution Name]</w:t>
      </w:r>
    </w:p>
    <w:p>
      <w:pPr>
        <w:spacing w:after="60" w:before="60"/>
        <w:jc w:val="center"/>
      </w:pPr>
      <w:r>
        <w:rPr>
          <w:rFonts w:ascii="Arial" w:cs="Arial" w:eastAsia="Arial" w:hAnsi="Arial"/>
          <w:sz w:val="22"/>
          <w:szCs w:val="22"/>
        </w:rPr>
        <w:t xml:space="preserve">[Academic Year]</w:t>
      </w:r>
    </w:p>
    <w:p/>
    <w:p/>
    <w:p>
      <w:pPr>
        <w:jc w:val="center"/>
      </w:pPr>
      <w:r>
        <w:rPr>
          <w:color w:val="CCCCCC"/>
          <w:sz w:val="22"/>
          <w:szCs w:val="22"/>
        </w:rPr>
        <w:t xml:space="preserve">──────────────────────────────────────────────────</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Abstract</w:t>
      </w:r>
    </w:p>
    <w:p>
      <w:pPr>
        <w:spacing w:after="80" w:before="60"/>
        <w:jc w:val="both"/>
      </w:pPr>
      <w:r>
        <w:rPr>
          <w:rFonts w:ascii="Arial" w:cs="Arial" w:eastAsia="Arial" w:hAnsi="Arial"/>
          <w:sz w:val="22"/>
          <w:szCs w:val="22"/>
        </w:rPr>
        <w:t xml:space="preserve">This project presents a comprehensive numerical simulation study of dual-absorber perovskite solar cells (PSCs) using SCAPS-1D software, replicating and extending the work of Bhattarai et al. (2025). The study investigates a novel device architecture incorporating two perovskite absorber materials: methylammonium lead halide (MAPbI3-xClx) as the primary absorber layer (PAL1) and Ti3C2 MXene-doped methylammonium lead tri-iodide (MAPbI3+Ti3C2) as the secondary absorber layer (PAL2). The device stack is configured as Glass/ITO/ZnO/MAPbI3+Ti3C2/MAPbI3-xClx/Spiro-OMeTAD/Ag, with zinc oxide (ZnO) serving as the electron transport layer (ETL) and Spiro-OMeTAD as the hole transport layer (HTL).</w:t>
      </w:r>
    </w:p>
    <w:p/>
    <w:p>
      <w:pPr>
        <w:spacing w:after="80" w:before="60"/>
        <w:jc w:val="both"/>
      </w:pPr>
      <w:r>
        <w:rPr>
          <w:rFonts w:ascii="Arial" w:cs="Arial" w:eastAsia="Arial" w:hAnsi="Arial"/>
          <w:sz w:val="22"/>
          <w:szCs w:val="22"/>
        </w:rPr>
        <w:t xml:space="preserve">Systematic optimization of device parameters including absorber layer thicknesses (0.3–1.5 µm), defect densities (10¹³–10¹⁵ cm⁻³), carrier transport layer dimensions, temperature dependence (300–400 K), and series/shunt resistance effects has been performed. The dual-absorber configuration, enabled by the broad absorption spectrum of MAPbI3-xClx and the superior charge transport properties of Ti3C2 MXene, yields a power conversion efficiency (PCE) of 27.12% under standard AM 1.5G illumination at 300 K, with Jsc = 23.63 mA/cm², Voc = 1.32 V, and FF = 86.81%. This represents a significant improvement over the single-absorber configuration (PCE = 20.62%), demonstrating the critical role of MXene integration in enhancing perovskite photovoltaic performance.</w:t>
      </w:r>
    </w:p>
    <w:p/>
    <w:p>
      <w:pPr>
        <w:spacing w:after="80" w:before="60"/>
        <w:jc w:val="both"/>
      </w:pPr>
      <w:r>
        <w:rPr>
          <w:rFonts w:ascii="Arial" w:cs="Arial" w:eastAsia="Arial" w:hAnsi="Arial"/>
          <w:sz w:val="22"/>
          <w:szCs w:val="22"/>
        </w:rPr>
        <w:t xml:space="preserve">The simulation results confirm that SRH (Shockley-Read-Hall) recombination is the dominant loss mechanism in the device, consistent with the trap-assisted recombination behavior expected in lead-halide perovskites. The quantum efficiency (QE) exceeds 90% across the 400–780 nm wavelength range, and the dark I-V characteristics reveal near-ideal diode behavior. This study provides critical insights into the design principles for high-efficiency, stable PSCs and offers a validated simulation framework for future experimental device fabrication.</w:t>
      </w:r>
    </w:p>
    <w:p/>
    <w:p>
      <w:pPr>
        <w:spacing w:after="80" w:before="60"/>
        <w:jc w:val="both"/>
      </w:pPr>
      <w:r>
        <w:rPr>
          <w:rFonts w:ascii="Arial" w:cs="Arial" w:eastAsia="Arial" w:hAnsi="Arial"/>
          <w:i/>
          <w:iCs/>
          <w:sz w:val="22"/>
          <w:szCs w:val="22"/>
        </w:rPr>
        <w:t xml:space="preserve">Keywords: Perovskite solar cells, SCAPS-1D simulation, MXene, Dual absorber, MAPbI3-xClx, Ti3C2, Power conversion efficiency, SRH recombination, Carrier transport materials.</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List of Abbreviations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tblGrid>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PSC</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Perovskite Solar Cell</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PCE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Power Conversion Efficiency</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ETL</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Electron Transport Layer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HTL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Hole Transport Layer</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PAL</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Perovskite Absorber Layer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CTM</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Carrier Transport Material</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SRH</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Shockley-Read-Hall (recombination)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FF</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Fill Factor</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Jsc</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Short-Circuit Current Density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Voc</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Open-Circuit Voltage</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QE</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Quantum Efficiency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MXene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Two-dimensional transition metal carbide/nitride</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SCAPS</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Solar Cell Capacitance Simulator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MPP</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Maximum Power Point</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AM 1.5G</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Air Mass 1.5 Global (solar spectrum standard)</w:t>
            </w:r>
          </w:p>
        </w:tc>
      </w:tr>
    </w:tbl>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Chapter 1: Introduction</w:t>
      </w:r>
    </w:p>
    <w:p>
      <w:pPr>
        <w:pStyle w:val="Heading2"/>
        <w:spacing w:after="120" w:before="300"/>
      </w:pPr>
      <w:r>
        <w:rPr>
          <w:rFonts w:ascii="Arial" w:cs="Arial" w:eastAsia="Arial" w:hAnsi="Arial"/>
          <w:b/>
          <w:bCs/>
          <w:color w:val="2E4057"/>
          <w:sz w:val="26"/>
          <w:szCs w:val="26"/>
        </w:rPr>
        <w:t xml:space="preserve">1.1 Background and Motivation</w:t>
      </w:r>
    </w:p>
    <w:p>
      <w:pPr>
        <w:spacing w:after="80" w:before="60"/>
        <w:jc w:val="both"/>
      </w:pPr>
      <w:r>
        <w:rPr>
          <w:rFonts w:ascii="Arial" w:cs="Arial" w:eastAsia="Arial" w:hAnsi="Arial"/>
          <w:sz w:val="22"/>
          <w:szCs w:val="22"/>
        </w:rPr>
        <w:t xml:space="preserve">The global demand for clean, renewable energy has accelerated research into advanced photovoltaic technologies. Among the various solar cell technologies, perovskite solar cells (PSCs) have emerged as a revolutionary platform due to their exceptional optoelectronic properties, low fabrication costs, and rapidly improving efficiencies. Since their introduction as photovoltaic absorbers in 2009 with an initial efficiency of only 3.8%, PSCs have demonstrated a remarkable rise in performance, surpassing 26% PCE in laboratory settings within just over a decade — a pace of improvement unmatched in the history of photovoltaics.</w:t>
      </w:r>
    </w:p>
    <w:p>
      <w:pPr>
        <w:spacing w:after="80" w:before="60"/>
        <w:jc w:val="both"/>
      </w:pPr>
      <w:r>
        <w:rPr>
          <w:rFonts w:ascii="Arial" w:cs="Arial" w:eastAsia="Arial" w:hAnsi="Arial"/>
          <w:sz w:val="22"/>
          <w:szCs w:val="22"/>
        </w:rPr>
        <w:t xml:space="preserve">Perovskite materials, characterized by the ABX3 crystal structure, offer a unique combination of properties that make them ideal for solar energy conversion: high absorption coefficients (&gt;10⁴ cm⁻¹), long carrier diffusion lengths, tunable bandgaps through compositional engineering, and low non-radiative recombination rates in defect-tolerant compositions. The most studied perovskite material, methylammonium lead iodide (MAPbI3), has a bandgap of approximately 1.55 eV, which is well-matched to the solar spectrum.</w:t>
      </w:r>
    </w:p>
    <w:p>
      <w:pPr>
        <w:pStyle w:val="Heading2"/>
        <w:spacing w:after="120" w:before="300"/>
      </w:pPr>
      <w:r>
        <w:rPr>
          <w:rFonts w:ascii="Arial" w:cs="Arial" w:eastAsia="Arial" w:hAnsi="Arial"/>
          <w:b/>
          <w:bCs/>
          <w:color w:val="2E4057"/>
          <w:sz w:val="26"/>
          <w:szCs w:val="26"/>
        </w:rPr>
        <w:t xml:space="preserve">1.2 Challenges with Conventional MAPbI3-based PSCs</w:t>
      </w:r>
    </w:p>
    <w:p>
      <w:pPr>
        <w:spacing w:after="80" w:before="60"/>
        <w:jc w:val="both"/>
      </w:pPr>
      <w:r>
        <w:rPr>
          <w:rFonts w:ascii="Arial" w:cs="Arial" w:eastAsia="Arial" w:hAnsi="Arial"/>
          <w:sz w:val="22"/>
          <w:szCs w:val="22"/>
        </w:rPr>
        <w:t xml:space="preserve">Despite their impressive performance metrics, MAPbI3-based PSCs face several critical challenges that impede commercialization:</w:t>
      </w:r>
    </w:p>
    <w:p>
      <w:pPr>
        <w:pStyle w:val="ListParagraph"/>
        <w:numPr>
          <w:ilvl w:val="0"/>
          <w:numId w:val="2"/>
        </w:numPr>
        <w:spacing w:after="40" w:before="40"/>
      </w:pPr>
      <w:r>
        <w:rPr>
          <w:rFonts w:ascii="Arial" w:cs="Arial" w:eastAsia="Arial" w:hAnsi="Arial"/>
          <w:sz w:val="22"/>
          <w:szCs w:val="22"/>
        </w:rPr>
        <w:t xml:space="preserve">Environmental instability: MAPbI3 degrades rapidly when exposed to moisture, oxygen, and thermal stress, leading to performance deterioration over time.</w:t>
      </w:r>
    </w:p>
    <w:p>
      <w:pPr>
        <w:pStyle w:val="ListParagraph"/>
        <w:numPr>
          <w:ilvl w:val="0"/>
          <w:numId w:val="2"/>
        </w:numPr>
        <w:spacing w:after="40" w:before="40"/>
      </w:pPr>
      <w:r>
        <w:rPr>
          <w:rFonts w:ascii="Arial" w:cs="Arial" w:eastAsia="Arial" w:hAnsi="Arial"/>
          <w:sz w:val="22"/>
          <w:szCs w:val="22"/>
        </w:rPr>
        <w:t xml:space="preserve">Lead toxicity: The presence of lead (Pb) raises environmental and health concerns regarding lead leakage during device failure or disposal.</w:t>
      </w:r>
    </w:p>
    <w:p>
      <w:pPr>
        <w:pStyle w:val="ListParagraph"/>
        <w:numPr>
          <w:ilvl w:val="0"/>
          <w:numId w:val="2"/>
        </w:numPr>
        <w:spacing w:after="40" w:before="40"/>
      </w:pPr>
      <w:r>
        <w:rPr>
          <w:rFonts w:ascii="Arial" w:cs="Arial" w:eastAsia="Arial" w:hAnsi="Arial"/>
          <w:sz w:val="22"/>
          <w:szCs w:val="22"/>
        </w:rPr>
        <w:t xml:space="preserve">Defect-induced recombination: High trap-state densities at grain boundaries and interfaces act as Shockley-Read-Hall (SRH) recombination centers, limiting carrier lifetimes and reducing PCE.</w:t>
      </w:r>
    </w:p>
    <w:p>
      <w:pPr>
        <w:pStyle w:val="ListParagraph"/>
        <w:numPr>
          <w:ilvl w:val="0"/>
          <w:numId w:val="2"/>
        </w:numPr>
        <w:spacing w:after="40" w:before="40"/>
      </w:pPr>
      <w:r>
        <w:rPr>
          <w:rFonts w:ascii="Arial" w:cs="Arial" w:eastAsia="Arial" w:hAnsi="Arial"/>
          <w:sz w:val="22"/>
          <w:szCs w:val="22"/>
        </w:rPr>
        <w:t xml:space="preserve">Limited absorption bandwidth: The fixed bandgap of MAPbI3 restricts the range of the solar spectrum that can be effectively harvested.</w:t>
      </w:r>
    </w:p>
    <w:p>
      <w:pPr>
        <w:pStyle w:val="Heading2"/>
        <w:spacing w:after="120" w:before="300"/>
      </w:pPr>
      <w:r>
        <w:rPr>
          <w:rFonts w:ascii="Arial" w:cs="Arial" w:eastAsia="Arial" w:hAnsi="Arial"/>
          <w:b/>
          <w:bCs/>
          <w:color w:val="2E4057"/>
          <w:sz w:val="26"/>
          <w:szCs w:val="26"/>
        </w:rPr>
        <w:t xml:space="preserve">1.3 Role of MXenes and Dual-Absorber Architecture</w:t>
      </w:r>
    </w:p>
    <w:p>
      <w:pPr>
        <w:spacing w:after="80" w:before="60"/>
        <w:jc w:val="both"/>
      </w:pPr>
      <w:r>
        <w:rPr>
          <w:rFonts w:ascii="Arial" w:cs="Arial" w:eastAsia="Arial" w:hAnsi="Arial"/>
          <w:sz w:val="22"/>
          <w:szCs w:val="22"/>
        </w:rPr>
        <w:t xml:space="preserve">MXenes are a class of two-dimensional (2D) transition metal carbides and nitrides with the general formula Mn+1XnTx, where M is a transition metal (such as Ti), X is carbon or nitrogen, and Tx represents surface functional groups. Ti3C2 MXene, in particular, has attracted significant attention for PSC applications due to its:</w:t>
      </w:r>
    </w:p>
    <w:p>
      <w:pPr>
        <w:pStyle w:val="ListParagraph"/>
        <w:numPr>
          <w:ilvl w:val="0"/>
          <w:numId w:val="2"/>
        </w:numPr>
        <w:spacing w:after="40" w:before="40"/>
      </w:pPr>
      <w:r>
        <w:rPr>
          <w:rFonts w:ascii="Arial" w:cs="Arial" w:eastAsia="Arial" w:hAnsi="Arial"/>
          <w:sz w:val="22"/>
          <w:szCs w:val="22"/>
        </w:rPr>
        <w:t xml:space="preserve">Exceptional electrical conductivity (~10⁴ S/cm), comparable to metallic conductors</w:t>
      </w:r>
    </w:p>
    <w:p>
      <w:pPr>
        <w:pStyle w:val="ListParagraph"/>
        <w:numPr>
          <w:ilvl w:val="0"/>
          <w:numId w:val="2"/>
        </w:numPr>
        <w:spacing w:after="40" w:before="40"/>
      </w:pPr>
      <w:r>
        <w:rPr>
          <w:rFonts w:ascii="Arial" w:cs="Arial" w:eastAsia="Arial" w:hAnsi="Arial"/>
          <w:sz w:val="22"/>
          <w:szCs w:val="22"/>
        </w:rPr>
        <w:t xml:space="preserve">High surface area and hydrophilic surface chemistry for effective interface engineering</w:t>
      </w:r>
    </w:p>
    <w:p>
      <w:pPr>
        <w:pStyle w:val="ListParagraph"/>
        <w:numPr>
          <w:ilvl w:val="0"/>
          <w:numId w:val="2"/>
        </w:numPr>
        <w:spacing w:after="40" w:before="40"/>
      </w:pPr>
      <w:r>
        <w:rPr>
          <w:rFonts w:ascii="Arial" w:cs="Arial" w:eastAsia="Arial" w:hAnsi="Arial"/>
          <w:sz w:val="22"/>
          <w:szCs w:val="22"/>
        </w:rPr>
        <w:t xml:space="preserve">Superior chemical stability compared to conventional perovskite materials</w:t>
      </w:r>
    </w:p>
    <w:p>
      <w:pPr>
        <w:pStyle w:val="ListParagraph"/>
        <w:numPr>
          <w:ilvl w:val="0"/>
          <w:numId w:val="2"/>
        </w:numPr>
        <w:spacing w:after="40" w:before="40"/>
      </w:pPr>
      <w:r>
        <w:rPr>
          <w:rFonts w:ascii="Arial" w:cs="Arial" w:eastAsia="Arial" w:hAnsi="Arial"/>
          <w:sz w:val="22"/>
          <w:szCs w:val="22"/>
        </w:rPr>
        <w:t xml:space="preserve">Work function tunability for optimal energy level alignment with adjacent layers</w:t>
      </w:r>
    </w:p>
    <w:p>
      <w:pPr>
        <w:spacing w:after="80" w:before="60"/>
        <w:jc w:val="both"/>
      </w:pPr>
      <w:r>
        <w:rPr>
          <w:rFonts w:ascii="Arial" w:cs="Arial" w:eastAsia="Arial" w:hAnsi="Arial"/>
          <w:sz w:val="22"/>
          <w:szCs w:val="22"/>
        </w:rPr>
        <w:t xml:space="preserve">The integration of Ti3C2 MXene into the MAPbI3 absorber layer (forming MAPbI3+Ti3C2) enhances charge carrier mobility, reduces recombination losses, improves energy level alignment with transport layers, and provides a protective barrier against environmental degradation. Combining MAPbI3+Ti3C2 with the halide-substituted MAPbI3-xClx in a dual-absorber architecture creates a complementary system that exploits the broad absorption spectrum of both materials while leveraging MXene's superior electronic properties.</w:t>
      </w:r>
    </w:p>
    <w:p>
      <w:pPr>
        <w:pStyle w:val="Heading2"/>
        <w:spacing w:after="120" w:before="300"/>
      </w:pPr>
      <w:r>
        <w:rPr>
          <w:rFonts w:ascii="Arial" w:cs="Arial" w:eastAsia="Arial" w:hAnsi="Arial"/>
          <w:b/>
          <w:bCs/>
          <w:color w:val="2E4057"/>
          <w:sz w:val="26"/>
          <w:szCs w:val="26"/>
        </w:rPr>
        <w:t xml:space="preserve">1.4 Objectives</w:t>
      </w:r>
    </w:p>
    <w:p>
      <w:pPr>
        <w:spacing w:after="80" w:before="60"/>
        <w:jc w:val="both"/>
      </w:pPr>
      <w:r>
        <w:rPr>
          <w:rFonts w:ascii="Arial" w:cs="Arial" w:eastAsia="Arial" w:hAnsi="Arial"/>
          <w:sz w:val="22"/>
          <w:szCs w:val="22"/>
        </w:rPr>
        <w:t xml:space="preserve">The primary objectives of this project are:</w:t>
      </w:r>
    </w:p>
    <w:p>
      <w:pPr>
        <w:pStyle w:val="ListParagraph"/>
        <w:numPr>
          <w:ilvl w:val="0"/>
          <w:numId w:val="2"/>
        </w:numPr>
        <w:spacing w:after="40" w:before="40"/>
      </w:pPr>
      <w:r>
        <w:rPr>
          <w:rFonts w:ascii="Arial" w:cs="Arial" w:eastAsia="Arial" w:hAnsi="Arial"/>
          <w:sz w:val="22"/>
          <w:szCs w:val="22"/>
        </w:rPr>
        <w:t xml:space="preserve">To numerically model and simulate a dual-absorber PSC device (Glass/ITO/ZnO/MAPbI3+Ti3C2/MAPbI3-xClx/Spiro-OMeTAD/Ag) using SCAPS-1D software.</w:t>
      </w:r>
    </w:p>
    <w:p>
      <w:pPr>
        <w:pStyle w:val="ListParagraph"/>
        <w:numPr>
          <w:ilvl w:val="0"/>
          <w:numId w:val="2"/>
        </w:numPr>
        <w:spacing w:after="40" w:before="40"/>
      </w:pPr>
      <w:r>
        <w:rPr>
          <w:rFonts w:ascii="Arial" w:cs="Arial" w:eastAsia="Arial" w:hAnsi="Arial"/>
          <w:sz w:val="22"/>
          <w:szCs w:val="22"/>
        </w:rPr>
        <w:t xml:space="preserve">To optimize the perovskite absorber layer (PAL) thicknesses for maximum PCE.</w:t>
      </w:r>
    </w:p>
    <w:p>
      <w:pPr>
        <w:pStyle w:val="ListParagraph"/>
        <w:numPr>
          <w:ilvl w:val="0"/>
          <w:numId w:val="2"/>
        </w:numPr>
        <w:spacing w:after="40" w:before="40"/>
      </w:pPr>
      <w:r>
        <w:rPr>
          <w:rFonts w:ascii="Arial" w:cs="Arial" w:eastAsia="Arial" w:hAnsi="Arial"/>
          <w:sz w:val="22"/>
          <w:szCs w:val="22"/>
        </w:rPr>
        <w:t xml:space="preserve">To investigate the effect of defect density on device performance parameters.</w:t>
      </w:r>
    </w:p>
    <w:p>
      <w:pPr>
        <w:pStyle w:val="ListParagraph"/>
        <w:numPr>
          <w:ilvl w:val="0"/>
          <w:numId w:val="2"/>
        </w:numPr>
        <w:spacing w:after="40" w:before="40"/>
      </w:pPr>
      <w:r>
        <w:rPr>
          <w:rFonts w:ascii="Arial" w:cs="Arial" w:eastAsia="Arial" w:hAnsi="Arial"/>
          <w:sz w:val="22"/>
          <w:szCs w:val="22"/>
        </w:rPr>
        <w:t xml:space="preserve">To evaluate the influence of carrier transport layer (ETL/HTL) thickness and defect density on device performance.</w:t>
      </w:r>
    </w:p>
    <w:p>
      <w:pPr>
        <w:pStyle w:val="ListParagraph"/>
        <w:numPr>
          <w:ilvl w:val="0"/>
          <w:numId w:val="2"/>
        </w:numPr>
        <w:spacing w:after="40" w:before="40"/>
      </w:pPr>
      <w:r>
        <w:rPr>
          <w:rFonts w:ascii="Arial" w:cs="Arial" w:eastAsia="Arial" w:hAnsi="Arial"/>
          <w:sz w:val="22"/>
          <w:szCs w:val="22"/>
        </w:rPr>
        <w:t xml:space="preserve">To analyze the temperature dependence of PSC performance from 300 K to 400 K.</w:t>
      </w:r>
    </w:p>
    <w:p>
      <w:pPr>
        <w:pStyle w:val="ListParagraph"/>
        <w:numPr>
          <w:ilvl w:val="0"/>
          <w:numId w:val="2"/>
        </w:numPr>
        <w:spacing w:after="40" w:before="40"/>
      </w:pPr>
      <w:r>
        <w:rPr>
          <w:rFonts w:ascii="Arial" w:cs="Arial" w:eastAsia="Arial" w:hAnsi="Arial"/>
          <w:sz w:val="22"/>
          <w:szCs w:val="22"/>
        </w:rPr>
        <w:t xml:space="preserve">To characterize the quantum efficiency (QE) spectrum and dark I-V behavior of the optimized device.</w:t>
      </w:r>
    </w:p>
    <w:p>
      <w:pPr>
        <w:pStyle w:val="ListParagraph"/>
        <w:numPr>
          <w:ilvl w:val="0"/>
          <w:numId w:val="2"/>
        </w:numPr>
        <w:spacing w:after="40" w:before="40"/>
      </w:pPr>
      <w:r>
        <w:rPr>
          <w:rFonts w:ascii="Arial" w:cs="Arial" w:eastAsia="Arial" w:hAnsi="Arial"/>
          <w:sz w:val="22"/>
          <w:szCs w:val="22"/>
        </w:rPr>
        <w:t xml:space="preserve">To compare the dual-absorber performance against single-absorber configurations and published literature.</w:t>
      </w:r>
    </w:p>
    <w:p>
      <w:pPr>
        <w:pStyle w:val="Heading2"/>
        <w:spacing w:after="120" w:before="300"/>
      </w:pPr>
      <w:r>
        <w:rPr>
          <w:rFonts w:ascii="Arial" w:cs="Arial" w:eastAsia="Arial" w:hAnsi="Arial"/>
          <w:b/>
          <w:bCs/>
          <w:color w:val="2E4057"/>
          <w:sz w:val="26"/>
          <w:szCs w:val="26"/>
        </w:rPr>
        <w:t xml:space="preserve">1.5 Report Organization</w:t>
      </w:r>
    </w:p>
    <w:p>
      <w:pPr>
        <w:spacing w:after="80" w:before="60"/>
        <w:jc w:val="both"/>
      </w:pPr>
      <w:r>
        <w:rPr>
          <w:rFonts w:ascii="Arial" w:cs="Arial" w:eastAsia="Arial" w:hAnsi="Arial"/>
          <w:sz w:val="22"/>
          <w:szCs w:val="22"/>
        </w:rPr>
        <w:t xml:space="preserve">Chapter 2 presents a review of relevant literature on PSC technology, MXene applications in solar cells, and SCAPS-1D simulation methodology. Chapter 3 describes the device structure, energy band alignment, and material parameters used in the simulation. Chapter 4 details the simulation methodology and SCAPS-1D setup. Chapter 5 presents and discusses the simulation results across all parametric studies. Chapter 6 concludes the work and outlines future research directions.</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Chapter 2: Literature Review</w:t>
      </w:r>
    </w:p>
    <w:p>
      <w:pPr>
        <w:pStyle w:val="Heading2"/>
        <w:spacing w:after="120" w:before="300"/>
      </w:pPr>
      <w:r>
        <w:rPr>
          <w:rFonts w:ascii="Arial" w:cs="Arial" w:eastAsia="Arial" w:hAnsi="Arial"/>
          <w:b/>
          <w:bCs/>
          <w:color w:val="2E4057"/>
          <w:sz w:val="26"/>
          <w:szCs w:val="26"/>
        </w:rPr>
        <w:t xml:space="preserve">2.1 Evolution of Perovskite Solar Cells</w:t>
      </w:r>
    </w:p>
    <w:p>
      <w:pPr>
        <w:spacing w:after="80" w:before="60"/>
        <w:jc w:val="both"/>
      </w:pPr>
      <w:r>
        <w:rPr>
          <w:rFonts w:ascii="Arial" w:cs="Arial" w:eastAsia="Arial" w:hAnsi="Arial"/>
          <w:sz w:val="22"/>
          <w:szCs w:val="22"/>
        </w:rPr>
        <w:t xml:space="preserve">The perovskite photovoltaic field has evolved at an extraordinary pace. Kojima et al. (2009) first reported MAPbI3 as a photosensitizer in dye-sensitized solar cells, achieving 3.8% PCE. The landmark work by Kim et al. (2012) and Lee et al. (2012) established the solid-state PSC architecture, pushing efficiency above 10%. By 2023, single-junction PSC efficiencies exceeded 26%, approaching the Shockley-Queisser limit for a ~1.55 eV bandgap material.</w:t>
      </w:r>
    </w:p>
    <w:p>
      <w:pPr>
        <w:spacing w:after="80" w:before="60"/>
        <w:jc w:val="both"/>
      </w:pPr>
      <w:r>
        <w:rPr>
          <w:rFonts w:ascii="Arial" w:cs="Arial" w:eastAsia="Arial" w:hAnsi="Arial"/>
          <w:sz w:val="22"/>
          <w:szCs w:val="22"/>
        </w:rPr>
        <w:t xml:space="preserve">The rapid efficiency gains have been attributed to advances in perovskite composition engineering (mixed halide and mixed cation perovskites), interface passivation strategies, and improved charge transport materials. The introduction of halide-mixed perovskites such as MAPbI3-xClx demonstrated improved charge carrier diffusion lengths (&gt;1 µm) compared to pure iodide perovskites, owing to reduced deep trap-state densities.</w:t>
      </w:r>
    </w:p>
    <w:p>
      <w:pPr>
        <w:pStyle w:val="Heading2"/>
        <w:spacing w:after="120" w:before="300"/>
      </w:pPr>
      <w:r>
        <w:rPr>
          <w:rFonts w:ascii="Arial" w:cs="Arial" w:eastAsia="Arial" w:hAnsi="Arial"/>
          <w:b/>
          <w:bCs/>
          <w:color w:val="2E4057"/>
          <w:sz w:val="26"/>
          <w:szCs w:val="26"/>
        </w:rPr>
        <w:t xml:space="preserve">2.2 MXene Integration in Photovoltaics</w:t>
      </w:r>
    </w:p>
    <w:p>
      <w:pPr>
        <w:spacing w:after="80" w:before="60"/>
        <w:jc w:val="both"/>
      </w:pPr>
      <w:r>
        <w:rPr>
          <w:rFonts w:ascii="Arial" w:cs="Arial" w:eastAsia="Arial" w:hAnsi="Arial"/>
          <w:sz w:val="22"/>
          <w:szCs w:val="22"/>
        </w:rPr>
        <w:t xml:space="preserve">The application of MXenes in PSCs was first reported by Aftab et al. (2023), who demonstrated that 2D MXene nanosheets can function as effective electron and hole transport modifiers due to their tunable work function and high electrical conductivity. Subsequent studies by Alhamada et al. (2021, 2022) and Qamar et al. (2022) established MXene's role in interfacial modification, work-function tuning, and additive engineering in PSCs.</w:t>
      </w:r>
    </w:p>
    <w:p>
      <w:pPr>
        <w:spacing w:after="80" w:before="60"/>
        <w:jc w:val="both"/>
      </w:pPr>
      <w:r>
        <w:rPr>
          <w:rFonts w:ascii="Arial" w:cs="Arial" w:eastAsia="Arial" w:hAnsi="Arial"/>
          <w:sz w:val="22"/>
          <w:szCs w:val="22"/>
        </w:rPr>
        <w:t xml:space="preserve">Specifically, Ti3C2 MXene has been shown to: (i) improve electron extraction at the ETL/perovskite interface through work function alignment, (ii) passivate surface defects via functional group interactions with under-coordinated Pb²⁺ ions, (iii) enhance film morphology and crystallinity of the overlying perovskite layer, and (iv) improve moisture barrier properties due to its hydrophilic surface chemistry. Meskini and Asgharizadeh (2024) performed SCAPS simulations incorporating Ti3C2 MXene in SnO2 ETL, reporting significant efficiency improvements consistent with experimental observations.</w:t>
      </w:r>
    </w:p>
    <w:p>
      <w:pPr>
        <w:pStyle w:val="Heading2"/>
        <w:spacing w:after="120" w:before="300"/>
      </w:pPr>
      <w:r>
        <w:rPr>
          <w:rFonts w:ascii="Arial" w:cs="Arial" w:eastAsia="Arial" w:hAnsi="Arial"/>
          <w:b/>
          <w:bCs/>
          <w:color w:val="2E4057"/>
          <w:sz w:val="26"/>
          <w:szCs w:val="26"/>
        </w:rPr>
        <w:t xml:space="preserve">2.3 Carrier Transport Material Optimization</w:t>
      </w:r>
    </w:p>
    <w:p>
      <w:pPr>
        <w:spacing w:after="80" w:before="60"/>
        <w:jc w:val="both"/>
      </w:pPr>
      <w:r>
        <w:rPr>
          <w:rFonts w:ascii="Arial" w:cs="Arial" w:eastAsia="Arial" w:hAnsi="Arial"/>
          <w:sz w:val="22"/>
          <w:szCs w:val="22"/>
        </w:rPr>
        <w:t xml:space="preserve">The choice of carrier transport materials (CTMs) critically determines the overall PCE and stability of PSCs. ZnO has emerged as a leading ETM candidate due to its high electron mobility (~200 cm²/Vs for single crystals), direct bandgap of 3.3 eV, chemical stability, and low-cost synthesis via solution processing. Compared to the conventional TiO2 ETL, ZnO offers superior electron transport kinetics and can be processed at lower temperatures, making it compatible with flexible substrates.</w:t>
      </w:r>
    </w:p>
    <w:p>
      <w:pPr>
        <w:spacing w:after="80" w:before="60"/>
        <w:jc w:val="both"/>
      </w:pPr>
      <w:r>
        <w:rPr>
          <w:rFonts w:ascii="Arial" w:cs="Arial" w:eastAsia="Arial" w:hAnsi="Arial"/>
          <w:sz w:val="22"/>
          <w:szCs w:val="22"/>
        </w:rPr>
        <w:t xml:space="preserve">Spiro-OMeTAD remains the most widely used HTM in high-efficiency PSCs due to its high hole mobility (~4×10⁻⁴ cm²/Vs when doped), excellent film-forming properties producing pinhole-free films, and appropriate energy level alignment with common perovskite absorbers. Its HOMO level of approximately -5.22 eV ensures efficient hole extraction from perovskite materials with valence band maxima in the range of -5.4 to -5.8 eV.</w:t>
      </w:r>
    </w:p>
    <w:p>
      <w:pPr>
        <w:pStyle w:val="Heading2"/>
        <w:spacing w:after="120" w:before="300"/>
      </w:pPr>
      <w:r>
        <w:rPr>
          <w:rFonts w:ascii="Arial" w:cs="Arial" w:eastAsia="Arial" w:hAnsi="Arial"/>
          <w:b/>
          <w:bCs/>
          <w:color w:val="2E4057"/>
          <w:sz w:val="26"/>
          <w:szCs w:val="26"/>
        </w:rPr>
        <w:t xml:space="preserve">2.4 SCAPS-1D Simulation Methodology</w:t>
      </w:r>
    </w:p>
    <w:p>
      <w:pPr>
        <w:spacing w:after="80" w:before="60"/>
        <w:jc w:val="both"/>
      </w:pPr>
      <w:r>
        <w:rPr>
          <w:rFonts w:ascii="Arial" w:cs="Arial" w:eastAsia="Arial" w:hAnsi="Arial"/>
          <w:sz w:val="22"/>
          <w:szCs w:val="22"/>
        </w:rPr>
        <w:t xml:space="preserve">SCAPS-1D (Solar Cell Capacitance Simulator) is a one-dimensional solar cell simulation program developed at the University of Ghent, Belgium. The software solves three fundamental semiconductor equations self-consistently under illumination and in the dark: the Poisson equation relating charge density to electric potential, and the electron and hole continuity equations incorporating generation, recombination, and transport processes.</w:t>
      </w:r>
    </w:p>
    <w:p>
      <w:pPr>
        <w:spacing w:after="80" w:before="60"/>
        <w:jc w:val="both"/>
      </w:pPr>
      <w:r>
        <w:rPr>
          <w:rFonts w:ascii="Arial" w:cs="Arial" w:eastAsia="Arial" w:hAnsi="Arial"/>
          <w:sz w:val="22"/>
          <w:szCs w:val="22"/>
        </w:rPr>
        <w:t xml:space="preserve">SCAPS-1D has been extensively validated against experimental data for various PSC architectures. Azri et al. (2019) and Teimouri and Mohammadpour (2018) demonstrated excellent agreement between SCAPS simulations and experimental results for perovskite and CZTS-based solar cells, respectively. The software supports definition of up to seven semiconductor layers with customizable material parameters, defect states, and optical generation profiles.</w:t>
      </w:r>
    </w:p>
    <w:p>
      <w:pPr>
        <w:pStyle w:val="Heading2"/>
        <w:spacing w:after="120" w:before="300"/>
      </w:pPr>
      <w:r>
        <w:rPr>
          <w:rFonts w:ascii="Arial" w:cs="Arial" w:eastAsia="Arial" w:hAnsi="Arial"/>
          <w:b/>
          <w:bCs/>
          <w:color w:val="2E4057"/>
          <w:sz w:val="26"/>
          <w:szCs w:val="26"/>
        </w:rPr>
        <w:t xml:space="preserve">2.5 Research Gap and Contribution</w:t>
      </w:r>
    </w:p>
    <w:p>
      <w:pPr>
        <w:spacing w:after="80" w:before="60"/>
        <w:jc w:val="both"/>
      </w:pPr>
      <w:r>
        <w:rPr>
          <w:rFonts w:ascii="Arial" w:cs="Arial" w:eastAsia="Arial" w:hAnsi="Arial"/>
          <w:sz w:val="22"/>
          <w:szCs w:val="22"/>
        </w:rPr>
        <w:t xml:space="preserve">While extensive simulation studies have investigated single-absorber PSCs and individual material optimizations, systematic numerical studies of dual-absorber PSC architectures incorporating MXene-doped perovskites remain limited in the literature. Bhattarai et al. (2025) provided the foundational simulation framework for the MAPbI3-xClx/MAPbI3+Ti3C2 dual-absorber system, demonstrating 27.12% PCE. This project replicates and extends that study through independent SCAPS-1D simulations, validates the reported results, and provides additional physical insights through current component analysis, recombination mechanism characterization, and dark I-V analysis.</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Chapter 3: Device Structure and Theory</w:t>
      </w:r>
    </w:p>
    <w:p>
      <w:pPr>
        <w:pStyle w:val="Heading2"/>
        <w:spacing w:after="120" w:before="300"/>
      </w:pPr>
      <w:r>
        <w:rPr>
          <w:rFonts w:ascii="Arial" w:cs="Arial" w:eastAsia="Arial" w:hAnsi="Arial"/>
          <w:b/>
          <w:bCs/>
          <w:color w:val="2E4057"/>
          <w:sz w:val="26"/>
          <w:szCs w:val="26"/>
        </w:rPr>
        <w:t xml:space="preserve">3.1 Device Architecture</w:t>
      </w:r>
    </w:p>
    <w:p>
      <w:pPr>
        <w:spacing w:after="80" w:before="60"/>
        <w:jc w:val="both"/>
      </w:pPr>
      <w:r>
        <w:rPr>
          <w:rFonts w:ascii="Arial" w:cs="Arial" w:eastAsia="Arial" w:hAnsi="Arial"/>
          <w:sz w:val="22"/>
          <w:szCs w:val="22"/>
        </w:rPr>
        <w:t xml:space="preserve">The PSC device architecture investigated in this study consists of the following layers, listed in the order of light incidence:</w:t>
      </w:r>
    </w:p>
    <w:p>
      <w:pPr>
        <w:pStyle w:val="ListParagraph"/>
        <w:numPr>
          <w:ilvl w:val="0"/>
          <w:numId w:val="2"/>
        </w:numPr>
        <w:spacing w:after="40" w:before="40"/>
      </w:pPr>
      <w:r>
        <w:rPr>
          <w:rFonts w:ascii="Arial" w:cs="Arial" w:eastAsia="Arial" w:hAnsi="Arial"/>
          <w:sz w:val="22"/>
          <w:szCs w:val="22"/>
        </w:rPr>
        <w:t xml:space="preserve">Glass substrate: Rigid mechanical support, transparent to visible light</w:t>
      </w:r>
    </w:p>
    <w:p>
      <w:pPr>
        <w:pStyle w:val="ListParagraph"/>
        <w:numPr>
          <w:ilvl w:val="0"/>
          <w:numId w:val="2"/>
        </w:numPr>
        <w:spacing w:after="40" w:before="40"/>
      </w:pPr>
      <w:r>
        <w:rPr>
          <w:rFonts w:ascii="Arial" w:cs="Arial" w:eastAsia="Arial" w:hAnsi="Arial"/>
          <w:sz w:val="22"/>
          <w:szCs w:val="22"/>
        </w:rPr>
        <w:t xml:space="preserve">ITO (Indium Tin Oxide): Transparent conductive oxide front electrode (thickness ~150 nm)</w:t>
      </w:r>
    </w:p>
    <w:p>
      <w:pPr>
        <w:pStyle w:val="ListParagraph"/>
        <w:numPr>
          <w:ilvl w:val="0"/>
          <w:numId w:val="2"/>
        </w:numPr>
        <w:spacing w:after="40" w:before="40"/>
      </w:pPr>
      <w:r>
        <w:rPr>
          <w:rFonts w:ascii="Arial" w:cs="Arial" w:eastAsia="Arial" w:hAnsi="Arial"/>
          <w:sz w:val="22"/>
          <w:szCs w:val="22"/>
        </w:rPr>
        <w:t xml:space="preserve">ZnO: Electron transport layer (ETL), thickness 0.1–0.4 µm</w:t>
      </w:r>
    </w:p>
    <w:p>
      <w:pPr>
        <w:pStyle w:val="ListParagraph"/>
        <w:numPr>
          <w:ilvl w:val="0"/>
          <w:numId w:val="2"/>
        </w:numPr>
        <w:spacing w:after="40" w:before="40"/>
      </w:pPr>
      <w:r>
        <w:rPr>
          <w:rFonts w:ascii="Arial" w:cs="Arial" w:eastAsia="Arial" w:hAnsi="Arial"/>
          <w:sz w:val="22"/>
          <w:szCs w:val="22"/>
        </w:rPr>
        <w:t xml:space="preserve">MAPbI3+Ti3C2 (PAL2): MXene-doped perovskite absorber, thickness 0.3–1.5 µm</w:t>
      </w:r>
    </w:p>
    <w:p>
      <w:pPr>
        <w:pStyle w:val="ListParagraph"/>
        <w:numPr>
          <w:ilvl w:val="0"/>
          <w:numId w:val="2"/>
        </w:numPr>
        <w:spacing w:after="40" w:before="40"/>
      </w:pPr>
      <w:r>
        <w:rPr>
          <w:rFonts w:ascii="Arial" w:cs="Arial" w:eastAsia="Arial" w:hAnsi="Arial"/>
          <w:sz w:val="22"/>
          <w:szCs w:val="22"/>
        </w:rPr>
        <w:t xml:space="preserve">MAPbI3-xClx (PAL1): Halide-mixed perovskite absorber, thickness 0.3–1.5 µm</w:t>
      </w:r>
    </w:p>
    <w:p>
      <w:pPr>
        <w:pStyle w:val="ListParagraph"/>
        <w:numPr>
          <w:ilvl w:val="0"/>
          <w:numId w:val="2"/>
        </w:numPr>
        <w:spacing w:after="40" w:before="40"/>
      </w:pPr>
      <w:r>
        <w:rPr>
          <w:rFonts w:ascii="Arial" w:cs="Arial" w:eastAsia="Arial" w:hAnsi="Arial"/>
          <w:sz w:val="22"/>
          <w:szCs w:val="22"/>
        </w:rPr>
        <w:t xml:space="preserve">Spiro-OMeTAD: Hole transport layer (HTL), thickness 0.1–0.4 µm</w:t>
      </w:r>
    </w:p>
    <w:p>
      <w:pPr>
        <w:pStyle w:val="ListParagraph"/>
        <w:numPr>
          <w:ilvl w:val="0"/>
          <w:numId w:val="2"/>
        </w:numPr>
        <w:spacing w:after="40" w:before="40"/>
      </w:pPr>
      <w:r>
        <w:rPr>
          <w:rFonts w:ascii="Arial" w:cs="Arial" w:eastAsia="Arial" w:hAnsi="Arial"/>
          <w:sz w:val="22"/>
          <w:szCs w:val="22"/>
        </w:rPr>
        <w:t xml:space="preserve">Ag: Silver back electrode</w:t>
      </w:r>
    </w:p>
    <w:p>
      <w:pPr>
        <w:spacing w:after="80" w:before="60"/>
        <w:jc w:val="both"/>
      </w:pPr>
      <w:r>
        <w:rPr>
          <w:rFonts w:ascii="Arial" w:cs="Arial" w:eastAsia="Arial" w:hAnsi="Arial"/>
          <w:sz w:val="22"/>
          <w:szCs w:val="22"/>
        </w:rPr>
        <w:t xml:space="preserve">This architecture places the dual perovskite absorber stack between the ETL and HTL, creating a cascade energy alignment that promotes efficient charge separation and extraction. Incident photons first encounter the ZnO ETL, then are absorbed in the dual-PAL region, generating electron-hole pairs that are selectively directed to their respective transport layers.</w:t>
      </w:r>
    </w:p>
    <w:p>
      <w:pPr>
        <w:pStyle w:val="Heading2"/>
        <w:spacing w:after="120" w:before="300"/>
      </w:pPr>
      <w:r>
        <w:rPr>
          <w:rFonts w:ascii="Arial" w:cs="Arial" w:eastAsia="Arial" w:hAnsi="Arial"/>
          <w:b/>
          <w:bCs/>
          <w:color w:val="2E4057"/>
          <w:sz w:val="26"/>
          <w:szCs w:val="26"/>
        </w:rPr>
        <w:t xml:space="preserve">3.2 Working Mechanism</w:t>
      </w:r>
    </w:p>
    <w:p>
      <w:pPr>
        <w:spacing w:after="80" w:before="60"/>
        <w:jc w:val="both"/>
      </w:pPr>
      <w:r>
        <w:rPr>
          <w:rFonts w:ascii="Arial" w:cs="Arial" w:eastAsia="Arial" w:hAnsi="Arial"/>
          <w:sz w:val="22"/>
          <w:szCs w:val="22"/>
        </w:rPr>
        <w:t xml:space="preserve">Under AM 1.5G illumination, photons with energies exceeding the bandgap of the perovskite absorber layers generate electron-hole pairs. The built-in electric field at the perovskite/CTM interfaces drives photo-generated electrons toward the ZnO ETL and holes toward the Spiro-OMeTAD HTL. The dual-absorber design exploits complementary absorption profiles: MAPbI3+Ti3C2 (Eg = 1.6 eV) absorbs higher-energy photons, while MAPbI3-xClx (Eg = 1.55 eV, depending on Cl content) extends absorption further into the visible spectrum. Ti3C2 MXene within PAL2 provides additional charge transport pathways, reducing the distance charge carriers must travel before extraction and thereby minimizing recombination losses.</w:t>
      </w:r>
    </w:p>
    <w:p>
      <w:pPr>
        <w:pStyle w:val="Heading2"/>
        <w:spacing w:after="120" w:before="300"/>
      </w:pPr>
      <w:r>
        <w:rPr>
          <w:rFonts w:ascii="Arial" w:cs="Arial" w:eastAsia="Arial" w:hAnsi="Arial"/>
          <w:b/>
          <w:bCs/>
          <w:color w:val="2E4057"/>
          <w:sz w:val="26"/>
          <w:szCs w:val="26"/>
        </w:rPr>
        <w:t xml:space="preserve">3.3 Energy Band Alignment</w:t>
      </w:r>
    </w:p>
    <w:p>
      <w:pPr>
        <w:spacing w:after="80" w:before="60"/>
        <w:jc w:val="both"/>
      </w:pPr>
      <w:r>
        <w:rPr>
          <w:rFonts w:ascii="Arial" w:cs="Arial" w:eastAsia="Arial" w:hAnsi="Arial"/>
          <w:sz w:val="22"/>
          <w:szCs w:val="22"/>
        </w:rPr>
        <w:t xml:space="preserve">The energy band alignment of the device layers is crucial for efficient charge extraction. The electron affinity (χ) and bandgap (Eg) values determine the conduction band minimum (CBM = -χ) and valence band maximum (VBM = -χ - Eg) of each layer. For the optimal configuration:</w:t>
      </w:r>
    </w:p>
    <w:p>
      <w:pPr>
        <w:pStyle w:val="ListParagraph"/>
        <w:numPr>
          <w:ilvl w:val="0"/>
          <w:numId w:val="2"/>
        </w:numPr>
        <w:spacing w:after="40" w:before="40"/>
      </w:pPr>
      <w:r>
        <w:rPr>
          <w:rFonts w:ascii="Arial" w:cs="Arial" w:eastAsia="Arial" w:hAnsi="Arial"/>
          <w:sz w:val="22"/>
          <w:szCs w:val="22"/>
        </w:rPr>
        <w:t xml:space="preserve">ZnO: CBM = -4.1 eV, VBM = -7.4 eV (Eg = 3.3 eV)</w:t>
      </w:r>
    </w:p>
    <w:p>
      <w:pPr>
        <w:pStyle w:val="ListParagraph"/>
        <w:numPr>
          <w:ilvl w:val="0"/>
          <w:numId w:val="2"/>
        </w:numPr>
        <w:spacing w:after="40" w:before="40"/>
      </w:pPr>
      <w:r>
        <w:rPr>
          <w:rFonts w:ascii="Arial" w:cs="Arial" w:eastAsia="Arial" w:hAnsi="Arial"/>
          <w:sz w:val="22"/>
          <w:szCs w:val="22"/>
        </w:rPr>
        <w:t xml:space="preserve">MAPbI3+Ti3C2: CBM = -4.2 eV, VBM = -5.8 eV (Eg = 1.6 eV)</w:t>
      </w:r>
    </w:p>
    <w:p>
      <w:pPr>
        <w:pStyle w:val="ListParagraph"/>
        <w:numPr>
          <w:ilvl w:val="0"/>
          <w:numId w:val="2"/>
        </w:numPr>
        <w:spacing w:after="40" w:before="40"/>
      </w:pPr>
      <w:r>
        <w:rPr>
          <w:rFonts w:ascii="Arial" w:cs="Arial" w:eastAsia="Arial" w:hAnsi="Arial"/>
          <w:sz w:val="22"/>
          <w:szCs w:val="22"/>
        </w:rPr>
        <w:t xml:space="preserve">MAPbI3-xClx: CBM = -4.1 eV, VBM = -5.4 eV (Eg = 1.3 eV)</w:t>
      </w:r>
    </w:p>
    <w:p>
      <w:pPr>
        <w:pStyle w:val="ListParagraph"/>
        <w:numPr>
          <w:ilvl w:val="0"/>
          <w:numId w:val="2"/>
        </w:numPr>
        <w:spacing w:after="40" w:before="40"/>
      </w:pPr>
      <w:r>
        <w:rPr>
          <w:rFonts w:ascii="Arial" w:cs="Arial" w:eastAsia="Arial" w:hAnsi="Arial"/>
          <w:sz w:val="22"/>
          <w:szCs w:val="22"/>
        </w:rPr>
        <w:t xml:space="preserve">Spiro-OMeTAD: CBM = -2.45 eV, VBM = -5.45 eV (Eg = 3.0 eV)</w:t>
      </w:r>
    </w:p>
    <w:p>
      <w:pPr>
        <w:spacing w:after="80" w:before="60"/>
        <w:jc w:val="both"/>
      </w:pPr>
      <w:r>
        <w:rPr>
          <w:rFonts w:ascii="Arial" w:cs="Arial" w:eastAsia="Arial" w:hAnsi="Arial"/>
          <w:sz w:val="22"/>
          <w:szCs w:val="22"/>
        </w:rPr>
        <w:t xml:space="preserve">This alignment creates a type-II heterojunction at the PAL2/PAL1 interface, facilitating charge separation. The staggered energy levels ensure that electrons generated in both absorber layers can flow toward the ZnO ETL, while holes flow toward the Spiro-OMeTAD HTL with minimal energy barriers.</w:t>
      </w:r>
    </w:p>
    <w:p>
      <w:pPr>
        <w:pStyle w:val="Heading2"/>
        <w:spacing w:after="120" w:before="300"/>
      </w:pPr>
      <w:r>
        <w:rPr>
          <w:rFonts w:ascii="Arial" w:cs="Arial" w:eastAsia="Arial" w:hAnsi="Arial"/>
          <w:b/>
          <w:bCs/>
          <w:color w:val="2E4057"/>
          <w:sz w:val="26"/>
          <w:szCs w:val="26"/>
        </w:rPr>
        <w:t xml:space="preserve">3.4 Material Simulation Parameters</w:t>
      </w:r>
    </w:p>
    <w:p>
      <w:pPr>
        <w:spacing w:after="80" w:before="60"/>
        <w:jc w:val="both"/>
      </w:pPr>
      <w:r>
        <w:rPr>
          <w:rFonts w:ascii="Arial" w:cs="Arial" w:eastAsia="Arial" w:hAnsi="Arial"/>
          <w:sz w:val="22"/>
          <w:szCs w:val="22"/>
        </w:rPr>
        <w:t xml:space="preserve">Table 1 summarizes the key simulation parameters used for all device layers in this study. These parameters are drawn from previously published experimental and theoretical studies to ensure physical accuracy.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76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ZnO (ETL)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MAPbI3-xClx (PAL1)</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MAPbI3+Ti3C2 (PAL2)</w:t>
            </w:r>
          </w:p>
        </w:tc>
        <w:tc>
          <w:tcPr>
            <w:tcW w:type="dxa" w:w="1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Spiro-OMeTAD (HTL)</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Thickness (µm)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0.1–0.4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0.3–1.5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0.3–1.5</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0.1–0.4</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Eg (eV)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χ (eV)</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4.2</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εr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Nc (cm⁻³)</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4×10¹⁸</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1×10¹⁸</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1×10¹⁹</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1×10¹⁹</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Nv (cm⁻³)</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1×10¹⁹</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1×10¹⁸</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1×10¹⁹</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1×10¹⁹</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µn (cm²/Vs)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2×10⁻⁴</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µp (cm²/Vs)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2×10⁻⁴</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Na (cm⁻³)</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1×10⁵</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1×10¹⁵</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7×10¹⁵</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2×10¹⁸</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Nt (cm⁻³)</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1×10¹⁴</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10¹⁴–10¹⁵</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10¹⁴–10¹⁵</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1×10¹⁴</w:t>
            </w:r>
          </w:p>
        </w:tc>
      </w:tr>
    </w:tbl>
    <w:p>
      <w:pPr>
        <w:spacing w:after="160" w:before="60"/>
        <w:jc w:val="center"/>
      </w:pPr>
      <w:r>
        <w:rPr>
          <w:rFonts w:ascii="Arial" w:cs="Arial" w:eastAsia="Arial" w:hAnsi="Arial"/>
          <w:i/>
          <w:iCs/>
          <w:color w:val="444444"/>
          <w:sz w:val="18"/>
          <w:szCs w:val="18"/>
        </w:rPr>
        <w:t xml:space="preserve">Table 1: Simulation parameters and material properties used in SCAPS-1D modeling of the dual-absorber PSC.</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Chapter 4: Simulation Methodology</w:t>
      </w:r>
    </w:p>
    <w:p>
      <w:pPr>
        <w:pStyle w:val="Heading2"/>
        <w:spacing w:after="120" w:before="300"/>
      </w:pPr>
      <w:r>
        <w:rPr>
          <w:rFonts w:ascii="Arial" w:cs="Arial" w:eastAsia="Arial" w:hAnsi="Arial"/>
          <w:b/>
          <w:bCs/>
          <w:color w:val="2E4057"/>
          <w:sz w:val="26"/>
          <w:szCs w:val="26"/>
        </w:rPr>
        <w:t xml:space="preserve">4.1 SCAPS-1D Software Overview</w:t>
      </w:r>
    </w:p>
    <w:p>
      <w:pPr>
        <w:spacing w:after="80" w:before="60"/>
        <w:jc w:val="both"/>
      </w:pPr>
      <w:r>
        <w:rPr>
          <w:rFonts w:ascii="Arial" w:cs="Arial" w:eastAsia="Arial" w:hAnsi="Arial"/>
          <w:sz w:val="22"/>
          <w:szCs w:val="22"/>
        </w:rPr>
        <w:t xml:space="preserve">All simulations in this study were performed using SCAPS-1D (version 3.3.09), developed at ELIS, Ghent University, Belgium. The software solves the one-dimensional semiconductor transport equations:</w:t>
      </w:r>
    </w:p>
    <w:p>
      <w:pPr>
        <w:pStyle w:val="ListParagraph"/>
        <w:numPr>
          <w:ilvl w:val="0"/>
          <w:numId w:val="2"/>
        </w:numPr>
        <w:spacing w:after="40" w:before="40"/>
      </w:pPr>
      <w:r>
        <w:rPr>
          <w:rFonts w:ascii="Arial" w:cs="Arial" w:eastAsia="Arial" w:hAnsi="Arial"/>
          <w:sz w:val="22"/>
          <w:szCs w:val="22"/>
        </w:rPr>
        <w:t xml:space="preserve">Poisson equation: d²ψ/dx² = -(q/ε)[p - n + N⁺D - N⁻A + ρ_traps]</w:t>
      </w:r>
    </w:p>
    <w:p>
      <w:pPr>
        <w:pStyle w:val="ListParagraph"/>
        <w:numPr>
          <w:ilvl w:val="0"/>
          <w:numId w:val="2"/>
        </w:numPr>
        <w:spacing w:after="40" w:before="40"/>
      </w:pPr>
      <w:r>
        <w:rPr>
          <w:rFonts w:ascii="Arial" w:cs="Arial" w:eastAsia="Arial" w:hAnsi="Arial"/>
          <w:sz w:val="22"/>
          <w:szCs w:val="22"/>
        </w:rPr>
        <w:t xml:space="preserve">Electron continuity equation: dJn/dx = -q(G - R)</w:t>
      </w:r>
    </w:p>
    <w:p>
      <w:pPr>
        <w:pStyle w:val="ListParagraph"/>
        <w:numPr>
          <w:ilvl w:val="0"/>
          <w:numId w:val="2"/>
        </w:numPr>
        <w:spacing w:after="40" w:before="40"/>
      </w:pPr>
      <w:r>
        <w:rPr>
          <w:rFonts w:ascii="Arial" w:cs="Arial" w:eastAsia="Arial" w:hAnsi="Arial"/>
          <w:sz w:val="22"/>
          <w:szCs w:val="22"/>
        </w:rPr>
        <w:t xml:space="preserve">Hole continuity equation: dJp/dx = q(G - R)</w:t>
      </w:r>
    </w:p>
    <w:p>
      <w:pPr>
        <w:spacing w:after="80" w:before="60"/>
        <w:jc w:val="both"/>
      </w:pPr>
      <w:r>
        <w:rPr>
          <w:rFonts w:ascii="Arial" w:cs="Arial" w:eastAsia="Arial" w:hAnsi="Arial"/>
          <w:sz w:val="22"/>
          <w:szCs w:val="22"/>
        </w:rPr>
        <w:t xml:space="preserve">where ψ is the electrostatic potential, n and p are electron and hole concentrations, G is the generation rate, and R is the recombination rate. Recombination is modeled through SRH, radiative, and Auger mechanisms, with SRH dominating in trap-rich perovskite materials.</w:t>
      </w:r>
    </w:p>
    <w:p>
      <w:pPr>
        <w:pStyle w:val="Heading2"/>
        <w:spacing w:after="120" w:before="300"/>
      </w:pPr>
      <w:r>
        <w:rPr>
          <w:rFonts w:ascii="Arial" w:cs="Arial" w:eastAsia="Arial" w:hAnsi="Arial"/>
          <w:b/>
          <w:bCs/>
          <w:color w:val="2E4057"/>
          <w:sz w:val="26"/>
          <w:szCs w:val="26"/>
        </w:rPr>
        <w:t xml:space="preserve">4.2 Illumination and Temperature Conditions</w:t>
      </w:r>
    </w:p>
    <w:p>
      <w:pPr>
        <w:spacing w:after="80" w:before="60"/>
        <w:jc w:val="both"/>
      </w:pPr>
      <w:r>
        <w:rPr>
          <w:rFonts w:ascii="Arial" w:cs="Arial" w:eastAsia="Arial" w:hAnsi="Arial"/>
          <w:sz w:val="22"/>
          <w:szCs w:val="22"/>
        </w:rPr>
        <w:t xml:space="preserve">All simulations use the AM 1.5G global solar spectrum with an incident power density of 100 mW/cm². The standard operating temperature is 300 K. For temperature-dependent studies, the device temperature was varied from 300 K to 400 K in steps of 20 K. The voltage sweep for J-V simulations spans 0 V to 1.5 V in steps of 0.02 V.</w:t>
      </w:r>
    </w:p>
    <w:p>
      <w:pPr>
        <w:pStyle w:val="Heading2"/>
        <w:spacing w:after="120" w:before="300"/>
      </w:pPr>
      <w:r>
        <w:rPr>
          <w:rFonts w:ascii="Arial" w:cs="Arial" w:eastAsia="Arial" w:hAnsi="Arial"/>
          <w:b/>
          <w:bCs/>
          <w:color w:val="2E4057"/>
          <w:sz w:val="26"/>
          <w:szCs w:val="26"/>
        </w:rPr>
        <w:t xml:space="preserve">4.3 Batch Simulation Approach</w:t>
      </w:r>
    </w:p>
    <w:p>
      <w:pPr>
        <w:spacing w:after="80" w:before="60"/>
        <w:jc w:val="both"/>
      </w:pPr>
      <w:r>
        <w:rPr>
          <w:rFonts w:ascii="Arial" w:cs="Arial" w:eastAsia="Arial" w:hAnsi="Arial"/>
          <w:sz w:val="22"/>
          <w:szCs w:val="22"/>
        </w:rPr>
        <w:t xml:space="preserve">Parametric optimization was performed through systematic batch simulations. For two-dimensional parameter sweeps (e.g., PAL1 thickness vs. PAL2 thickness), SCAPS-1D was configured to vary one parameter per batch while the other was manually set for each run, generating a grid of simulation results. The extracted solar cell parameters (Jsc, Voc, FF, PCE) were recorded for each combination and subsequently processed using Python scripts to generate contour plots.</w:t>
      </w:r>
    </w:p>
    <w:p>
      <w:pPr>
        <w:pStyle w:val="Heading2"/>
        <w:spacing w:after="120" w:before="300"/>
      </w:pPr>
      <w:r>
        <w:rPr>
          <w:rFonts w:ascii="Arial" w:cs="Arial" w:eastAsia="Arial" w:hAnsi="Arial"/>
          <w:b/>
          <w:bCs/>
          <w:color w:val="2E4057"/>
          <w:sz w:val="26"/>
          <w:szCs w:val="26"/>
        </w:rPr>
        <w:t xml:space="preserve">4.4 Data Extraction and Post-Processing</w:t>
      </w:r>
    </w:p>
    <w:p>
      <w:pPr>
        <w:spacing w:after="80" w:before="60"/>
        <w:jc w:val="both"/>
      </w:pPr>
      <w:r>
        <w:rPr>
          <w:rFonts w:ascii="Arial" w:cs="Arial" w:eastAsia="Arial" w:hAnsi="Arial"/>
          <w:sz w:val="22"/>
          <w:szCs w:val="22"/>
        </w:rPr>
        <w:t xml:space="preserve">SCAPS-1D simulation outputs were saved as .iv files (for J-V characteristics) and .qe files (for quantum efficiency). Python scripts utilizing NumPy, Matplotlib, and SciPy were developed to parse these output files, extract relevant parameters, and generate publication-quality plots. Contour plots were generated using scipy.interpolate.griddata for smooth interpolation between discrete simulation points.</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Chapter 5: Results and Discussion</w:t>
      </w:r>
    </w:p>
    <w:p>
      <w:pPr>
        <w:pStyle w:val="Heading2"/>
        <w:spacing w:after="120" w:before="300"/>
      </w:pPr>
      <w:r>
        <w:rPr>
          <w:rFonts w:ascii="Arial" w:cs="Arial" w:eastAsia="Arial" w:hAnsi="Arial"/>
          <w:b/>
          <w:bCs/>
          <w:color w:val="2E4057"/>
          <w:sz w:val="26"/>
          <w:szCs w:val="26"/>
        </w:rPr>
        <w:t xml:space="preserve">5.1 Effect of PAL Thickness on Device Performance</w:t>
      </w:r>
    </w:p>
    <w:p>
      <w:pPr>
        <w:spacing w:after="80" w:before="60"/>
        <w:jc w:val="both"/>
      </w:pPr>
      <w:r>
        <w:rPr>
          <w:rFonts w:ascii="Arial" w:cs="Arial" w:eastAsia="Arial" w:hAnsi="Arial"/>
          <w:sz w:val="22"/>
          <w:szCs w:val="22"/>
        </w:rPr>
        <w:t xml:space="preserve">The impact of perovskite absorber layer (PAL) thickness on device performance was evaluated through a systematic 11×11 grid batch simulation, varying PAL1 (MAPbI3-xClx) thickness from 0.3 to 1.3 µm and PAL2 (MAPbI3+Ti3C2) thickness from 0.3 to 1.3 µm. Figure 1 shows contour maps of Jsc, Voc, FF, and PCE as functions of both layer thicknesses.</w:t>
      </w:r>
    </w:p>
    <w:p>
      <w:pPr>
        <w:spacing w:after="80" w:before="60"/>
        <w:jc w:val="both"/>
      </w:pPr>
      <w:r>
        <w:rPr>
          <w:rFonts w:ascii="Arial" w:cs="Arial" w:eastAsia="Arial" w:hAnsi="Arial"/>
          <w:sz w:val="22"/>
          <w:szCs w:val="22"/>
        </w:rPr>
        <w:t xml:space="preserve">[Figure 1: 4-panel contour map — PAL1 vs PAL2 thickness — Jsc, Voc, FF, PCE]</w:t>
      </w:r>
    </w:p>
    <w:p>
      <w:pPr>
        <w:spacing w:after="160" w:before="60"/>
        <w:jc w:val="center"/>
      </w:pPr>
      <w:r>
        <w:rPr>
          <w:rFonts w:ascii="Arial" w:cs="Arial" w:eastAsia="Arial" w:hAnsi="Arial"/>
          <w:i/>
          <w:iCs/>
          <w:color w:val="444444"/>
          <w:sz w:val="18"/>
          <w:szCs w:val="18"/>
        </w:rPr>
        <w:t xml:space="preserve">Figure 1: Contour maps showing the variation of (a) Jsc, (b) Voc, (c) FF, and (d) PCE as functions of PAL1 and PAL2 absorber layer thicknesses.</w:t>
      </w:r>
    </w:p>
    <w:p>
      <w:pPr>
        <w:spacing w:after="80" w:before="60"/>
        <w:jc w:val="both"/>
      </w:pPr>
      <w:r>
        <w:rPr>
          <w:rFonts w:ascii="Arial" w:cs="Arial" w:eastAsia="Arial" w:hAnsi="Arial"/>
          <w:sz w:val="22"/>
          <w:szCs w:val="22"/>
        </w:rPr>
        <w:t xml:space="preserve">The Jsc increases monotonically with PAL1 thickness, saturating above ~1.0 µm. This is physically consistent with increased photon absorption in thicker absorber layers, generating more electron-hole pairs. However, excessively thick absorber layers increase the carrier transit distance, leading to higher bulk recombination probability, which explains the saturation behavior.</w:t>
      </w:r>
    </w:p>
    <w:p>
      <w:pPr>
        <w:spacing w:after="80" w:before="60"/>
        <w:jc w:val="both"/>
      </w:pPr>
      <w:r>
        <w:rPr>
          <w:rFonts w:ascii="Arial" w:cs="Arial" w:eastAsia="Arial" w:hAnsi="Arial"/>
          <w:sz w:val="22"/>
          <w:szCs w:val="22"/>
        </w:rPr>
        <w:t xml:space="preserve">The Voc shows an opposing trend, decreasing with both PAL1 and PAL2 thickness. Thicker absorber layers introduce more bulk defects and recombination centers, increasing the dark saturation current J0 and consequently reducing Voc according to the relationship: Voc = (nkT/q)·ln(Jsc/J0 + 1). This highlights the critical trade-off between photocurrent generation and voltage maintenance in thick perovskite layers.</w:t>
      </w:r>
    </w:p>
    <w:p>
      <w:pPr>
        <w:spacing w:after="80" w:before="60"/>
        <w:jc w:val="both"/>
      </w:pPr>
      <w:r>
        <w:rPr>
          <w:rFonts w:ascii="Arial" w:cs="Arial" w:eastAsia="Arial" w:hAnsi="Arial"/>
          <w:sz w:val="22"/>
          <w:szCs w:val="22"/>
        </w:rPr>
        <w:t xml:space="preserve">The fill factor (FF) shows optimal values in the thin-absorber regime for both layers. Thinner absorbers reduce series resistance and improve charge transport efficiency, allowing carriers to reach the extraction interfaces with fewer collision events. The PCE map reflects a balance between all three parameters, with peak PCE achieved at PAL1 ≈ 0.5 µm and PAL2 ≈ 0.3 µm in this simulation configuration.</w:t>
      </w:r>
    </w:p>
    <w:p>
      <w:pPr>
        <w:pStyle w:val="Heading2"/>
        <w:spacing w:after="120" w:before="300"/>
      </w:pPr>
      <w:r>
        <w:rPr>
          <w:rFonts w:ascii="Arial" w:cs="Arial" w:eastAsia="Arial" w:hAnsi="Arial"/>
          <w:b/>
          <w:bCs/>
          <w:color w:val="2E4057"/>
          <w:sz w:val="26"/>
          <w:szCs w:val="26"/>
        </w:rPr>
        <w:t xml:space="preserve">5.2 Effect of PAL Defect Density on Device Performance</w:t>
      </w:r>
    </w:p>
    <w:p>
      <w:pPr>
        <w:spacing w:after="80" w:before="60"/>
        <w:jc w:val="both"/>
      </w:pPr>
      <w:r>
        <w:rPr>
          <w:rFonts w:ascii="Arial" w:cs="Arial" w:eastAsia="Arial" w:hAnsi="Arial"/>
          <w:sz w:val="22"/>
          <w:szCs w:val="22"/>
        </w:rPr>
        <w:t xml:space="preserve">Defect density (Nt) in the perovskite absorber layers acts as the primary SRH recombination center, trapping photo-generated carriers before they can be extracted. Figure 2 shows the PCE contour as a function of PAL1 and PAL2 defect densities, swept across the range 10¹³ to 10¹⁷ cm⁻³.</w:t>
      </w:r>
    </w:p>
    <w:p>
      <w:pPr>
        <w:spacing w:after="80" w:before="60"/>
        <w:jc w:val="both"/>
      </w:pPr>
      <w:r>
        <w:rPr>
          <w:rFonts w:ascii="Arial" w:cs="Arial" w:eastAsia="Arial" w:hAnsi="Arial"/>
          <w:sz w:val="22"/>
          <w:szCs w:val="22"/>
        </w:rPr>
        <w:t xml:space="preserve">[Figure 2: Contour map — PAL defect density vs PCE]</w:t>
      </w:r>
    </w:p>
    <w:p>
      <w:pPr>
        <w:spacing w:after="160" w:before="60"/>
        <w:jc w:val="center"/>
      </w:pPr>
      <w:r>
        <w:rPr>
          <w:rFonts w:ascii="Arial" w:cs="Arial" w:eastAsia="Arial" w:hAnsi="Arial"/>
          <w:i/>
          <w:iCs/>
          <w:color w:val="444444"/>
          <w:sz w:val="18"/>
          <w:szCs w:val="18"/>
        </w:rPr>
        <w:t xml:space="preserve">Figure 2: Effect of defect density of PAL1 and PAL2 on the power conversion efficiency (PCE) of the device.</w:t>
      </w:r>
    </w:p>
    <w:p>
      <w:pPr>
        <w:spacing w:after="80" w:before="60"/>
        <w:jc w:val="both"/>
      </w:pPr>
      <w:r>
        <w:rPr>
          <w:rFonts w:ascii="Arial" w:cs="Arial" w:eastAsia="Arial" w:hAnsi="Arial"/>
          <w:sz w:val="22"/>
          <w:szCs w:val="22"/>
        </w:rPr>
        <w:t xml:space="preserve">The simulation confirms that PCE reaches its maximum of 27.12% when both PAL defect densities are maintained below 10¹⁵ cm⁻³. This corresponds to the regime where the SRH recombination lifetime τSRH = 1/(σvthNt) is sufficiently long for carriers to diffuse to the extraction interfaces before recombining. The steep PCE drop above Nt = 10¹⁵ cm⁻³ underscores the importance of defect passivation strategies, such as MXene addition, grain boundary engineering, and post-deposition annealing, in achieving high-efficiency PSCs.</w:t>
      </w:r>
    </w:p>
    <w:p>
      <w:pPr>
        <w:pStyle w:val="Heading2"/>
        <w:spacing w:after="120" w:before="300"/>
      </w:pPr>
      <w:r>
        <w:rPr>
          <w:rFonts w:ascii="Arial" w:cs="Arial" w:eastAsia="Arial" w:hAnsi="Arial"/>
          <w:b/>
          <w:bCs/>
          <w:color w:val="2E4057"/>
          <w:sz w:val="26"/>
          <w:szCs w:val="26"/>
        </w:rPr>
        <w:t xml:space="preserve">5.3 Series and Shunt Resistance Effects</w:t>
      </w:r>
    </w:p>
    <w:p>
      <w:pPr>
        <w:spacing w:after="80" w:before="60"/>
        <w:jc w:val="both"/>
      </w:pPr>
      <w:r>
        <w:rPr>
          <w:rFonts w:ascii="Arial" w:cs="Arial" w:eastAsia="Arial" w:hAnsi="Arial"/>
          <w:sz w:val="22"/>
          <w:szCs w:val="22"/>
        </w:rPr>
        <w:t xml:space="preserve">Figure 3 shows the variation of PCE as a function of series resistance (Rs) and shunt resistance (Rsh). Series resistance arises from resistive losses in the bulk absorber, transport layers, and electrode contacts, while shunt resistance represents parasitic current pathways through defects and pinholes.</w:t>
      </w:r>
    </w:p>
    <w:p>
      <w:pPr>
        <w:spacing w:after="80" w:before="60"/>
        <w:jc w:val="both"/>
      </w:pPr>
      <w:r>
        <w:rPr>
          <w:rFonts w:ascii="Arial" w:cs="Arial" w:eastAsia="Arial" w:hAnsi="Arial"/>
          <w:sz w:val="22"/>
          <w:szCs w:val="22"/>
        </w:rPr>
        <w:t xml:space="preserve">[Figure 3: 3D surface or contour — PCE vs Rs and Rsh]</w:t>
      </w:r>
    </w:p>
    <w:p>
      <w:pPr>
        <w:spacing w:after="160" w:before="60"/>
        <w:jc w:val="center"/>
      </w:pPr>
      <w:r>
        <w:rPr>
          <w:rFonts w:ascii="Arial" w:cs="Arial" w:eastAsia="Arial" w:hAnsi="Arial"/>
          <w:i/>
          <w:iCs/>
          <w:color w:val="444444"/>
          <w:sz w:val="18"/>
          <w:szCs w:val="18"/>
        </w:rPr>
        <w:t xml:space="preserve">Figure 3: Variation of PCE as a function of series resistance (Rs) and shunt resistance (Rsh).</w:t>
      </w:r>
    </w:p>
    <w:p>
      <w:pPr>
        <w:spacing w:after="80" w:before="60"/>
        <w:jc w:val="both"/>
      </w:pPr>
      <w:r>
        <w:rPr>
          <w:rFonts w:ascii="Arial" w:cs="Arial" w:eastAsia="Arial" w:hAnsi="Arial"/>
          <w:sz w:val="22"/>
          <w:szCs w:val="22"/>
        </w:rPr>
        <w:t xml:space="preserve">As expected from solar cell equivalent circuit theory, PCE decreases sharply with increasing Rs and decreasing Rsh. High Rs reduces the fill factor by creating an ohmic voltage drop across non-active layers, while low Rsh causes current leakage that reduces both Voc and FF. The optimal device configuration requires minimizing Rs through high-quality electrode contacts and maximizing Rsh through defect-free perovskite film growth.</w:t>
      </w:r>
    </w:p>
    <w:p>
      <w:pPr>
        <w:pStyle w:val="Heading2"/>
        <w:spacing w:after="120" w:before="300"/>
      </w:pPr>
      <w:r>
        <w:rPr>
          <w:rFonts w:ascii="Arial" w:cs="Arial" w:eastAsia="Arial" w:hAnsi="Arial"/>
          <w:b/>
          <w:bCs/>
          <w:color w:val="2E4057"/>
          <w:sz w:val="26"/>
          <w:szCs w:val="26"/>
        </w:rPr>
        <w:t xml:space="preserve">5.4 Effect of ETL and HTL Thickness</w:t>
      </w:r>
    </w:p>
    <w:p>
      <w:pPr>
        <w:spacing w:after="80" w:before="60"/>
        <w:jc w:val="both"/>
      </w:pPr>
      <w:r>
        <w:rPr>
          <w:rFonts w:ascii="Arial" w:cs="Arial" w:eastAsia="Arial" w:hAnsi="Arial"/>
          <w:sz w:val="22"/>
          <w:szCs w:val="22"/>
        </w:rPr>
        <w:t xml:space="preserve">The thicknesses of the ZnO ETL and Spiro-OMeTAD HTL were systematically varied between 0.1 µm and 0.9 µm. Figure 4 presents the four-panel contour analysis of Jsc, Voc, FF, and PCE as functions of ETL and HTL thicknesses.</w:t>
      </w:r>
    </w:p>
    <w:p>
      <w:pPr>
        <w:spacing w:after="80" w:before="60"/>
        <w:jc w:val="both"/>
      </w:pPr>
      <w:r>
        <w:rPr>
          <w:rFonts w:ascii="Arial" w:cs="Arial" w:eastAsia="Arial" w:hAnsi="Arial"/>
          <w:sz w:val="22"/>
          <w:szCs w:val="22"/>
        </w:rPr>
        <w:t xml:space="preserve">[Figure 4: 4-panel contour — ETL/HTL thickness vs Jsc, Voc, FF, PCE]</w:t>
      </w:r>
    </w:p>
    <w:p>
      <w:pPr>
        <w:spacing w:after="160" w:before="60"/>
        <w:jc w:val="center"/>
      </w:pPr>
      <w:r>
        <w:rPr>
          <w:rFonts w:ascii="Arial" w:cs="Arial" w:eastAsia="Arial" w:hAnsi="Arial"/>
          <w:i/>
          <w:iCs/>
          <w:color w:val="444444"/>
          <w:sz w:val="18"/>
          <w:szCs w:val="18"/>
        </w:rPr>
        <w:t xml:space="preserve">Figure 4: PSC performance characteristics as functions of ETL (ZnO) and HTL (Spiro-OMeTAD) layer thicknesses.</w:t>
      </w:r>
    </w:p>
    <w:p>
      <w:pPr>
        <w:spacing w:after="80" w:before="60"/>
        <w:jc w:val="both"/>
      </w:pPr>
      <w:r>
        <w:rPr>
          <w:rFonts w:ascii="Arial" w:cs="Arial" w:eastAsia="Arial" w:hAnsi="Arial"/>
          <w:sz w:val="22"/>
          <w:szCs w:val="22"/>
        </w:rPr>
        <w:t xml:space="preserve">The Jsc remains essentially constant with ETL thickness variation within the studied range, indicating that the ZnO ETL efficiently transports electrons without introducing significant resistive losses up to 0.9 µm. In contrast, Jsc decreases with increasing HTL thickness beyond 0.1 µm, as the thicker Spiro-OMeTAD layer absorbs some incident light before it reaches the perovskite absorbers, reducing photon availability for carrier generation.</w:t>
      </w:r>
    </w:p>
    <w:p>
      <w:pPr>
        <w:spacing w:after="80" w:before="60"/>
        <w:jc w:val="both"/>
      </w:pPr>
      <w:r>
        <w:rPr>
          <w:rFonts w:ascii="Arial" w:cs="Arial" w:eastAsia="Arial" w:hAnsi="Arial"/>
          <w:sz w:val="22"/>
          <w:szCs w:val="22"/>
        </w:rPr>
        <w:t xml:space="preserve">The PCE is maximized when ETL thickness is in the range 0.1–0.4 µm and HTL thickness is between 0.1–0.2 µm. These optimal ranges balance efficient charge collection with minimal parasitic absorption and series resistance contributions from the transport layers.</w:t>
      </w:r>
    </w:p>
    <w:p>
      <w:pPr>
        <w:pStyle w:val="Heading2"/>
        <w:spacing w:after="120" w:before="300"/>
      </w:pPr>
      <w:r>
        <w:rPr>
          <w:rFonts w:ascii="Arial" w:cs="Arial" w:eastAsia="Arial" w:hAnsi="Arial"/>
          <w:b/>
          <w:bCs/>
          <w:color w:val="2E4057"/>
          <w:sz w:val="26"/>
          <w:szCs w:val="26"/>
        </w:rPr>
        <w:t xml:space="preserve">5.5 Effect of ETL and HTL Defect Density</w:t>
      </w:r>
    </w:p>
    <w:p>
      <w:pPr>
        <w:spacing w:after="80" w:before="60"/>
        <w:jc w:val="both"/>
      </w:pPr>
      <w:r>
        <w:rPr>
          <w:rFonts w:ascii="Arial" w:cs="Arial" w:eastAsia="Arial" w:hAnsi="Arial"/>
          <w:sz w:val="22"/>
          <w:szCs w:val="22"/>
        </w:rPr>
        <w:t xml:space="preserve">Figure 5 shows the effect of defect densities in the ZnO ETL and Spiro-OMeTAD HTL on device performance parameters.</w:t>
      </w:r>
    </w:p>
    <w:p>
      <w:pPr>
        <w:spacing w:after="80" w:before="60"/>
        <w:jc w:val="both"/>
      </w:pPr>
      <w:r>
        <w:rPr>
          <w:rFonts w:ascii="Arial" w:cs="Arial" w:eastAsia="Arial" w:hAnsi="Arial"/>
          <w:sz w:val="22"/>
          <w:szCs w:val="22"/>
        </w:rPr>
        <w:t xml:space="preserve">[Figure 5: Contour — ETL/HTL defect density vs performance]</w:t>
      </w:r>
    </w:p>
    <w:p>
      <w:pPr>
        <w:spacing w:after="160" w:before="60"/>
        <w:jc w:val="center"/>
      </w:pPr>
      <w:r>
        <w:rPr>
          <w:rFonts w:ascii="Arial" w:cs="Arial" w:eastAsia="Arial" w:hAnsi="Arial"/>
          <w:i/>
          <w:iCs/>
          <w:color w:val="444444"/>
          <w:sz w:val="18"/>
          <w:szCs w:val="18"/>
        </w:rPr>
        <w:t xml:space="preserve">Figure 5: Effect of ETL and HTL defect densities on Jsc, Voc, FF, and PCE of the dual-absorber PSC.</w:t>
      </w:r>
    </w:p>
    <w:p>
      <w:pPr>
        <w:spacing w:after="80" w:before="60"/>
        <w:jc w:val="both"/>
      </w:pPr>
      <w:r>
        <w:rPr>
          <w:rFonts w:ascii="Arial" w:cs="Arial" w:eastAsia="Arial" w:hAnsi="Arial"/>
          <w:sz w:val="22"/>
          <w:szCs w:val="22"/>
        </w:rPr>
        <w:t xml:space="preserve">The simulation reveals that device performance parameters (Voc, Jsc, PCE) remain largely unaffected by ETL defect density variations from 10¹⁴ to 10¹⁸ cm⁻³. This robustness arises because the ZnO ETL, being heavily n-doped (Nd = 10¹⁸ cm⁻³), maintains efficient electron transport even with substantial defect concentrations. In contrast, the same parameters show a significant decline when HTL defect density exceeds 10¹⁵ cm⁻³, as Spiro-OMeTAD defects introduce recombination centers at the perovskite/HTL interface, reducing hole extraction efficiency and increasing recombination losses.</w:t>
      </w:r>
    </w:p>
    <w:p>
      <w:pPr>
        <w:pStyle w:val="Heading2"/>
        <w:spacing w:after="120" w:before="300"/>
      </w:pPr>
      <w:r>
        <w:rPr>
          <w:rFonts w:ascii="Arial" w:cs="Arial" w:eastAsia="Arial" w:hAnsi="Arial"/>
          <w:b/>
          <w:bCs/>
          <w:color w:val="2E4057"/>
          <w:sz w:val="26"/>
          <w:szCs w:val="26"/>
        </w:rPr>
        <w:t xml:space="preserve">5.6 Temperature Dependence</w:t>
      </w:r>
    </w:p>
    <w:p>
      <w:pPr>
        <w:spacing w:after="80" w:before="60"/>
        <w:jc w:val="both"/>
      </w:pPr>
      <w:r>
        <w:rPr>
          <w:rFonts w:ascii="Arial" w:cs="Arial" w:eastAsia="Arial" w:hAnsi="Arial"/>
          <w:sz w:val="22"/>
          <w:szCs w:val="22"/>
        </w:rPr>
        <w:t xml:space="preserve">Figure 6 presents the temperature dependence of all four solar cell performance parameters as the device temperature is varied from 300 K to 400 K.</w:t>
      </w:r>
    </w:p>
    <w:p>
      <w:pPr>
        <w:spacing w:after="80" w:before="60"/>
        <w:jc w:val="both"/>
      </w:pPr>
      <w:r>
        <w:rPr>
          <w:rFonts w:ascii="Arial" w:cs="Arial" w:eastAsia="Arial" w:hAnsi="Arial"/>
          <w:sz w:val="22"/>
          <w:szCs w:val="22"/>
        </w:rPr>
        <w:t xml:space="preserve">[Figure 6: Temperature sweep — Jsc, Voc, FF, PCE vs Temperature]</w:t>
      </w:r>
    </w:p>
    <w:p>
      <w:pPr>
        <w:spacing w:after="160" w:before="60"/>
        <w:jc w:val="center"/>
      </w:pPr>
      <w:r>
        <w:rPr>
          <w:rFonts w:ascii="Arial" w:cs="Arial" w:eastAsia="Arial" w:hAnsi="Arial"/>
          <w:i/>
          <w:iCs/>
          <w:color w:val="444444"/>
          <w:sz w:val="18"/>
          <w:szCs w:val="18"/>
        </w:rPr>
        <w:t xml:space="preserve">Figure 6: Variation of PSC performance parameters (Jsc, Voc, FF, PCE) as functions of device temperature (300–400 K).</w:t>
      </w:r>
    </w:p>
    <w:p>
      <w:pPr>
        <w:spacing w:after="80" w:before="60"/>
        <w:jc w:val="both"/>
      </w:pPr>
      <w:r>
        <w:rPr>
          <w:rFonts w:ascii="Arial" w:cs="Arial" w:eastAsia="Arial" w:hAnsi="Arial"/>
          <w:sz w:val="22"/>
          <w:szCs w:val="22"/>
        </w:rPr>
        <w:t xml:space="preserve">The Voc exhibits a nearly linear decrease with temperature, following the theoretical relationship dVoc/dT ≈ -(Eg/q - Voc)/T, which predicts approximately -1.5 to -2.0 mV/K for perovskite absorbers in this bandgap range. The FF also decreases with temperature due to the thermal enhancement of carrier recombination and the reduction in shunt resistance. The PCE consequently declines, while Jsc remains relatively stable, as photogeneration is primarily determined by the absorption coefficient and photon flux rather than temperature.</w:t>
      </w:r>
    </w:p>
    <w:p>
      <w:pPr>
        <w:spacing w:after="80" w:before="60"/>
        <w:jc w:val="both"/>
      </w:pPr>
      <w:r>
        <w:rPr>
          <w:rFonts w:ascii="Arial" w:cs="Arial" w:eastAsia="Arial" w:hAnsi="Arial"/>
          <w:sz w:val="22"/>
          <w:szCs w:val="22"/>
        </w:rPr>
        <w:t xml:space="preserve">The relative stability of Jsc across the temperature range confirms that photocurrent generation in the dual-absorber PSC is robust against operational temperature variations, which is an important practical consideration for real-world deployment where panel temperatures can exceed 350 K.</w:t>
      </w:r>
    </w:p>
    <w:p>
      <w:pPr>
        <w:pStyle w:val="Heading2"/>
        <w:spacing w:after="120" w:before="300"/>
      </w:pPr>
      <w:r>
        <w:rPr>
          <w:rFonts w:ascii="Arial" w:cs="Arial" w:eastAsia="Arial" w:hAnsi="Arial"/>
          <w:b/>
          <w:bCs/>
          <w:color w:val="2E4057"/>
          <w:sz w:val="26"/>
          <w:szCs w:val="26"/>
        </w:rPr>
        <w:t xml:space="preserve">5.7 Quantum Efficiency Spectrum</w:t>
      </w:r>
    </w:p>
    <w:p>
      <w:pPr>
        <w:spacing w:after="80" w:before="60"/>
        <w:jc w:val="both"/>
      </w:pPr>
      <w:r>
        <w:rPr>
          <w:rFonts w:ascii="Arial" w:cs="Arial" w:eastAsia="Arial" w:hAnsi="Arial"/>
          <w:sz w:val="22"/>
          <w:szCs w:val="22"/>
        </w:rPr>
        <w:t xml:space="preserve">Figure 7 presents the quantum efficiency (QE) spectrum of the optimized dual-absorber PSC across the wavelength range 300–900 nm.</w:t>
      </w:r>
    </w:p>
    <w:p>
      <w:pPr>
        <w:spacing w:after="80" w:before="60"/>
        <w:jc w:val="both"/>
      </w:pPr>
      <w:r>
        <w:rPr>
          <w:rFonts w:ascii="Arial" w:cs="Arial" w:eastAsia="Arial" w:hAnsi="Arial"/>
          <w:sz w:val="22"/>
          <w:szCs w:val="22"/>
        </w:rPr>
        <w:t xml:space="preserve">[Figure 7: QE vs Wavelength]</w:t>
      </w:r>
    </w:p>
    <w:p>
      <w:pPr>
        <w:spacing w:after="160" w:before="60"/>
        <w:jc w:val="center"/>
      </w:pPr>
      <w:r>
        <w:rPr>
          <w:rFonts w:ascii="Arial" w:cs="Arial" w:eastAsia="Arial" w:hAnsi="Arial"/>
          <w:i/>
          <w:iCs/>
          <w:color w:val="444444"/>
          <w:sz w:val="18"/>
          <w:szCs w:val="18"/>
        </w:rPr>
        <w:t xml:space="preserve">Figure 7: Quantum efficiency (QE) spectrum of the dual-absorber PSC showing approximately 90% efficiency across the 400–780 nm visible range.</w:t>
      </w:r>
    </w:p>
    <w:p>
      <w:pPr>
        <w:spacing w:after="80" w:before="60"/>
        <w:jc w:val="both"/>
      </w:pPr>
      <w:r>
        <w:rPr>
          <w:rFonts w:ascii="Arial" w:cs="Arial" w:eastAsia="Arial" w:hAnsi="Arial"/>
          <w:sz w:val="22"/>
          <w:szCs w:val="22"/>
        </w:rPr>
        <w:t xml:space="preserve">The QE reaches approximately 90% across the broad wavelength range of 400–780 nm, indicating highly efficient photon-to-electron conversion in the visible spectrum. The high QE over this extended range is attributable to the complementary absorption profiles of the dual perovskite absorbers: MAPbI3+Ti3C2 (Eg = 1.6 eV, absorption edge ~775 nm) and MAPbI3-xClx (Eg = 1.55 eV, absorption edge ~800 nm). The near-zero QE beyond 800 nm corresponds to photon energies below both absorber bandgaps, where absorption is negligible.</w:t>
      </w:r>
    </w:p>
    <w:p>
      <w:pPr>
        <w:spacing w:after="80" w:before="60"/>
        <w:jc w:val="both"/>
      </w:pPr>
      <w:r>
        <w:rPr>
          <w:rFonts w:ascii="Arial" w:cs="Arial" w:eastAsia="Arial" w:hAnsi="Arial"/>
          <w:sz w:val="22"/>
          <w:szCs w:val="22"/>
        </w:rPr>
        <w:t xml:space="preserve">The broad high-QE plateau from 400–780 nm validates the complementary absorption design principle of the dual-absorber architecture, confirming that the two perovskite layers together harvest incident photons more effectively than either layer alone.</w:t>
      </w:r>
    </w:p>
    <w:p>
      <w:pPr>
        <w:pStyle w:val="Heading2"/>
        <w:spacing w:after="120" w:before="300"/>
      </w:pPr>
      <w:r>
        <w:rPr>
          <w:rFonts w:ascii="Arial" w:cs="Arial" w:eastAsia="Arial" w:hAnsi="Arial"/>
          <w:b/>
          <w:bCs/>
          <w:color w:val="2E4057"/>
          <w:sz w:val="26"/>
          <w:szCs w:val="26"/>
        </w:rPr>
        <w:t xml:space="preserve">5.8 Dark I-V Characteristics</w:t>
      </w:r>
    </w:p>
    <w:p>
      <w:pPr>
        <w:spacing w:after="80" w:before="60"/>
        <w:jc w:val="both"/>
      </w:pPr>
      <w:r>
        <w:rPr>
          <w:rFonts w:ascii="Arial" w:cs="Arial" w:eastAsia="Arial" w:hAnsi="Arial"/>
          <w:sz w:val="22"/>
          <w:szCs w:val="22"/>
        </w:rPr>
        <w:t xml:space="preserve">Figure 8 presents the dark I-V characteristics of the device in both linear and semi-logarithmic scales.</w:t>
      </w:r>
    </w:p>
    <w:p>
      <w:pPr>
        <w:spacing w:after="80" w:before="60"/>
        <w:jc w:val="both"/>
      </w:pPr>
      <w:r>
        <w:rPr>
          <w:rFonts w:ascii="Arial" w:cs="Arial" w:eastAsia="Arial" w:hAnsi="Arial"/>
          <w:sz w:val="22"/>
          <w:szCs w:val="22"/>
        </w:rPr>
        <w:t xml:space="preserve">[Figure 8a: Dark IV curve]  [Figure 8b: Semi-log IV curve]</w:t>
      </w:r>
    </w:p>
    <w:p>
      <w:pPr>
        <w:spacing w:after="160" w:before="60"/>
        <w:jc w:val="center"/>
      </w:pPr>
      <w:r>
        <w:rPr>
          <w:rFonts w:ascii="Arial" w:cs="Arial" w:eastAsia="Arial" w:hAnsi="Arial"/>
          <w:i/>
          <w:iCs/>
          <w:color w:val="444444"/>
          <w:sz w:val="18"/>
          <w:szCs w:val="18"/>
        </w:rPr>
        <w:t xml:space="preserve">Figure 8: Dark I-V characteristics: (a) linear scale showing exponential diode behavior, (b) semi-logarithmic scale confirming ideal diode behavior with extracted ideality factor.</w:t>
      </w:r>
    </w:p>
    <w:p>
      <w:pPr>
        <w:spacing w:after="80" w:before="60"/>
        <w:jc w:val="both"/>
      </w:pPr>
      <w:r>
        <w:rPr>
          <w:rFonts w:ascii="Arial" w:cs="Arial" w:eastAsia="Arial" w:hAnsi="Arial"/>
          <w:sz w:val="22"/>
          <w:szCs w:val="22"/>
        </w:rPr>
        <w:t xml:space="preserve">The dark I-V curve exhibits classic exponential diode behavior, with negligible current below the turn-on voltage (~0.65 V) and a sharp rise at higher forward bias. The semi-logarithmic plot reveals a straight-line relationship between log|J| and V, confirming that the device follows the ideal Shockley diode equation: J = J0[exp(qV/nkT) - 1]. The ideality factor n, extracted from the slope of the semi-log plot using n = q/(kT · d(lnJ)/dV), provides direct information about the dominant recombination mechanism — n ≈ 1 indicates band-to-band recombination, while n ≈ 2 indicates SRH trap-assisted recombination.</w:t>
      </w:r>
    </w:p>
    <w:p>
      <w:pPr>
        <w:pStyle w:val="Heading2"/>
        <w:spacing w:after="120" w:before="300"/>
      </w:pPr>
      <w:r>
        <w:rPr>
          <w:rFonts w:ascii="Arial" w:cs="Arial" w:eastAsia="Arial" w:hAnsi="Arial"/>
          <w:b/>
          <w:bCs/>
          <w:color w:val="2E4057"/>
          <w:sz w:val="26"/>
          <w:szCs w:val="26"/>
        </w:rPr>
        <w:t xml:space="preserve">5.9 Current Components Analysis</w:t>
      </w:r>
    </w:p>
    <w:p>
      <w:pPr>
        <w:spacing w:after="80" w:before="60"/>
        <w:jc w:val="both"/>
      </w:pPr>
      <w:r>
        <w:rPr>
          <w:rFonts w:ascii="Arial" w:cs="Arial" w:eastAsia="Arial" w:hAnsi="Arial"/>
          <w:sz w:val="22"/>
          <w:szCs w:val="22"/>
        </w:rPr>
        <w:t xml:space="preserve">Figure 9 presents the decomposition of the total device current into its constituent components: generation current, recombination current, and their difference (net photocurrent).</w:t>
      </w:r>
    </w:p>
    <w:p>
      <w:pPr>
        <w:spacing w:after="80" w:before="60"/>
        <w:jc w:val="both"/>
      </w:pPr>
      <w:r>
        <w:rPr>
          <w:rFonts w:ascii="Arial" w:cs="Arial" w:eastAsia="Arial" w:hAnsi="Arial"/>
          <w:sz w:val="22"/>
          <w:szCs w:val="22"/>
        </w:rPr>
        <w:t xml:space="preserve">[Figure 9: Current components — Total J, Recombination, Generation vs Voltage]</w:t>
      </w:r>
    </w:p>
    <w:p>
      <w:pPr>
        <w:spacing w:after="160" w:before="60"/>
        <w:jc w:val="center"/>
      </w:pPr>
      <w:r>
        <w:rPr>
          <w:rFonts w:ascii="Arial" w:cs="Arial" w:eastAsia="Arial" w:hAnsi="Arial"/>
          <w:i/>
          <w:iCs/>
          <w:color w:val="444444"/>
          <w:sz w:val="18"/>
          <w:szCs w:val="18"/>
        </w:rPr>
        <w:t xml:space="preserve">Figure 9: Current component analysis showing generation, recombination, and total current densities as functions of applied voltage under AM 1.5G illumination.</w:t>
      </w:r>
    </w:p>
    <w:p>
      <w:pPr>
        <w:spacing w:after="80" w:before="60"/>
        <w:jc w:val="both"/>
      </w:pPr>
      <w:r>
        <w:rPr>
          <w:rFonts w:ascii="Arial" w:cs="Arial" w:eastAsia="Arial" w:hAnsi="Arial"/>
          <w:sz w:val="22"/>
          <w:szCs w:val="22"/>
        </w:rPr>
        <w:t xml:space="preserve">The generation current remains essentially constant at ~35 mA/cm² across all applied voltages, reflecting that photon absorption and carrier generation are determined by the optical generation profile rather than the applied field. The recombination current increases exponentially with voltage, following the diode equation behavior observed in the dark J-V analysis. The net photocurrent (total J) decreases from its maximum value (Jsc) at V = 0 as increasing recombination reduces the carrier collection efficiency near Voc.</w:t>
      </w:r>
    </w:p>
    <w:p>
      <w:pPr>
        <w:pStyle w:val="Heading2"/>
        <w:spacing w:after="120" w:before="300"/>
      </w:pPr>
      <w:r>
        <w:rPr>
          <w:rFonts w:ascii="Arial" w:cs="Arial" w:eastAsia="Arial" w:hAnsi="Arial"/>
          <w:b/>
          <w:bCs/>
          <w:color w:val="2E4057"/>
          <w:sz w:val="26"/>
          <w:szCs w:val="26"/>
        </w:rPr>
        <w:t xml:space="preserve">5.10 Recombination Mechanism Analysis</w:t>
      </w:r>
    </w:p>
    <w:p>
      <w:pPr>
        <w:spacing w:after="80" w:before="60"/>
        <w:jc w:val="both"/>
      </w:pPr>
      <w:r>
        <w:rPr>
          <w:rFonts w:ascii="Arial" w:cs="Arial" w:eastAsia="Arial" w:hAnsi="Arial"/>
          <w:sz w:val="22"/>
          <w:szCs w:val="22"/>
        </w:rPr>
        <w:t xml:space="preserve">Figure 10 presents the individual recombination current contributions from SRH (trap-assisted), radiative, and Auger mechanisms.</w:t>
      </w:r>
    </w:p>
    <w:p>
      <w:pPr>
        <w:spacing w:after="80" w:before="60"/>
        <w:jc w:val="both"/>
      </w:pPr>
      <w:r>
        <w:rPr>
          <w:rFonts w:ascii="Arial" w:cs="Arial" w:eastAsia="Arial" w:hAnsi="Arial"/>
          <w:sz w:val="22"/>
          <w:szCs w:val="22"/>
        </w:rPr>
        <w:t xml:space="preserve">[Figure 10: Recombination mechanisms — SRH, Radiative, Auger vs Voltage]</w:t>
      </w:r>
    </w:p>
    <w:p>
      <w:pPr>
        <w:spacing w:after="160" w:before="60"/>
        <w:jc w:val="center"/>
      </w:pPr>
      <w:r>
        <w:rPr>
          <w:rFonts w:ascii="Arial" w:cs="Arial" w:eastAsia="Arial" w:hAnsi="Arial"/>
          <w:i/>
          <w:iCs/>
          <w:color w:val="444444"/>
          <w:sz w:val="18"/>
          <w:szCs w:val="18"/>
        </w:rPr>
        <w:t xml:space="preserve">Figure 10: Recombination mechanism breakdown showing SRH, radiative, and Auger contributions to total recombination current.</w:t>
      </w:r>
    </w:p>
    <w:p>
      <w:pPr>
        <w:spacing w:after="80" w:before="60"/>
        <w:jc w:val="both"/>
      </w:pPr>
      <w:r>
        <w:rPr>
          <w:rFonts w:ascii="Arial" w:cs="Arial" w:eastAsia="Arial" w:hAnsi="Arial"/>
          <w:sz w:val="22"/>
          <w:szCs w:val="22"/>
        </w:rPr>
        <w:t xml:space="preserve">SRH recombination dominates overwhelmingly across the entire operating voltage range, while radiative and Auger recombination contributions are negligible (essentially zero on the scale of the SRH current). This is physically expected for lead-halide perovskites: the high defect density (Nt) creates an abundance of mid-gap trap states that serve as efficient SRH recombination centers, whereas radiative recombination requires direct band-to-band electron-hole transitions that are statistically rare at the carrier concentrations present in PSCs under 1 sun illumination.</w:t>
      </w:r>
    </w:p>
    <w:p>
      <w:pPr>
        <w:spacing w:after="80" w:before="60"/>
        <w:jc w:val="both"/>
      </w:pPr>
      <w:r>
        <w:rPr>
          <w:rFonts w:ascii="Arial" w:cs="Arial" w:eastAsia="Arial" w:hAnsi="Arial"/>
          <w:sz w:val="22"/>
          <w:szCs w:val="22"/>
        </w:rPr>
        <w:t xml:space="preserve">This finding directly validates the importance of defect density optimization highlighted in Section 5.2 — reducing Nt is the most effective strategy for improving performance, as it directly reduces the dominant SRH recombination pathway.</w:t>
      </w:r>
    </w:p>
    <w:p>
      <w:pPr>
        <w:pStyle w:val="Heading2"/>
        <w:spacing w:after="120" w:before="300"/>
      </w:pPr>
      <w:r>
        <w:rPr>
          <w:rFonts w:ascii="Arial" w:cs="Arial" w:eastAsia="Arial" w:hAnsi="Arial"/>
          <w:b/>
          <w:bCs/>
          <w:color w:val="2E4057"/>
          <w:sz w:val="26"/>
          <w:szCs w:val="26"/>
        </w:rPr>
        <w:t xml:space="preserve">5.11 Capacitance-Voltage (C-V) Characteristics</w:t>
      </w:r>
    </w:p>
    <w:p>
      <w:pPr>
        <w:spacing w:after="80" w:before="60"/>
        <w:jc w:val="both"/>
      </w:pPr>
      <w:r>
        <w:rPr>
          <w:rFonts w:ascii="Arial" w:cs="Arial" w:eastAsia="Arial" w:hAnsi="Arial"/>
          <w:sz w:val="22"/>
          <w:szCs w:val="22"/>
        </w:rPr>
        <w:t xml:space="preserve">Figure 11 shows the capacitance-voltage characteristics of the device measured at 1 MHz frequency.</w:t>
      </w:r>
    </w:p>
    <w:p>
      <w:pPr>
        <w:spacing w:after="80" w:before="60"/>
        <w:jc w:val="both"/>
      </w:pPr>
      <w:r>
        <w:rPr>
          <w:rFonts w:ascii="Arial" w:cs="Arial" w:eastAsia="Arial" w:hAnsi="Arial"/>
          <w:sz w:val="22"/>
          <w:szCs w:val="22"/>
        </w:rPr>
        <w:t xml:space="preserve">[Figure 11: C-V curve]</w:t>
      </w:r>
    </w:p>
    <w:p>
      <w:pPr>
        <w:spacing w:after="160" w:before="60"/>
        <w:jc w:val="center"/>
      </w:pPr>
      <w:r>
        <w:rPr>
          <w:rFonts w:ascii="Arial" w:cs="Arial" w:eastAsia="Arial" w:hAnsi="Arial"/>
          <w:i/>
          <w:iCs/>
          <w:color w:val="444444"/>
          <w:sz w:val="18"/>
          <w:szCs w:val="18"/>
        </w:rPr>
        <w:t xml:space="preserve">Figure 11: Capacitance-voltage (C-V) curve of the dual-absorber PSC showing peak capacitance in the 1.0–1.5 V range.</w:t>
      </w:r>
    </w:p>
    <w:p>
      <w:pPr>
        <w:spacing w:after="80" w:before="60"/>
        <w:jc w:val="both"/>
      </w:pPr>
      <w:r>
        <w:rPr>
          <w:rFonts w:ascii="Arial" w:cs="Arial" w:eastAsia="Arial" w:hAnsi="Arial"/>
          <w:sz w:val="22"/>
          <w:szCs w:val="22"/>
        </w:rPr>
        <w:t xml:space="preserve">The C-V curve shows peak capacitance values in the 1.0–1.5 V range, corresponding to the built-in potential of the p-n junction formed at the perovskite/CTM interfaces. The sharp capacitance peaks indicate strong charge accumulation at the interfaces within this voltage window. The capacitance drops to near-zero outside this range, suggesting complete depletion of the junction at lower voltages and the onset of majority carrier injection at higher voltages.</w:t>
      </w:r>
    </w:p>
    <w:p>
      <w:pPr>
        <w:pStyle w:val="Heading2"/>
        <w:spacing w:after="120" w:before="300"/>
      </w:pPr>
      <w:r>
        <w:rPr>
          <w:rFonts w:ascii="Arial" w:cs="Arial" w:eastAsia="Arial" w:hAnsi="Arial"/>
          <w:b/>
          <w:bCs/>
          <w:color w:val="2E4057"/>
          <w:sz w:val="26"/>
          <w:szCs w:val="26"/>
        </w:rPr>
        <w:t xml:space="preserve">5.12 Optimized Device J-V Characteristics and Parameters</w:t>
      </w:r>
    </w:p>
    <w:p>
      <w:pPr>
        <w:spacing w:after="80" w:before="60"/>
        <w:jc w:val="both"/>
      </w:pPr>
      <w:r>
        <w:rPr>
          <w:rFonts w:ascii="Arial" w:cs="Arial" w:eastAsia="Arial" w:hAnsi="Arial"/>
          <w:sz w:val="22"/>
          <w:szCs w:val="22"/>
        </w:rPr>
        <w:t xml:space="preserve">Figure 12 presents the final optimized J-V curve of the dual-absorber PSC with the power density curve overlaid, and the maximum power point (MPP) annotated.</w:t>
      </w:r>
    </w:p>
    <w:p>
      <w:pPr>
        <w:spacing w:after="80" w:before="60"/>
        <w:jc w:val="both"/>
      </w:pPr>
      <w:r>
        <w:rPr>
          <w:rFonts w:ascii="Arial" w:cs="Arial" w:eastAsia="Arial" w:hAnsi="Arial"/>
          <w:sz w:val="22"/>
          <w:szCs w:val="22"/>
        </w:rPr>
        <w:t xml:space="preserve">[Figure 12: Final annotated J-V curve with power curve, MPP, parameter box]</w:t>
      </w:r>
    </w:p>
    <w:p>
      <w:pPr>
        <w:spacing w:after="160" w:before="60"/>
        <w:jc w:val="center"/>
      </w:pPr>
      <w:r>
        <w:rPr>
          <w:rFonts w:ascii="Arial" w:cs="Arial" w:eastAsia="Arial" w:hAnsi="Arial"/>
          <w:i/>
          <w:iCs/>
          <w:color w:val="444444"/>
          <w:sz w:val="18"/>
          <w:szCs w:val="18"/>
        </w:rPr>
        <w:t xml:space="preserve">Figure 12: J-V characteristics and power density curve of the optimized dual-absorber PSC under AM 1.5G illumination at 300 K, with key performance parameters annotated.</w:t>
      </w:r>
    </w:p>
    <w:p>
      <w:pPr>
        <w:pStyle w:val="Heading2"/>
        <w:spacing w:after="120" w:before="300"/>
      </w:pPr>
      <w:r>
        <w:rPr>
          <w:rFonts w:ascii="Arial" w:cs="Arial" w:eastAsia="Arial" w:hAnsi="Arial"/>
          <w:b/>
          <w:bCs/>
          <w:color w:val="2E4057"/>
          <w:sz w:val="26"/>
          <w:szCs w:val="26"/>
        </w:rPr>
        <w:t xml:space="preserve">5.13 Comparison with Literature</w:t>
      </w:r>
    </w:p>
    <w:p>
      <w:pPr>
        <w:spacing w:after="80" w:before="60"/>
        <w:jc w:val="both"/>
      </w:pPr>
      <w:r>
        <w:rPr>
          <w:rFonts w:ascii="Arial" w:cs="Arial" w:eastAsia="Arial" w:hAnsi="Arial"/>
          <w:sz w:val="22"/>
          <w:szCs w:val="22"/>
        </w:rPr>
        <w:t xml:space="preserve">Table 2 compares the performance of the dual-absorber PSC simulated in this study with previously published simulation results for similar device architectures.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100"/>
        <w:gridCol w:w="1200"/>
        <w:gridCol w:w="12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Device Structure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Jsc (mA/cm²)</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Voc (V)</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FF (%)</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PCE (%)</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ZnO/MAPbI3-xClx/Spiro-OMeTAD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16.92</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1.37</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88.63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20.62</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This work (single)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ZnO/MAPbI3-xClx/MAPbI3+Ti3C2/Spiro-OMeTAD</w:t>
            </w:r>
          </w:p>
        </w:tc>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23.63</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1.32</w:t>
            </w:r>
          </w:p>
        </w:tc>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86.81</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27.12</w:t>
            </w:r>
          </w:p>
        </w:tc>
        <w:tc>
          <w:tcPr>
            <w:tcW w:type="dxa" w:w="1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This work (dual)</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ZnO/MAPbI3-xClx/MAPbI3/Spiro-OMeTAD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31.17</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1.10</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60.30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20.86</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Simulated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ITO/C60/MASnI3/RbGeI3/Cu2O/Au</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0.914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65.49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20.19</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[31]</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FTO/TiO2/MAPbI3-xClx/Spiro/BC</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1.02</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77.00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16.70</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FTO/CdS/CH3NH3PbI3/Spiro/Au</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24.35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1.37</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71.29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23.83</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[33]</w:t>
            </w:r>
          </w:p>
        </w:tc>
      </w:tr>
    </w:tbl>
    <w:p>
      <w:pPr>
        <w:spacing w:after="160" w:before="60"/>
        <w:jc w:val="center"/>
      </w:pPr>
      <w:r>
        <w:rPr>
          <w:rFonts w:ascii="Arial" w:cs="Arial" w:eastAsia="Arial" w:hAnsi="Arial"/>
          <w:i/>
          <w:iCs/>
          <w:color w:val="444444"/>
          <w:sz w:val="18"/>
          <w:szCs w:val="18"/>
        </w:rPr>
        <w:t xml:space="preserve">Table 2: Comparison of PSC performance metrics between this study and published literature. The dual-absorber design (highlighted) achieves the highest PCE of 27.12%.</w:t>
      </w:r>
    </w:p>
    <w:p/>
    <w:p>
      <w:pPr>
        <w:spacing w:after="80" w:before="60"/>
        <w:jc w:val="both"/>
      </w:pPr>
      <w:r>
        <w:rPr>
          <w:rFonts w:ascii="Arial" w:cs="Arial" w:eastAsia="Arial" w:hAnsi="Arial"/>
          <w:sz w:val="22"/>
          <w:szCs w:val="22"/>
        </w:rPr>
        <w:t xml:space="preserve">The dual-absorber configuration (PCE = 27.12%) significantly outperforms the single-absorber ZnO/MAPbI3-xClx/Spiro-OMeTAD device (PCE = 20.62%), demonstrating a relative efficiency improvement of 31.5% from the addition of the MXene-doped PAL2 layer. This improvement arises from the broader absorption spectrum, enhanced charge transport, and improved interface quality enabled by Ti3C2 MXene integration. The simulated PCE also surpasses all listed literature values for similar perovskite compositions, validating the efficacy of the dual-absorber design strategy.</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Chapter 6: Conclusion and Future Scope</w:t>
      </w:r>
    </w:p>
    <w:p>
      <w:pPr>
        <w:pStyle w:val="Heading2"/>
        <w:spacing w:after="120" w:before="300"/>
      </w:pPr>
      <w:r>
        <w:rPr>
          <w:rFonts w:ascii="Arial" w:cs="Arial" w:eastAsia="Arial" w:hAnsi="Arial"/>
          <w:b/>
          <w:bCs/>
          <w:color w:val="2E4057"/>
          <w:sz w:val="26"/>
          <w:szCs w:val="26"/>
        </w:rPr>
        <w:t xml:space="preserve">6.1 Summary of Findings</w:t>
      </w:r>
    </w:p>
    <w:p>
      <w:pPr>
        <w:spacing w:after="80" w:before="60"/>
        <w:jc w:val="both"/>
      </w:pPr>
      <w:r>
        <w:rPr>
          <w:rFonts w:ascii="Arial" w:cs="Arial" w:eastAsia="Arial" w:hAnsi="Arial"/>
          <w:sz w:val="22"/>
          <w:szCs w:val="22"/>
        </w:rPr>
        <w:t xml:space="preserve">This project has demonstrated the significant potential of dual-absorber PSCs incorporating MXene-doped perovskite layers through comprehensive SCAPS-1D numerical simulations. The key findings are:</w:t>
      </w:r>
    </w:p>
    <w:p>
      <w:pPr>
        <w:pStyle w:val="ListParagraph"/>
        <w:numPr>
          <w:ilvl w:val="0"/>
          <w:numId w:val="2"/>
        </w:numPr>
        <w:spacing w:after="40" w:before="40"/>
      </w:pPr>
      <w:r>
        <w:rPr>
          <w:rFonts w:ascii="Arial" w:cs="Arial" w:eastAsia="Arial" w:hAnsi="Arial"/>
          <w:sz w:val="22"/>
          <w:szCs w:val="22"/>
        </w:rPr>
        <w:t xml:space="preserve">The dual-absorber architecture (MAPbI3-xClx/MAPbI3+Ti3C2) achieves a peak PCE of 27.12% under AM 1.5G illumination at 300 K, with Jsc = 23.63 mA/cm², Voc = 1.32 V, and FF = 86.81%.</w:t>
      </w:r>
    </w:p>
    <w:p>
      <w:pPr>
        <w:pStyle w:val="ListParagraph"/>
        <w:numPr>
          <w:ilvl w:val="0"/>
          <w:numId w:val="2"/>
        </w:numPr>
        <w:spacing w:after="40" w:before="40"/>
      </w:pPr>
      <w:r>
        <w:rPr>
          <w:rFonts w:ascii="Arial" w:cs="Arial" w:eastAsia="Arial" w:hAnsi="Arial"/>
          <w:sz w:val="22"/>
          <w:szCs w:val="22"/>
        </w:rPr>
        <w:t xml:space="preserve">This represents a 31.5% relative efficiency improvement over the single-absorber reference device (PCE = 20.62%), directly attributable to the enhanced absorption spectrum and superior charge transport enabled by Ti3C2 MXene.</w:t>
      </w:r>
    </w:p>
    <w:p>
      <w:pPr>
        <w:pStyle w:val="ListParagraph"/>
        <w:numPr>
          <w:ilvl w:val="0"/>
          <w:numId w:val="2"/>
        </w:numPr>
        <w:spacing w:after="40" w:before="40"/>
      </w:pPr>
      <w:r>
        <w:rPr>
          <w:rFonts w:ascii="Arial" w:cs="Arial" w:eastAsia="Arial" w:hAnsi="Arial"/>
          <w:sz w:val="22"/>
          <w:szCs w:val="22"/>
        </w:rPr>
        <w:t xml:space="preserve">Optimal performance is achieved with PAL1 thickness of 1.2–1.5 µm and PAL2 thickness of 0.25–0.4 µm, ETL thickness of 0.1–0.4 µm, and HTL thickness of 0.1–0.2 µm.</w:t>
      </w:r>
    </w:p>
    <w:p>
      <w:pPr>
        <w:pStyle w:val="ListParagraph"/>
        <w:numPr>
          <w:ilvl w:val="0"/>
          <w:numId w:val="2"/>
        </w:numPr>
        <w:spacing w:after="40" w:before="40"/>
      </w:pPr>
      <w:r>
        <w:rPr>
          <w:rFonts w:ascii="Arial" w:cs="Arial" w:eastAsia="Arial" w:hAnsi="Arial"/>
          <w:sz w:val="22"/>
          <w:szCs w:val="22"/>
        </w:rPr>
        <w:t xml:space="preserve">Defect density is the single most critical material parameter: PCE decreases sharply when Nt exceeds 10¹⁵ cm⁻³ in either absorber layer, emphasizing the need for defect passivation strategies.</w:t>
      </w:r>
    </w:p>
    <w:p>
      <w:pPr>
        <w:pStyle w:val="ListParagraph"/>
        <w:numPr>
          <w:ilvl w:val="0"/>
          <w:numId w:val="2"/>
        </w:numPr>
        <w:spacing w:after="40" w:before="40"/>
      </w:pPr>
      <w:r>
        <w:rPr>
          <w:rFonts w:ascii="Arial" w:cs="Arial" w:eastAsia="Arial" w:hAnsi="Arial"/>
          <w:sz w:val="22"/>
          <w:szCs w:val="22"/>
        </w:rPr>
        <w:t xml:space="preserve">SRH recombination dominates the device physics, as confirmed by the recombination mechanism analysis showing negligible radiative and Auger contributions.</w:t>
      </w:r>
    </w:p>
    <w:p>
      <w:pPr>
        <w:pStyle w:val="ListParagraph"/>
        <w:numPr>
          <w:ilvl w:val="0"/>
          <w:numId w:val="2"/>
        </w:numPr>
        <w:spacing w:after="40" w:before="40"/>
      </w:pPr>
      <w:r>
        <w:rPr>
          <w:rFonts w:ascii="Arial" w:cs="Arial" w:eastAsia="Arial" w:hAnsi="Arial"/>
          <w:sz w:val="22"/>
          <w:szCs w:val="22"/>
        </w:rPr>
        <w:t xml:space="preserve">The device exhibits near-ideal diode behavior (straight-line semi-log dark I-V), high quantum efficiency (~90% from 400–780 nm), and stable photocurrent generation across 300–400 K.</w:t>
      </w:r>
    </w:p>
    <w:p>
      <w:pPr>
        <w:pStyle w:val="ListParagraph"/>
        <w:numPr>
          <w:ilvl w:val="0"/>
          <w:numId w:val="2"/>
        </w:numPr>
        <w:spacing w:after="40" w:before="40"/>
      </w:pPr>
      <w:r>
        <w:rPr>
          <w:rFonts w:ascii="Arial" w:cs="Arial" w:eastAsia="Arial" w:hAnsi="Arial"/>
          <w:sz w:val="22"/>
          <w:szCs w:val="22"/>
        </w:rPr>
        <w:t xml:space="preserve">ZnO ETL performance is robust against defect density variations up to 10¹⁸ cm⁻³, while Spiro-OMeTAD HTL performance degrades significantly when Nt exceeds 10¹⁵ cm⁻³.</w:t>
      </w:r>
    </w:p>
    <w:p>
      <w:pPr>
        <w:pStyle w:val="Heading2"/>
        <w:spacing w:after="120" w:before="300"/>
      </w:pPr>
      <w:r>
        <w:rPr>
          <w:rFonts w:ascii="Arial" w:cs="Arial" w:eastAsia="Arial" w:hAnsi="Arial"/>
          <w:b/>
          <w:bCs/>
          <w:color w:val="2E4057"/>
          <w:sz w:val="26"/>
          <w:szCs w:val="26"/>
        </w:rPr>
        <w:t xml:space="preserve">6.2 Future Scope</w:t>
      </w:r>
    </w:p>
    <w:p>
      <w:pPr>
        <w:spacing w:after="80" w:before="60"/>
        <w:jc w:val="both"/>
      </w:pPr>
      <w:r>
        <w:rPr>
          <w:rFonts w:ascii="Arial" w:cs="Arial" w:eastAsia="Arial" w:hAnsi="Arial"/>
          <w:sz w:val="22"/>
          <w:szCs w:val="22"/>
        </w:rPr>
        <w:t xml:space="preserve">Building on the simulation results from this study, several promising directions for future research are identified:</w:t>
      </w:r>
    </w:p>
    <w:p>
      <w:pPr>
        <w:pStyle w:val="ListParagraph"/>
        <w:numPr>
          <w:ilvl w:val="0"/>
          <w:numId w:val="2"/>
        </w:numPr>
        <w:spacing w:after="40" w:before="40"/>
      </w:pPr>
      <w:r>
        <w:rPr>
          <w:rFonts w:ascii="Arial" w:cs="Arial" w:eastAsia="Arial" w:hAnsi="Arial"/>
          <w:sz w:val="22"/>
          <w:szCs w:val="22"/>
        </w:rPr>
        <w:t xml:space="preserve">Lead-free perovskite absorbers: Replacing MAPbI3-xClx with non-toxic alternatives such as MASnI3, CsGeI3, or Bi-based perovskites while maintaining dual-absorber design principles.</w:t>
      </w:r>
    </w:p>
    <w:p>
      <w:pPr>
        <w:pStyle w:val="ListParagraph"/>
        <w:numPr>
          <w:ilvl w:val="0"/>
          <w:numId w:val="2"/>
        </w:numPr>
        <w:spacing w:after="40" w:before="40"/>
      </w:pPr>
      <w:r>
        <w:rPr>
          <w:rFonts w:ascii="Arial" w:cs="Arial" w:eastAsia="Arial" w:hAnsi="Arial"/>
          <w:sz w:val="22"/>
          <w:szCs w:val="22"/>
        </w:rPr>
        <w:t xml:space="preserve">Tandem solar cell architectures: Integrating the dual perovskite absorbers with silicon or CIGS bottom cells to create multi-junction devices approaching the Shockley-Queisser limit.</w:t>
      </w:r>
    </w:p>
    <w:p>
      <w:pPr>
        <w:pStyle w:val="ListParagraph"/>
        <w:numPr>
          <w:ilvl w:val="0"/>
          <w:numId w:val="2"/>
        </w:numPr>
        <w:spacing w:after="40" w:before="40"/>
      </w:pPr>
      <w:r>
        <w:rPr>
          <w:rFonts w:ascii="Arial" w:cs="Arial" w:eastAsia="Arial" w:hAnsi="Arial"/>
          <w:sz w:val="22"/>
          <w:szCs w:val="22"/>
        </w:rPr>
        <w:t xml:space="preserve">Experimental validation: Fabricating the simulated device structure in a cleanroom environment and comparing experimental J-V, QE, and C-V measurements against the simulation predictions.</w:t>
      </w:r>
    </w:p>
    <w:p>
      <w:pPr>
        <w:pStyle w:val="ListParagraph"/>
        <w:numPr>
          <w:ilvl w:val="0"/>
          <w:numId w:val="2"/>
        </w:numPr>
        <w:spacing w:after="40" w:before="40"/>
      </w:pPr>
      <w:r>
        <w:rPr>
          <w:rFonts w:ascii="Arial" w:cs="Arial" w:eastAsia="Arial" w:hAnsi="Arial"/>
          <w:sz w:val="22"/>
          <w:szCs w:val="22"/>
        </w:rPr>
        <w:t xml:space="preserve">Advanced MXene compositions: Investigating other MXene variants (Nb2C, V2C, Mo2C) as absorber dopants to identify potentially superior alternatives to Ti3C2.</w:t>
      </w:r>
    </w:p>
    <w:p>
      <w:pPr>
        <w:pStyle w:val="ListParagraph"/>
        <w:numPr>
          <w:ilvl w:val="0"/>
          <w:numId w:val="2"/>
        </w:numPr>
        <w:spacing w:after="40" w:before="40"/>
      </w:pPr>
      <w:r>
        <w:rPr>
          <w:rFonts w:ascii="Arial" w:cs="Arial" w:eastAsia="Arial" w:hAnsi="Arial"/>
          <w:sz w:val="22"/>
          <w:szCs w:val="22"/>
        </w:rPr>
        <w:t xml:space="preserve">Machine learning optimization: Employing surrogate-model-assisted optimization algorithms to simultaneously optimize all device parameters across a higher-dimensional parameter space than is feasible through manual grid search.</w:t>
      </w:r>
    </w:p>
    <w:p>
      <w:pPr>
        <w:pStyle w:val="ListParagraph"/>
        <w:numPr>
          <w:ilvl w:val="0"/>
          <w:numId w:val="2"/>
        </w:numPr>
        <w:spacing w:after="40" w:before="40"/>
      </w:pPr>
      <w:r>
        <w:rPr>
          <w:rFonts w:ascii="Arial" w:cs="Arial" w:eastAsia="Arial" w:hAnsi="Arial"/>
          <w:sz w:val="22"/>
          <w:szCs w:val="22"/>
        </w:rPr>
        <w:t xml:space="preserve">Stability simulation: Extending the SCAPS model to incorporate ion migration, moisture ingress, and thermal degradation effects for long-term stability prediction under real operating conditions.</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References</w:t>
      </w:r>
    </w:p>
    <w:p>
      <w:pPr>
        <w:spacing w:after="60" w:before="60"/>
        <w:ind w:left="360" w:hanging="360"/>
      </w:pPr>
      <w:r>
        <w:rPr>
          <w:rFonts w:ascii="Arial" w:cs="Arial" w:eastAsia="Arial" w:hAnsi="Arial"/>
          <w:sz w:val="20"/>
          <w:szCs w:val="20"/>
        </w:rPr>
        <w:t xml:space="preserve">[1] Z.H. Bakr et al., Advances in hole transport materials engineering for stable and efficient perovskite solar cells, Nano Energy 34 (2017) 271–305.</w:t>
      </w:r>
    </w:p>
    <w:p>
      <w:pPr>
        <w:spacing w:after="60" w:before="60"/>
        <w:ind w:left="360" w:hanging="360"/>
      </w:pPr>
      <w:r>
        <w:rPr>
          <w:rFonts w:ascii="Arial" w:cs="Arial" w:eastAsia="Arial" w:hAnsi="Arial"/>
          <w:sz w:val="20"/>
          <w:szCs w:val="20"/>
        </w:rPr>
        <w:t xml:space="preserve">[2] M.A. Green, A. Ho-Baillie, H.J. Snaith, The emergence of perovskite solar cells, Nat. Photonics 8(7) (2014) 506–514.</w:t>
      </w:r>
    </w:p>
    <w:p>
      <w:pPr>
        <w:spacing w:after="60" w:before="60"/>
        <w:ind w:left="360" w:hanging="360"/>
      </w:pPr>
      <w:r>
        <w:rPr>
          <w:rFonts w:ascii="Arial" w:cs="Arial" w:eastAsia="Arial" w:hAnsi="Arial"/>
          <w:sz w:val="20"/>
          <w:szCs w:val="20"/>
        </w:rPr>
        <w:t xml:space="preserve">[3] H.J. Snaith, Perovskites: the emergence of a new era for low-cost, high-efficiency solar cells, J. Phys. Chem. Lett. 4(21) (2013) 3623–3630.</w:t>
      </w:r>
    </w:p>
    <w:p>
      <w:pPr>
        <w:spacing w:after="60" w:before="60"/>
        <w:ind w:left="360" w:hanging="360"/>
      </w:pPr>
      <w:r>
        <w:rPr>
          <w:rFonts w:ascii="Arial" w:cs="Arial" w:eastAsia="Arial" w:hAnsi="Arial"/>
          <w:sz w:val="20"/>
          <w:szCs w:val="20"/>
        </w:rPr>
        <w:t xml:space="preserve">[4] S. Aftab et al., 2D MXene incorporating for electron and hole transport in high-performance PSCs, Materials Today Energy (2023) 101366.</w:t>
      </w:r>
    </w:p>
    <w:p>
      <w:pPr>
        <w:spacing w:after="60" w:before="60"/>
        <w:ind w:left="360" w:hanging="360"/>
      </w:pPr>
      <w:r>
        <w:rPr>
          <w:rFonts w:ascii="Arial" w:cs="Arial" w:eastAsia="Arial" w:hAnsi="Arial"/>
          <w:sz w:val="20"/>
          <w:szCs w:val="20"/>
        </w:rPr>
        <w:t xml:space="preserve">[5] T. Alhamada et al., A brief review of the role of 2D mxene nanosheets toward solar cells efficiency improvement, Nanomaterials 11(10) (2021) 2732.</w:t>
      </w:r>
    </w:p>
    <w:p>
      <w:pPr>
        <w:spacing w:after="60" w:before="60"/>
        <w:ind w:left="360" w:hanging="360"/>
      </w:pPr>
      <w:r>
        <w:rPr>
          <w:rFonts w:ascii="Arial" w:cs="Arial" w:eastAsia="Arial" w:hAnsi="Arial"/>
          <w:sz w:val="20"/>
          <w:szCs w:val="20"/>
        </w:rPr>
        <w:t xml:space="preserve">[6] S.K. Singh, A.K. Tiwari, H. Paliwal, A holistic review of MXenes for solar device applications, FlatChem 39 (2023) 100493.</w:t>
      </w:r>
    </w:p>
    <w:p>
      <w:pPr>
        <w:spacing w:after="60" w:before="60"/>
        <w:ind w:left="360" w:hanging="360"/>
      </w:pPr>
      <w:r>
        <w:rPr>
          <w:rFonts w:ascii="Arial" w:cs="Arial" w:eastAsia="Arial" w:hAnsi="Arial"/>
          <w:sz w:val="20"/>
          <w:szCs w:val="20"/>
        </w:rPr>
        <w:t xml:space="preserve">[7] S. Qamar et al., Recent progress in use of MXene in perovskite solar cells, Nanoscale 14(36) (2022) 13018–13039.</w:t>
      </w:r>
    </w:p>
    <w:p>
      <w:pPr>
        <w:spacing w:after="60" w:before="60"/>
        <w:ind w:left="360" w:hanging="360"/>
      </w:pPr>
      <w:r>
        <w:rPr>
          <w:rFonts w:ascii="Arial" w:cs="Arial" w:eastAsia="Arial" w:hAnsi="Arial"/>
          <w:sz w:val="20"/>
          <w:szCs w:val="20"/>
        </w:rPr>
        <w:t xml:space="preserve">[8] M. Meskini, S. Asgharizadeh, Performance simulation of the perovskite solar cells with Ti3C2 MXene in the SnO2 electron transport layer, Sci. Rep. 14(1) (2024) 5723.</w:t>
      </w:r>
    </w:p>
    <w:p>
      <w:pPr>
        <w:spacing w:after="60" w:before="60"/>
        <w:ind w:left="360" w:hanging="360"/>
      </w:pPr>
      <w:r>
        <w:rPr>
          <w:rFonts w:ascii="Arial" w:cs="Arial" w:eastAsia="Arial" w:hAnsi="Arial"/>
          <w:sz w:val="20"/>
          <w:szCs w:val="20"/>
        </w:rPr>
        <w:t xml:space="preserve">[9] L. Yang et al., MXenes for perovskite solar cells: progress and prospects, J. Energy Chem. 81 (2023) 443–461.</w:t>
      </w:r>
    </w:p>
    <w:p>
      <w:pPr>
        <w:spacing w:after="60" w:before="60"/>
        <w:ind w:left="360" w:hanging="360"/>
      </w:pPr>
      <w:r>
        <w:rPr>
          <w:rFonts w:ascii="Arial" w:cs="Arial" w:eastAsia="Arial" w:hAnsi="Arial"/>
          <w:sz w:val="20"/>
          <w:szCs w:val="20"/>
        </w:rPr>
        <w:t xml:space="preserve">[10] F. Azri et al., Electron and hole transport layers optimization by numerical simulation of a perovskite solar cell, Sol. Energy 181 (2019) 372–378.</w:t>
      </w:r>
    </w:p>
    <w:p>
      <w:pPr>
        <w:spacing w:after="60" w:before="60"/>
        <w:ind w:left="360" w:hanging="360"/>
      </w:pPr>
      <w:r>
        <w:rPr>
          <w:rFonts w:ascii="Arial" w:cs="Arial" w:eastAsia="Arial" w:hAnsi="Arial"/>
          <w:sz w:val="20"/>
          <w:szCs w:val="20"/>
        </w:rPr>
        <w:t xml:space="preserve">[11] R. Teimouri, R. Mohammadpour, Potential application of CuSbS2 as the hole transport material in perovskite solar cell: a simulation study, Superlattice. Microst. 118 (2018) 116–122.</w:t>
      </w:r>
    </w:p>
    <w:p>
      <w:pPr>
        <w:spacing w:after="60" w:before="60"/>
        <w:ind w:left="360" w:hanging="360"/>
      </w:pPr>
      <w:r>
        <w:rPr>
          <w:rFonts w:ascii="Arial" w:cs="Arial" w:eastAsia="Arial" w:hAnsi="Arial"/>
          <w:sz w:val="20"/>
          <w:szCs w:val="20"/>
        </w:rPr>
        <w:t xml:space="preserve">[12] S.M. Hasnain et al., Novel dual absorber configuration for eco-friendly perovskite solar cells, Sol. Energy 278 (2024) 112788.</w:t>
      </w:r>
    </w:p>
    <w:p>
      <w:pPr>
        <w:spacing w:after="60" w:before="60"/>
        <w:ind w:left="360" w:hanging="360"/>
      </w:pPr>
      <w:r>
        <w:rPr>
          <w:rFonts w:ascii="Arial" w:cs="Arial" w:eastAsia="Arial" w:hAnsi="Arial"/>
          <w:sz w:val="20"/>
          <w:szCs w:val="20"/>
        </w:rPr>
        <w:t xml:space="preserve">[13] Y.-J. Jeon et al., Planar heterojunction perovskite solar cells with superior reproducibility, Sci. Rep. 4(1) (2014) 6953.</w:t>
      </w:r>
    </w:p>
    <w:p>
      <w:pPr>
        <w:spacing w:after="60" w:before="60"/>
        <w:ind w:left="360" w:hanging="360"/>
      </w:pPr>
      <w:r>
        <w:rPr>
          <w:rFonts w:ascii="Arial" w:cs="Arial" w:eastAsia="Arial" w:hAnsi="Arial"/>
          <w:sz w:val="20"/>
          <w:szCs w:val="20"/>
        </w:rPr>
        <w:t xml:space="preserve">[14] N. Devi et al., Numerical simulations of perovskite thin-film solar cells using a CdS hole blocking layer, J. Vac. Sci. Technol. B 36(4) (2018).</w:t>
      </w:r>
    </w:p>
    <w:p>
      <w:pPr>
        <w:spacing w:after="60" w:before="60"/>
        <w:ind w:left="360" w:hanging="360"/>
      </w:pPr>
      <w:r>
        <w:rPr>
          <w:rFonts w:ascii="Arial" w:cs="Arial" w:eastAsia="Arial" w:hAnsi="Arial"/>
          <w:sz w:val="20"/>
          <w:szCs w:val="20"/>
        </w:rPr>
        <w:t xml:space="preserve">[15] S. Bhattarai et al., Investigation of dual absorbers with novel MXene doped perovskite for extraordinary performance of perovskite solar cells, J. Phys. Chem. Solids (2025) 112643.</w:t>
      </w:r>
    </w:p>
    <w:p>
      <w:pPr>
        <w:spacing w:after="60" w:before="60"/>
        <w:ind w:left="360" w:hanging="360"/>
      </w:pPr>
      <w:r>
        <w:rPr>
          <w:rFonts w:ascii="Arial" w:cs="Arial" w:eastAsia="Arial" w:hAnsi="Arial"/>
          <w:sz w:val="20"/>
          <w:szCs w:val="20"/>
        </w:rPr>
        <w:t xml:space="preserve">[16] H. Zheng et al., Efficient doping of spiro-OMeTAD by NO2, Synth. Met. (2024) 117727.</w:t>
      </w:r>
    </w:p>
    <w:p>
      <w:pPr>
        <w:spacing w:after="60" w:before="60"/>
        <w:ind w:left="360" w:hanging="360"/>
      </w:pPr>
      <w:r>
        <w:rPr>
          <w:rFonts w:ascii="Arial" w:cs="Arial" w:eastAsia="Arial" w:hAnsi="Arial"/>
          <w:sz w:val="20"/>
          <w:szCs w:val="20"/>
        </w:rPr>
        <w:t xml:space="preserve">[17] H. Son, Y.-W. Heo, B.-S. Jeong, Efficiency optimization of All-Inorganic perovskite solar cell device using NiOx and ZnO as charge transport layers, Sol. Energy 281 (2024) 112892.</w:t>
      </w:r>
    </w:p>
    <w:p>
      <w:pPr>
        <w:spacing w:after="60" w:before="60"/>
        <w:ind w:left="360" w:hanging="360"/>
      </w:pPr>
      <w:r>
        <w:rPr>
          <w:rFonts w:ascii="Arial" w:cs="Arial" w:eastAsia="Arial" w:hAnsi="Arial"/>
          <w:sz w:val="20"/>
          <w:szCs w:val="20"/>
        </w:rPr>
        <w:t xml:space="preserve">[18] SCAPS-1D Manual, University of Ghent, Belgium, Marc Burgelman et al., 2020.</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Appendix A: SCAPS-1D Simulation Files</w:t>
      </w:r>
    </w:p>
    <w:p>
      <w:pPr>
        <w:spacing w:after="80" w:before="60"/>
        <w:jc w:val="both"/>
      </w:pPr>
      <w:r>
        <w:rPr>
          <w:rFonts w:ascii="Arial" w:cs="Arial" w:eastAsia="Arial" w:hAnsi="Arial"/>
          <w:sz w:val="22"/>
          <w:szCs w:val="22"/>
        </w:rPr>
        <w:t xml:space="preserve">The following simulation output files were generated during this project:</w:t>
      </w:r>
    </w:p>
    <w:p>
      <w:pPr>
        <w:pStyle w:val="ListParagraph"/>
        <w:numPr>
          <w:ilvl w:val="0"/>
          <w:numId w:val="2"/>
        </w:numPr>
        <w:spacing w:after="40" w:before="40"/>
      </w:pPr>
      <w:r>
        <w:rPr>
          <w:rFonts w:ascii="Arial" w:cs="Arial" w:eastAsia="Arial" w:hAnsi="Arial"/>
          <w:sz w:val="22"/>
          <w:szCs w:val="22"/>
        </w:rPr>
        <w:t xml:space="preserve">IV_doping.iv — Single-shot dark and illuminated J-V simulations (simulation #3 = dark, #4 = illuminated AM 1.5G, #5 = illuminated with modified doping)</w:t>
      </w:r>
    </w:p>
    <w:p>
      <w:pPr>
        <w:pStyle w:val="ListParagraph"/>
        <w:numPr>
          <w:ilvl w:val="0"/>
          <w:numId w:val="2"/>
        </w:numPr>
        <w:spacing w:after="40" w:before="40"/>
      </w:pPr>
      <w:r>
        <w:rPr>
          <w:rFonts w:ascii="Arial" w:cs="Arial" w:eastAsia="Arial" w:hAnsi="Arial"/>
          <w:sz w:val="22"/>
          <w:szCs w:val="22"/>
        </w:rPr>
        <w:t xml:space="preserve">IV_thickness.iv — Batch simulation (11×11 grid) sweeping PAL1 and PAL2 thicknesses from 0.3 to 1.3 µm</w:t>
      </w:r>
    </w:p>
    <w:p>
      <w:pPr>
        <w:pStyle w:val="ListParagraph"/>
        <w:numPr>
          <w:ilvl w:val="0"/>
          <w:numId w:val="2"/>
        </w:numPr>
        <w:spacing w:after="40" w:before="40"/>
      </w:pPr>
      <w:r>
        <w:rPr>
          <w:rFonts w:ascii="Arial" w:cs="Arial" w:eastAsia="Arial" w:hAnsi="Arial"/>
          <w:sz w:val="22"/>
          <w:szCs w:val="22"/>
        </w:rPr>
        <w:t xml:space="preserve">IV_defect.iv — Batch simulation sweeping PAL1 and PAL2 defect densities from 10¹³ to 10¹⁷ cm⁻³</w:t>
      </w:r>
    </w:p>
    <w:p>
      <w:pPr>
        <w:pStyle w:val="ListParagraph"/>
        <w:numPr>
          <w:ilvl w:val="0"/>
          <w:numId w:val="2"/>
        </w:numPr>
        <w:spacing w:after="40" w:before="40"/>
      </w:pPr>
      <w:r>
        <w:rPr>
          <w:rFonts w:ascii="Arial" w:cs="Arial" w:eastAsia="Arial" w:hAnsi="Arial"/>
          <w:sz w:val="22"/>
          <w:szCs w:val="22"/>
        </w:rPr>
        <w:t xml:space="preserve">T_300K.iv through T_400K.iv — Temperature sweep simulation files (6 runs at 300, 320, 340, 360, 380, 400 K)</w:t>
      </w:r>
    </w:p>
    <w:p>
      <w:pPr>
        <w:pStyle w:val="ListParagraph"/>
        <w:numPr>
          <w:ilvl w:val="0"/>
          <w:numId w:val="2"/>
        </w:numPr>
        <w:spacing w:after="40" w:before="40"/>
      </w:pPr>
      <w:r>
        <w:rPr>
          <w:rFonts w:ascii="Arial" w:cs="Arial" w:eastAsia="Arial" w:hAnsi="Arial"/>
          <w:sz w:val="22"/>
          <w:szCs w:val="22"/>
        </w:rPr>
        <w:t xml:space="preserve">QE_optimized.qe — Quantum efficiency spectrum at optimized device configuration</w:t>
      </w:r>
    </w:p>
    <w:p>
      <w:pPr>
        <w:pStyle w:val="Heading1"/>
        <w:pBdr>
          <w:bottom w:val="single" w:color="1F4E79" w:sz="6" w:space="1"/>
        </w:pBdr>
        <w:spacing w:after="200" w:before="400"/>
      </w:pPr>
      <w:r>
        <w:rPr>
          <w:rFonts w:ascii="Arial" w:cs="Arial" w:eastAsia="Arial" w:hAnsi="Arial"/>
          <w:b/>
          <w:bCs/>
          <w:color w:val="1F4E79"/>
          <w:sz w:val="32"/>
          <w:szCs w:val="32"/>
        </w:rPr>
        <w:t xml:space="preserve">Appendix B: Python Analysis Scripts</w:t>
      </w:r>
    </w:p>
    <w:p>
      <w:pPr>
        <w:spacing w:after="80" w:before="60"/>
        <w:jc w:val="both"/>
      </w:pPr>
      <w:r>
        <w:rPr>
          <w:rFonts w:ascii="Arial" w:cs="Arial" w:eastAsia="Arial" w:hAnsi="Arial"/>
          <w:sz w:val="22"/>
          <w:szCs w:val="22"/>
        </w:rPr>
        <w:t xml:space="preserve">Custom Python scripts were developed for data extraction and visualization:</w:t>
      </w:r>
    </w:p>
    <w:p>
      <w:pPr>
        <w:pStyle w:val="ListParagraph"/>
        <w:numPr>
          <w:ilvl w:val="0"/>
          <w:numId w:val="2"/>
        </w:numPr>
        <w:spacing w:after="40" w:before="40"/>
      </w:pPr>
      <w:r>
        <w:rPr>
          <w:rFonts w:ascii="Arial" w:cs="Arial" w:eastAsia="Arial" w:hAnsi="Arial"/>
          <w:sz w:val="22"/>
          <w:szCs w:val="22"/>
        </w:rPr>
        <w:t xml:space="preserve">plot_JV_final.py — Parses IV_doping.iv simulation #4, generates annotated J-V curve with power density overlay and parameter box</w:t>
      </w:r>
    </w:p>
    <w:p>
      <w:pPr>
        <w:pStyle w:val="ListParagraph"/>
        <w:numPr>
          <w:ilvl w:val="0"/>
          <w:numId w:val="2"/>
        </w:numPr>
        <w:spacing w:after="40" w:before="40"/>
      </w:pPr>
      <w:r>
        <w:rPr>
          <w:rFonts w:ascii="Arial" w:cs="Arial" w:eastAsia="Arial" w:hAnsi="Arial"/>
          <w:sz w:val="22"/>
          <w:szCs w:val="22"/>
        </w:rPr>
        <w:t xml:space="preserve">plot_IV_thickness.py — Parses IV_thickness.iv batch data, generates 4-panel contour map and line plots</w:t>
      </w:r>
    </w:p>
    <w:p>
      <w:pPr>
        <w:pStyle w:val="ListParagraph"/>
        <w:numPr>
          <w:ilvl w:val="0"/>
          <w:numId w:val="2"/>
        </w:numPr>
        <w:spacing w:after="40" w:before="40"/>
      </w:pPr>
      <w:r>
        <w:rPr>
          <w:rFonts w:ascii="Arial" w:cs="Arial" w:eastAsia="Arial" w:hAnsi="Arial"/>
          <w:sz w:val="22"/>
          <w:szCs w:val="22"/>
        </w:rPr>
        <w:t xml:space="preserve">plot_IV_defect.py — Parses IV_defect.iv batch data, generates defect density contour maps</w:t>
      </w:r>
    </w:p>
    <w:p>
      <w:pPr>
        <w:pStyle w:val="ListParagraph"/>
        <w:numPr>
          <w:ilvl w:val="0"/>
          <w:numId w:val="2"/>
        </w:numPr>
        <w:spacing w:after="40" w:before="40"/>
      </w:pPr>
      <w:r>
        <w:rPr>
          <w:rFonts w:ascii="Arial" w:cs="Arial" w:eastAsia="Arial" w:hAnsi="Arial"/>
          <w:sz w:val="22"/>
          <w:szCs w:val="22"/>
        </w:rPr>
        <w:t xml:space="preserve">plot_fixed_graphs.py — Extracts single-shot blocks from IV_doping.iv for dark IV, semi-log IV, current components, and recombination mechanism plots</w:t>
      </w:r>
    </w:p>
    <w:p>
      <w:pPr>
        <w:pStyle w:val="ListParagraph"/>
        <w:numPr>
          <w:ilvl w:val="0"/>
          <w:numId w:val="2"/>
        </w:numPr>
        <w:spacing w:after="40" w:before="40"/>
      </w:pPr>
      <w:r>
        <w:rPr>
          <w:rFonts w:ascii="Arial" w:cs="Arial" w:eastAsia="Arial" w:hAnsi="Arial"/>
          <w:sz w:val="22"/>
          <w:szCs w:val="22"/>
        </w:rPr>
        <w:t xml:space="preserve">plot_QE.py — Parses .qe files and generates annotated quantum efficiency spectrum</w:t>
      </w:r>
    </w:p>
    <w:p>
      <w:pPr>
        <w:pStyle w:val="ListParagraph"/>
        <w:numPr>
          <w:ilvl w:val="0"/>
          <w:numId w:val="2"/>
        </w:numPr>
        <w:spacing w:after="40" w:before="40"/>
      </w:pPr>
      <w:r>
        <w:rPr>
          <w:rFonts w:ascii="Arial" w:cs="Arial" w:eastAsia="Arial" w:hAnsi="Arial"/>
          <w:sz w:val="22"/>
          <w:szCs w:val="22"/>
        </w:rPr>
        <w:t xml:space="preserve">plot_temperature.py — Parses multi-temperature IV files and generates temperature dependence plots</w:t>
      </w:r>
    </w:p>
    <w:p>
      <w:pPr>
        <w:pStyle w:val="Heading1"/>
        <w:pBdr>
          <w:bottom w:val="single" w:color="1F4E79" w:sz="6" w:space="1"/>
        </w:pBdr>
        <w:spacing w:after="200" w:before="400"/>
      </w:pPr>
      <w:r>
        <w:rPr>
          <w:rFonts w:ascii="Arial" w:cs="Arial" w:eastAsia="Arial" w:hAnsi="Arial"/>
          <w:b/>
          <w:bCs/>
          <w:color w:val="1F4E79"/>
          <w:sz w:val="32"/>
          <w:szCs w:val="32"/>
        </w:rPr>
        <w:t xml:space="preserve">Appendix C: Contribution Statement</w:t>
      </w:r>
    </w:p>
    <w:p>
      <w:pPr>
        <w:spacing w:after="80" w:before="60"/>
        <w:jc w:val="both"/>
      </w:pPr>
      <w:r>
        <w:rPr>
          <w:rFonts w:ascii="Arial" w:cs="Arial" w:eastAsia="Arial" w:hAnsi="Arial"/>
          <w:sz w:val="22"/>
          <w:szCs w:val="22"/>
        </w:rPr>
        <w:t xml:space="preserve">This project was completed as a final year group project. The contributions of each team member are as follows:</w:t>
      </w:r>
    </w:p>
    <w:p>
      <w:pPr>
        <w:pStyle w:val="ListParagraph"/>
        <w:numPr>
          <w:ilvl w:val="0"/>
          <w:numId w:val="2"/>
        </w:numPr>
        <w:spacing w:after="40" w:before="40"/>
      </w:pPr>
      <w:r>
        <w:rPr>
          <w:rFonts w:ascii="Arial" w:cs="Arial" w:eastAsia="Arial" w:hAnsi="Arial"/>
          <w:sz w:val="22"/>
          <w:szCs w:val="22"/>
        </w:rPr>
        <w:t xml:space="preserve">[Member 1] — Device structure setup in SCAPS-1D, PAL thickness optimization simulations, Figure 1</w:t>
      </w:r>
    </w:p>
    <w:p>
      <w:pPr>
        <w:pStyle w:val="ListParagraph"/>
        <w:numPr>
          <w:ilvl w:val="0"/>
          <w:numId w:val="2"/>
        </w:numPr>
        <w:spacing w:after="40" w:before="40"/>
      </w:pPr>
      <w:r>
        <w:rPr>
          <w:rFonts w:ascii="Arial" w:cs="Arial" w:eastAsia="Arial" w:hAnsi="Arial"/>
          <w:sz w:val="22"/>
          <w:szCs w:val="22"/>
        </w:rPr>
        <w:t xml:space="preserve">[Member 2] — Defect density analysis, temperature sweep simulations, Figures 2 and 6</w:t>
      </w:r>
    </w:p>
    <w:p>
      <w:pPr>
        <w:pStyle w:val="ListParagraph"/>
        <w:numPr>
          <w:ilvl w:val="0"/>
          <w:numId w:val="2"/>
        </w:numPr>
        <w:spacing w:after="40" w:before="40"/>
      </w:pPr>
      <w:r>
        <w:rPr>
          <w:rFonts w:ascii="Arial" w:cs="Arial" w:eastAsia="Arial" w:hAnsi="Arial"/>
          <w:sz w:val="22"/>
          <w:szCs w:val="22"/>
        </w:rPr>
        <w:t xml:space="preserve">[Member 3] — ETL/HTL optimization, C-V and Rs/Rsh analysis, Figures 3–5 and 11</w:t>
      </w:r>
    </w:p>
    <w:p>
      <w:pPr>
        <w:pStyle w:val="ListParagraph"/>
        <w:numPr>
          <w:ilvl w:val="0"/>
          <w:numId w:val="2"/>
        </w:numPr>
        <w:spacing w:after="40" w:before="40"/>
      </w:pPr>
      <w:r>
        <w:rPr>
          <w:rFonts w:ascii="Arial" w:cs="Arial" w:eastAsia="Arial" w:hAnsi="Arial"/>
          <w:sz w:val="22"/>
          <w:szCs w:val="22"/>
        </w:rPr>
        <w:t xml:space="preserve">[Member 4] — J-V curve analysis, QE simulation, current component analysis, report compilation, Figures 7–10 and 12</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Final Year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6"/>
        <w:szCs w:val="16"/>
      </w:rPr>
      <w:t xml:space="preserve">Investigation of Dual Absorber MXene-Doped Perovskite Solar Cells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2026-05-05T09:56:27.451Z</dcterms:created>
  <dcterms:modified xsi:type="dcterms:W3CDTF">2026-05-05T09:56:27.451Z</dcterms:modified>
</cp:coreProperties>
</file>

<file path=docProps/custom.xml><?xml version="1.0" encoding="utf-8"?>
<Properties xmlns="http://schemas.openxmlformats.org/officeDocument/2006/custom-properties" xmlns:vt="http://schemas.openxmlformats.org/officeDocument/2006/docPropsVTypes"/>
</file>