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5C2B6D" w:rsidRDefault="005C2B6D">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5C2B6D" w:rsidRDefault="005C2B6D">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8A5BB3"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4"/>
      <w:r w:rsidR="00B15F64">
        <w:rPr>
          <w:rStyle w:val="CommentReference"/>
        </w:rPr>
        <w:commentReference w:id="13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2C6FB1">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6" w:name="OLE_LINK1"/>
      <w:commentRangeStart w:id="137"/>
      <w:r>
        <w:rPr>
          <w:lang w:val="en-GB"/>
        </w:rPr>
        <w:t>mzTab-v</w:t>
      </w:r>
      <w:r w:rsidR="006C1B14">
        <w:rPr>
          <w:lang w:val="en-GB"/>
        </w:rPr>
        <w:t>ersion</w:t>
      </w:r>
      <w:commentRangeEnd w:id="137"/>
      <w:r w:rsidR="00CF2AE2">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011D07">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011D07">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011D07">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011D07">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bookmarkStart w:id="138" w:name="_GoBack"/>
            <w:bookmarkEnd w:id="138"/>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lastRenderedPageBreak/>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DA5246" w:rsidRDefault="001332DD" w:rsidP="004B7E14">
            <w:pPr>
              <w:rPr>
                <w:highlight w:val="yellow"/>
                <w:lang w:val="en-GB"/>
              </w:rPr>
            </w:pPr>
            <w:r w:rsidRPr="00DA5246">
              <w:rPr>
                <w:highlight w:val="yellow"/>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DA5246" w14:paraId="49410CB9" w14:textId="77777777" w:rsidTr="00046F5A">
              <w:tc>
                <w:tcPr>
                  <w:tcW w:w="0" w:type="auto"/>
                  <w:tcBorders>
                    <w:top w:val="nil"/>
                    <w:left w:val="nil"/>
                  </w:tcBorders>
                </w:tcPr>
                <w:p w14:paraId="5DF1E5FB" w14:textId="77777777" w:rsidR="00F0121B" w:rsidRPr="00DA5246" w:rsidRDefault="00F0121B" w:rsidP="00046F5A">
                  <w:pPr>
                    <w:jc w:val="center"/>
                    <w:rPr>
                      <w:sz w:val="16"/>
                      <w:szCs w:val="16"/>
                      <w:highlight w:val="yellow"/>
                      <w:lang w:val="en-GB"/>
                    </w:rPr>
                  </w:pPr>
                </w:p>
              </w:tc>
              <w:tc>
                <w:tcPr>
                  <w:tcW w:w="0" w:type="auto"/>
                </w:tcPr>
                <w:p w14:paraId="2410C566" w14:textId="77777777" w:rsidR="00F0121B" w:rsidRPr="00DA5246" w:rsidRDefault="00F0121B" w:rsidP="00046F5A">
                  <w:pPr>
                    <w:jc w:val="center"/>
                    <w:rPr>
                      <w:sz w:val="16"/>
                      <w:szCs w:val="16"/>
                      <w:highlight w:val="yellow"/>
                      <w:lang w:val="en-GB"/>
                    </w:rPr>
                  </w:pPr>
                  <w:r w:rsidRPr="00DA5246">
                    <w:rPr>
                      <w:sz w:val="16"/>
                      <w:szCs w:val="16"/>
                      <w:highlight w:val="yellow"/>
                      <w:lang w:val="en-GB"/>
                    </w:rPr>
                    <w:t>Summary</w:t>
                  </w:r>
                </w:p>
              </w:tc>
              <w:tc>
                <w:tcPr>
                  <w:tcW w:w="0" w:type="auto"/>
                </w:tcPr>
                <w:p w14:paraId="32718D28" w14:textId="77777777" w:rsidR="00F0121B" w:rsidRPr="00DA5246" w:rsidRDefault="00F0121B" w:rsidP="00046F5A">
                  <w:pPr>
                    <w:jc w:val="center"/>
                    <w:rPr>
                      <w:sz w:val="16"/>
                      <w:szCs w:val="16"/>
                      <w:highlight w:val="yellow"/>
                      <w:lang w:val="en-GB"/>
                    </w:rPr>
                  </w:pPr>
                  <w:r w:rsidRPr="00DA5246">
                    <w:rPr>
                      <w:sz w:val="16"/>
                      <w:szCs w:val="16"/>
                      <w:highlight w:val="yellow"/>
                      <w:lang w:val="en-GB"/>
                    </w:rPr>
                    <w:t>Complete</w:t>
                  </w:r>
                </w:p>
              </w:tc>
            </w:tr>
            <w:tr w:rsidR="00F0121B" w:rsidRPr="00DA5246" w14:paraId="44DC8D87" w14:textId="77777777" w:rsidTr="00046F5A">
              <w:tc>
                <w:tcPr>
                  <w:tcW w:w="0" w:type="auto"/>
                </w:tcPr>
                <w:p w14:paraId="5F920333" w14:textId="77777777" w:rsidR="00F0121B" w:rsidRPr="00DA5246" w:rsidRDefault="00F0121B" w:rsidP="00046F5A">
                  <w:pPr>
                    <w:rPr>
                      <w:sz w:val="16"/>
                      <w:szCs w:val="16"/>
                      <w:highlight w:val="yellow"/>
                      <w:lang w:val="en-GB"/>
                    </w:rPr>
                  </w:pPr>
                  <w:r w:rsidRPr="00DA5246">
                    <w:rPr>
                      <w:sz w:val="16"/>
                      <w:szCs w:val="16"/>
                      <w:highlight w:val="yellow"/>
                      <w:lang w:val="en-GB"/>
                    </w:rPr>
                    <w:t>Quantification</w:t>
                  </w:r>
                </w:p>
              </w:tc>
              <w:tc>
                <w:tcPr>
                  <w:tcW w:w="0" w:type="auto"/>
                </w:tcPr>
                <w:p w14:paraId="7F91AE3D"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c>
                <w:tcPr>
                  <w:tcW w:w="0" w:type="auto"/>
                </w:tcPr>
                <w:p w14:paraId="12D65DE3"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r>
            <w:tr w:rsidR="00F0121B" w:rsidRPr="00DA5246" w14:paraId="1867E072" w14:textId="77777777" w:rsidTr="00046F5A">
              <w:tc>
                <w:tcPr>
                  <w:tcW w:w="0" w:type="auto"/>
                </w:tcPr>
                <w:p w14:paraId="5C2E597F" w14:textId="77777777" w:rsidR="00F0121B" w:rsidRPr="00DA5246" w:rsidRDefault="00F0121B" w:rsidP="00046F5A">
                  <w:pPr>
                    <w:rPr>
                      <w:sz w:val="16"/>
                      <w:szCs w:val="16"/>
                      <w:highlight w:val="yellow"/>
                      <w:lang w:val="en-GB"/>
                    </w:rPr>
                  </w:pPr>
                  <w:r w:rsidRPr="00DA5246">
                    <w:rPr>
                      <w:sz w:val="16"/>
                      <w:szCs w:val="16"/>
                      <w:highlight w:val="yellow"/>
                      <w:lang w:val="en-GB"/>
                    </w:rPr>
                    <w:t>Identification</w:t>
                  </w:r>
                </w:p>
              </w:tc>
              <w:tc>
                <w:tcPr>
                  <w:tcW w:w="0" w:type="auto"/>
                </w:tcPr>
                <w:p w14:paraId="792C34BA"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c>
                <w:tcPr>
                  <w:tcW w:w="0" w:type="auto"/>
                </w:tcPr>
                <w:p w14:paraId="2FEFAA60" w14:textId="77777777" w:rsidR="00F0121B" w:rsidRPr="00DA5246" w:rsidRDefault="00F0121B" w:rsidP="00046F5A">
                  <w:pPr>
                    <w:jc w:val="center"/>
                    <w:rPr>
                      <w:sz w:val="16"/>
                      <w:szCs w:val="16"/>
                      <w:highlight w:val="yellow"/>
                      <w:lang w:val="en-GB"/>
                    </w:rPr>
                  </w:pPr>
                  <w:r w:rsidRPr="00DA5246">
                    <w:rPr>
                      <w:sz w:val="16"/>
                      <w:szCs w:val="16"/>
                      <w:highlight w:val="yellow"/>
                      <w:lang w:val="en-GB"/>
                    </w:rPr>
                    <w:sym w:font="Wingdings" w:char="F0FC"/>
                  </w:r>
                </w:p>
              </w:tc>
            </w:tr>
            <w:tr w:rsidR="00724C57" w:rsidRPr="00DA5246" w14:paraId="322957E2" w14:textId="77777777" w:rsidTr="00046F5A">
              <w:tc>
                <w:tcPr>
                  <w:tcW w:w="0" w:type="auto"/>
                </w:tcPr>
                <w:p w14:paraId="56504D61" w14:textId="771D3AA9" w:rsidR="00724C57" w:rsidRPr="00DA5246" w:rsidRDefault="00724C57" w:rsidP="00046F5A">
                  <w:pPr>
                    <w:rPr>
                      <w:sz w:val="16"/>
                      <w:szCs w:val="16"/>
                      <w:highlight w:val="yellow"/>
                      <w:lang w:val="en-GB"/>
                    </w:rPr>
                  </w:pPr>
                  <w:r>
                    <w:rPr>
                      <w:sz w:val="16"/>
                      <w:szCs w:val="16"/>
                      <w:highlight w:val="yellow"/>
                      <w:lang w:val="en-GB"/>
                    </w:rPr>
                    <w:t>Metabolomics</w:t>
                  </w:r>
                </w:p>
              </w:tc>
              <w:tc>
                <w:tcPr>
                  <w:tcW w:w="0" w:type="auto"/>
                </w:tcPr>
                <w:p w14:paraId="61B568E3" w14:textId="77777777" w:rsidR="00724C57" w:rsidRPr="00DA5246" w:rsidRDefault="00724C57" w:rsidP="00046F5A">
                  <w:pPr>
                    <w:jc w:val="center"/>
                    <w:rPr>
                      <w:sz w:val="16"/>
                      <w:szCs w:val="16"/>
                      <w:highlight w:val="yellow"/>
                      <w:lang w:val="en-GB"/>
                    </w:rPr>
                  </w:pPr>
                </w:p>
              </w:tc>
              <w:tc>
                <w:tcPr>
                  <w:tcW w:w="0" w:type="auto"/>
                </w:tcPr>
                <w:p w14:paraId="0785C6D4" w14:textId="77777777" w:rsidR="00724C57" w:rsidRPr="00DA5246" w:rsidRDefault="00724C57" w:rsidP="00046F5A">
                  <w:pPr>
                    <w:jc w:val="center"/>
                    <w:rPr>
                      <w:sz w:val="16"/>
                      <w:szCs w:val="16"/>
                      <w:highlight w:val="yellow"/>
                      <w:lang w:val="en-GB"/>
                    </w:rPr>
                  </w:pPr>
                </w:p>
              </w:tc>
            </w:tr>
          </w:tbl>
          <w:p w14:paraId="641A3866" w14:textId="77777777" w:rsidR="00F0121B" w:rsidRPr="00DA5246" w:rsidRDefault="00F0121B" w:rsidP="00046F5A">
            <w:pPr>
              <w:rPr>
                <w:highlight w:val="yellow"/>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011D07">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011D07">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011D07">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011D07">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011D07">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011D07">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011D07">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011D07">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011D07">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011D07">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011D07">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011D07">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r>
            <w:r w:rsidRPr="00E92C27">
              <w:rPr>
                <w:rFonts w:cs="Courier New"/>
              </w:rPr>
              <w:lastRenderedPageBreak/>
              <w:t xml:space="preserve">                                                                MS:1001251, Trypsin, ]</w:t>
            </w:r>
          </w:p>
        </w:tc>
      </w:tr>
    </w:tbl>
    <w:p w14:paraId="2505AAC7" w14:textId="77777777" w:rsidR="00CC23D0" w:rsidRDefault="00CC23D0" w:rsidP="00CC23D0">
      <w:pPr>
        <w:pStyle w:val="Heading3"/>
        <w:rPr>
          <w:lang w:val="en-GB"/>
        </w:rPr>
      </w:pPr>
      <w:r w:rsidRPr="00EC1AF0">
        <w:rPr>
          <w:lang w:val="en-GB"/>
        </w:rPr>
        <w:lastRenderedPageBreak/>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011D07">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011D07">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011D07">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011D07">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011D07">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011D07">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011D07">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011D07">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011D07">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011D07">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011D07">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011D07">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011D07">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011D07">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011D07">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011D07">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lastRenderedPageBreak/>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0FEFD937" w14:textId="77777777" w:rsidR="00D61B86" w:rsidRDefault="00D61B86" w:rsidP="00FC52FB">
            <w:pPr>
              <w:rPr>
                <w:lang w:val="en-GB"/>
              </w:rPr>
            </w:pPr>
          </w:p>
          <w:p w14:paraId="5C88C49B" w14:textId="675334B4" w:rsidR="00D61B86" w:rsidRPr="00C2227A" w:rsidRDefault="00D61B86" w:rsidP="00FC52FB">
            <w:pPr>
              <w:rPr>
                <w:lang w:val="en-GB"/>
              </w:rPr>
            </w:pPr>
            <w:r>
              <w:rPr>
                <w:lang w:val="en-GB"/>
              </w:rPr>
              <w:t>Mandatory for metabolomics if confidence measures are reported.</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01E5C8C1" w:rsidR="00D61B86" w:rsidRDefault="00D61B86" w:rsidP="00B46826">
                  <w:pPr>
                    <w:jc w:val="center"/>
                    <w:rPr>
                      <w:sz w:val="16"/>
                      <w:szCs w:val="16"/>
                      <w:lang w:val="en-GB"/>
                    </w:rPr>
                  </w:pPr>
                  <w:r>
                    <w:rPr>
                      <w:sz w:val="16"/>
                      <w:szCs w:val="16"/>
                      <w:lang w:val="en-GB"/>
                    </w:rPr>
                    <w:sym w:font="Wingdings" w:char="F0FC"/>
                  </w:r>
                  <w:r>
                    <w:rPr>
                      <w:sz w:val="16"/>
                      <w:szCs w:val="16"/>
                      <w:lang w:val="en-GB"/>
                    </w:rPr>
                    <w:t>*</w:t>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lastRenderedPageBreak/>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9"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40"/>
      <w:r>
        <w:rPr>
          <w:lang w:val="en-GB"/>
        </w:rPr>
        <w:t>fixed_</w:t>
      </w:r>
      <w:r w:rsidR="007A1183" w:rsidRPr="00F2225A">
        <w:rPr>
          <w:lang w:val="en-GB"/>
        </w:rPr>
        <w:t>mod</w:t>
      </w:r>
      <w:r w:rsidR="005064C2">
        <w:rPr>
          <w:lang w:val="en-GB"/>
        </w:rPr>
        <w:t>[1-n]</w:t>
      </w:r>
      <w:commentRangeEnd w:id="140"/>
      <w:r w:rsidR="00262E9E">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lastRenderedPageBreak/>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466531CB"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This is not mandatory for metabolomics Complete files, only if quantification has not been performed.</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7777777" w:rsidR="00D61B86" w:rsidRPr="00AB45A3" w:rsidRDefault="00D61B86"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lastRenderedPageBreak/>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bl>
          <w:p w14:paraId="277E1356" w14:textId="54533D1B" w:rsidR="00BD7493" w:rsidRPr="00AB45A3" w:rsidRDefault="00547860" w:rsidP="005B5E1E">
            <w:pPr>
              <w:rPr>
                <w:sz w:val="16"/>
                <w:szCs w:val="16"/>
                <w:lang w:val="en-GB"/>
              </w:rPr>
            </w:pPr>
            <w:r w:rsidRPr="00506B44">
              <w:rPr>
                <w:sz w:val="18"/>
                <w:szCs w:val="16"/>
                <w:vertAlign w:val="superscript"/>
                <w:lang w:val="en-GB"/>
              </w:rPr>
              <w:t>1</w:t>
            </w:r>
            <w:r w:rsidR="005B5E1E">
              <w:rPr>
                <w:sz w:val="16"/>
                <w:szCs w:val="16"/>
                <w:lang w:val="en-GB"/>
              </w:rPr>
              <w:t>mandatory if quantification has been performed i.e. non-null values in quantification columns.</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79C4C4EA" w:rsidR="00DC7117" w:rsidRPr="00EC2317" w:rsidRDefault="00DC7117" w:rsidP="00110053">
            <w:pPr>
              <w:rPr>
                <w:lang w:val="en-GB"/>
              </w:rPr>
            </w:pPr>
            <w:r>
              <w:rPr>
                <w:lang w:val="en-GB"/>
              </w:rPr>
              <w:t>The description of databases used in the small molecule section. TO COMPLETE</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commentRangeStart w:id="141"/>
            <w:r>
              <w:rPr>
                <w:b/>
                <w:lang w:val="en-GB"/>
              </w:rPr>
              <w:t>Mandatory</w:t>
            </w:r>
            <w:commentRangeEnd w:id="141"/>
            <w:r>
              <w:rPr>
                <w:rStyle w:val="CommentReference"/>
              </w:rPr>
              <w:commentReference w:id="141"/>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7CFC2383" w14:textId="20BB06F7" w:rsidR="00DC7117" w:rsidRPr="00AB45A3" w:rsidRDefault="00DC7117" w:rsidP="00AC66DE">
            <w:pPr>
              <w:rPr>
                <w:sz w:val="16"/>
                <w:szCs w:val="16"/>
                <w:lang w:val="en-GB"/>
              </w:rPr>
            </w:pPr>
            <w:r w:rsidRPr="00506B44">
              <w:rPr>
                <w:sz w:val="18"/>
                <w:szCs w:val="16"/>
                <w:vertAlign w:val="superscript"/>
                <w:lang w:val="en-GB"/>
              </w:rPr>
              <w:t>1</w:t>
            </w:r>
            <w:r w:rsidRPr="00AB45A3">
              <w:rPr>
                <w:sz w:val="16"/>
                <w:szCs w:val="16"/>
                <w:lang w:val="en-GB"/>
              </w:rPr>
              <w:t xml:space="preserve">mandatory </w:t>
            </w:r>
            <w:r w:rsidR="00AC66DE">
              <w:rPr>
                <w:sz w:val="16"/>
                <w:szCs w:val="16"/>
                <w:lang w:val="en-GB"/>
              </w:rPr>
              <w:t>if identification has been performed.</w:t>
            </w: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5C7870A9" w14:textId="77777777" w:rsidR="00DC7117" w:rsidRPr="00E92C27" w:rsidRDefault="00DC7117" w:rsidP="00110053">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commentRangeStart w:id="142"/>
      <w:r>
        <w:rPr>
          <w:lang w:val="en-GB"/>
        </w:rPr>
        <w:t>small_molecule-database[1-n]</w:t>
      </w:r>
      <w:r w:rsidR="009C1390">
        <w:rPr>
          <w:lang w:val="en-GB"/>
        </w:rPr>
        <w:t>-</w:t>
      </w:r>
      <w:r w:rsidR="0020557B">
        <w:rPr>
          <w:lang w:val="en-GB"/>
        </w:rPr>
        <w:t>prefix</w:t>
      </w:r>
      <w:commentRangeEnd w:id="142"/>
      <w:r w:rsidR="00DA5246">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gridSpan w:val="2"/>
          </w:tcPr>
          <w:p w14:paraId="1646CE4C" w14:textId="2B101EFD" w:rsidR="00DC7117" w:rsidRPr="00EC2317" w:rsidRDefault="00DC7117" w:rsidP="00110053">
            <w:pPr>
              <w:rPr>
                <w:lang w:val="en-GB"/>
              </w:rPr>
            </w:pPr>
            <w:r>
              <w:rPr>
                <w:lang w:val="en-GB"/>
              </w:rPr>
              <w:t>The prefix used in the “identifier” column of SML and SME tables</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gridSpan w:val="2"/>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77777777" w:rsidR="00DC7117" w:rsidRPr="00F3573A" w:rsidRDefault="00DC7117" w:rsidP="00110053">
                  <w:pPr>
                    <w:jc w:val="center"/>
                    <w:rPr>
                      <w:sz w:val="16"/>
                      <w:szCs w:val="16"/>
                      <w:lang w:val="en-GB"/>
                    </w:rPr>
                  </w:pPr>
                  <w:r w:rsidRPr="00F3573A">
                    <w:rPr>
                      <w:sz w:val="16"/>
                      <w:szCs w:val="16"/>
                      <w:lang w:val="en-GB"/>
                    </w:rPr>
                    <w:t>(</w:t>
                  </w:r>
                  <w:r w:rsidRPr="00F3573A">
                    <w:rPr>
                      <w:sz w:val="16"/>
                      <w:szCs w:val="16"/>
                      <w:lang w:val="en-GB"/>
                    </w:rPr>
                    <w:sym w:font="Wingdings" w:char="F0FC"/>
                  </w:r>
                  <w:r w:rsidRPr="00F3573A">
                    <w:rPr>
                      <w:sz w:val="16"/>
                      <w:szCs w:val="16"/>
                      <w:lang w:val="en-GB"/>
                    </w:rPr>
                    <w:t>)</w:t>
                  </w:r>
                  <w:r w:rsidRPr="00F3573A">
                    <w:rPr>
                      <w:sz w:val="18"/>
                      <w:szCs w:val="16"/>
                      <w:vertAlign w:val="superscript"/>
                      <w:lang w:val="en-GB"/>
                    </w:rPr>
                    <w:t>1</w:t>
                  </w:r>
                </w:p>
              </w:tc>
              <w:tc>
                <w:tcPr>
                  <w:tcW w:w="0" w:type="auto"/>
                </w:tcPr>
                <w:p w14:paraId="5822FD04" w14:textId="77777777" w:rsidR="00DC7117" w:rsidRPr="00F3573A" w:rsidRDefault="00DC7117" w:rsidP="00110053">
                  <w:pPr>
                    <w:jc w:val="center"/>
                    <w:rPr>
                      <w:sz w:val="16"/>
                      <w:szCs w:val="16"/>
                      <w:lang w:val="en-GB"/>
                    </w:rPr>
                  </w:pPr>
                  <w:r w:rsidRPr="00F3573A">
                    <w:rPr>
                      <w:sz w:val="16"/>
                      <w:szCs w:val="16"/>
                      <w:lang w:val="en-GB"/>
                    </w:rPr>
                    <w:t>(</w:t>
                  </w:r>
                  <w:r w:rsidRPr="00F3573A">
                    <w:rPr>
                      <w:sz w:val="16"/>
                      <w:szCs w:val="16"/>
                      <w:lang w:val="en-GB"/>
                    </w:rPr>
                    <w:sym w:font="Wingdings" w:char="F0FC"/>
                  </w:r>
                  <w:r w:rsidRPr="00F3573A">
                    <w:rPr>
                      <w:sz w:val="16"/>
                      <w:szCs w:val="16"/>
                      <w:lang w:val="en-GB"/>
                    </w:rPr>
                    <w:t>)</w:t>
                  </w:r>
                  <w:r w:rsidRPr="00F3573A">
                    <w:rPr>
                      <w:sz w:val="18"/>
                      <w:szCs w:val="16"/>
                      <w:vertAlign w:val="superscript"/>
                      <w:lang w:val="en-GB"/>
                    </w:rPr>
                    <w:t>1</w:t>
                  </w:r>
                </w:p>
              </w:tc>
            </w:tr>
          </w:tbl>
          <w:p w14:paraId="0A4A8F14" w14:textId="4E2A6B26" w:rsidR="00DC7117" w:rsidRPr="00610B10" w:rsidRDefault="00F3573A" w:rsidP="00110053">
            <w:pPr>
              <w:rPr>
                <w:sz w:val="16"/>
                <w:szCs w:val="16"/>
                <w:highlight w:val="yellow"/>
                <w:lang w:val="en-GB"/>
              </w:rPr>
            </w:pPr>
            <w:r w:rsidRPr="00506B44">
              <w:rPr>
                <w:sz w:val="18"/>
                <w:szCs w:val="16"/>
                <w:vertAlign w:val="superscript"/>
                <w:lang w:val="en-GB"/>
              </w:rPr>
              <w:t>1</w:t>
            </w:r>
            <w:r w:rsidRPr="00AB45A3">
              <w:rPr>
                <w:sz w:val="16"/>
                <w:szCs w:val="16"/>
                <w:lang w:val="en-GB"/>
              </w:rPr>
              <w:t xml:space="preserve">mandatory </w:t>
            </w:r>
            <w:r>
              <w:rPr>
                <w:sz w:val="16"/>
                <w:szCs w:val="16"/>
                <w:lang w:val="en-GB"/>
              </w:rPr>
              <w:t>if identification has been performed.</w:t>
            </w:r>
          </w:p>
        </w:tc>
      </w:tr>
      <w:tr w:rsidR="00DC7117" w14:paraId="26AEA855" w14:textId="77777777" w:rsidTr="00110053">
        <w:tc>
          <w:tcPr>
            <w:tcW w:w="1617" w:type="dxa"/>
            <w:vAlign w:val="center"/>
          </w:tcPr>
          <w:p w14:paraId="1649517B" w14:textId="77777777" w:rsidR="00DC7117" w:rsidRPr="00EC2317" w:rsidRDefault="00DC7117" w:rsidP="00110053">
            <w:pPr>
              <w:rPr>
                <w:b/>
                <w:lang w:val="en-GB"/>
              </w:rPr>
            </w:pPr>
            <w:r w:rsidRPr="00EC2317">
              <w:rPr>
                <w:b/>
                <w:lang w:val="en-GB"/>
              </w:rPr>
              <w:t>Example:</w:t>
            </w:r>
          </w:p>
        </w:tc>
        <w:tc>
          <w:tcPr>
            <w:tcW w:w="8571" w:type="dxa"/>
            <w:gridSpan w:val="2"/>
          </w:tcPr>
          <w:p w14:paraId="15C7A26B" w14:textId="77777777" w:rsidR="00DC7117" w:rsidRPr="00610B10" w:rsidRDefault="00DC7117" w:rsidP="00110053">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110053">
            <w:pPr>
              <w:rPr>
                <w:b/>
                <w:lang w:val="en-GB"/>
              </w:rPr>
            </w:pPr>
            <w:r w:rsidRPr="00EC2317">
              <w:rPr>
                <w:b/>
                <w:lang w:val="en-GB"/>
              </w:rPr>
              <w:t>Example:</w:t>
            </w:r>
          </w:p>
        </w:tc>
        <w:tc>
          <w:tcPr>
            <w:tcW w:w="8393" w:type="dxa"/>
          </w:tcPr>
          <w:p w14:paraId="233AE19E" w14:textId="77777777" w:rsidR="00610B10" w:rsidRPr="00E92C27" w:rsidRDefault="00610B10" w:rsidP="00110053">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011D07">
              <w:tc>
                <w:tcPr>
                  <w:tcW w:w="0" w:type="auto"/>
                  <w:tcBorders>
                    <w:top w:val="nil"/>
                    <w:left w:val="nil"/>
                  </w:tcBorders>
                </w:tcPr>
                <w:p w14:paraId="4AAA907C" w14:textId="77777777" w:rsidR="00490D32" w:rsidRPr="00F3573A" w:rsidRDefault="00490D32" w:rsidP="00011D07">
                  <w:pPr>
                    <w:jc w:val="center"/>
                    <w:rPr>
                      <w:sz w:val="16"/>
                      <w:szCs w:val="16"/>
                      <w:lang w:val="en-GB"/>
                    </w:rPr>
                  </w:pPr>
                </w:p>
              </w:tc>
              <w:tc>
                <w:tcPr>
                  <w:tcW w:w="0" w:type="auto"/>
                </w:tcPr>
                <w:p w14:paraId="0C75BA05" w14:textId="77777777" w:rsidR="00490D32" w:rsidRPr="00F3573A" w:rsidRDefault="00490D32" w:rsidP="00011D07">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011D07">
                  <w:pPr>
                    <w:jc w:val="center"/>
                    <w:rPr>
                      <w:sz w:val="16"/>
                      <w:szCs w:val="16"/>
                      <w:lang w:val="en-GB"/>
                    </w:rPr>
                  </w:pPr>
                  <w:r w:rsidRPr="00F3573A">
                    <w:rPr>
                      <w:sz w:val="16"/>
                      <w:szCs w:val="16"/>
                      <w:lang w:val="en-GB"/>
                    </w:rPr>
                    <w:t>Complete</w:t>
                  </w:r>
                </w:p>
              </w:tc>
            </w:tr>
            <w:tr w:rsidR="00490D32" w:rsidRPr="00610B10" w14:paraId="5E15525F" w14:textId="77777777" w:rsidTr="00011D07">
              <w:tc>
                <w:tcPr>
                  <w:tcW w:w="0" w:type="auto"/>
                </w:tcPr>
                <w:p w14:paraId="3453F0DB" w14:textId="77777777" w:rsidR="00490D32" w:rsidRPr="00F3573A" w:rsidRDefault="00490D32" w:rsidP="00011D07">
                  <w:pPr>
                    <w:rPr>
                      <w:sz w:val="16"/>
                      <w:szCs w:val="16"/>
                      <w:lang w:val="en-GB"/>
                    </w:rPr>
                  </w:pPr>
                  <w:r>
                    <w:rPr>
                      <w:sz w:val="16"/>
                      <w:szCs w:val="16"/>
                      <w:lang w:val="en-GB"/>
                    </w:rPr>
                    <w:t>Metabolomics</w:t>
                  </w:r>
                </w:p>
              </w:tc>
              <w:tc>
                <w:tcPr>
                  <w:tcW w:w="0" w:type="auto"/>
                </w:tcPr>
                <w:p w14:paraId="134BCC0A" w14:textId="77777777" w:rsidR="00490D32" w:rsidRPr="00F3573A" w:rsidRDefault="00490D32" w:rsidP="00011D07">
                  <w:pPr>
                    <w:jc w:val="center"/>
                    <w:rPr>
                      <w:sz w:val="16"/>
                      <w:szCs w:val="16"/>
                      <w:lang w:val="en-GB"/>
                    </w:rPr>
                  </w:pPr>
                  <w:r w:rsidRPr="00F3573A">
                    <w:rPr>
                      <w:sz w:val="16"/>
                      <w:szCs w:val="16"/>
                      <w:lang w:val="en-GB"/>
                    </w:rPr>
                    <w:t>(</w:t>
                  </w:r>
                  <w:r w:rsidRPr="00F3573A">
                    <w:rPr>
                      <w:sz w:val="16"/>
                      <w:szCs w:val="16"/>
                      <w:lang w:val="en-GB"/>
                    </w:rPr>
                    <w:sym w:font="Wingdings" w:char="F0FC"/>
                  </w:r>
                  <w:r w:rsidRPr="00F3573A">
                    <w:rPr>
                      <w:sz w:val="16"/>
                      <w:szCs w:val="16"/>
                      <w:lang w:val="en-GB"/>
                    </w:rPr>
                    <w:t>)</w:t>
                  </w:r>
                  <w:r w:rsidRPr="00F3573A">
                    <w:rPr>
                      <w:sz w:val="18"/>
                      <w:szCs w:val="16"/>
                      <w:vertAlign w:val="superscript"/>
                      <w:lang w:val="en-GB"/>
                    </w:rPr>
                    <w:t>1</w:t>
                  </w:r>
                </w:p>
              </w:tc>
              <w:tc>
                <w:tcPr>
                  <w:tcW w:w="0" w:type="auto"/>
                </w:tcPr>
                <w:p w14:paraId="5DDF643D" w14:textId="77777777" w:rsidR="00490D32" w:rsidRPr="00F3573A" w:rsidRDefault="00490D32" w:rsidP="00011D07">
                  <w:pPr>
                    <w:jc w:val="center"/>
                    <w:rPr>
                      <w:sz w:val="16"/>
                      <w:szCs w:val="16"/>
                      <w:lang w:val="en-GB"/>
                    </w:rPr>
                  </w:pPr>
                  <w:r w:rsidRPr="00F3573A">
                    <w:rPr>
                      <w:sz w:val="16"/>
                      <w:szCs w:val="16"/>
                      <w:lang w:val="en-GB"/>
                    </w:rPr>
                    <w:t>(</w:t>
                  </w:r>
                  <w:r w:rsidRPr="00F3573A">
                    <w:rPr>
                      <w:sz w:val="16"/>
                      <w:szCs w:val="16"/>
                      <w:lang w:val="en-GB"/>
                    </w:rPr>
                    <w:sym w:font="Wingdings" w:char="F0FC"/>
                  </w:r>
                  <w:r w:rsidRPr="00F3573A">
                    <w:rPr>
                      <w:sz w:val="16"/>
                      <w:szCs w:val="16"/>
                      <w:lang w:val="en-GB"/>
                    </w:rPr>
                    <w:t>)</w:t>
                  </w:r>
                  <w:r w:rsidRPr="00F3573A">
                    <w:rPr>
                      <w:sz w:val="18"/>
                      <w:szCs w:val="16"/>
                      <w:vertAlign w:val="superscript"/>
                      <w:lang w:val="en-GB"/>
                    </w:rPr>
                    <w:t>1</w:t>
                  </w:r>
                </w:p>
              </w:tc>
            </w:tr>
          </w:tbl>
          <w:p w14:paraId="6AD96EE6" w14:textId="1126F066" w:rsidR="00610B10" w:rsidRPr="00610B10" w:rsidRDefault="00490D32" w:rsidP="00110053">
            <w:pPr>
              <w:rPr>
                <w:sz w:val="16"/>
                <w:szCs w:val="16"/>
                <w:highlight w:val="yellow"/>
                <w:lang w:val="en-GB"/>
              </w:rPr>
            </w:pPr>
            <w:r w:rsidRPr="00506B44">
              <w:rPr>
                <w:sz w:val="18"/>
                <w:szCs w:val="16"/>
                <w:vertAlign w:val="superscript"/>
                <w:lang w:val="en-GB"/>
              </w:rPr>
              <w:lastRenderedPageBreak/>
              <w:t>1</w:t>
            </w:r>
            <w:r w:rsidRPr="00AB45A3">
              <w:rPr>
                <w:sz w:val="16"/>
                <w:szCs w:val="16"/>
                <w:lang w:val="en-GB"/>
              </w:rPr>
              <w:t xml:space="preserve">mandatory </w:t>
            </w:r>
            <w:r>
              <w:rPr>
                <w:sz w:val="16"/>
                <w:szCs w:val="16"/>
                <w:lang w:val="en-GB"/>
              </w:rPr>
              <w:t>if identification has been performed.</w:t>
            </w: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lastRenderedPageBreak/>
              <w:t>Example:</w:t>
            </w:r>
          </w:p>
        </w:tc>
        <w:tc>
          <w:tcPr>
            <w:tcW w:w="8571" w:type="dxa"/>
          </w:tcPr>
          <w:p w14:paraId="20EA2196" w14:textId="77777777" w:rsidR="00610B10" w:rsidRPr="00610B10" w:rsidRDefault="00610B10" w:rsidP="00110053">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011D07">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011D07">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77777777" w:rsidR="008633B9" w:rsidRPr="00610B10" w:rsidRDefault="008633B9" w:rsidP="00110053">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102C84FB" w:rsidR="001C4770" w:rsidRPr="00EC2317" w:rsidRDefault="001C4770" w:rsidP="00110053">
            <w:pPr>
              <w:rPr>
                <w:lang w:val="en-GB"/>
              </w:rPr>
            </w:pPr>
            <w:r>
              <w:rPr>
                <w:lang w:val="en-GB"/>
              </w:rPr>
              <w:t xml:space="preserve">The system used for giving reliability codes to small molecule identifications.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77777777" w:rsidR="001C4770" w:rsidRPr="00D32DD9" w:rsidRDefault="001C4770" w:rsidP="00110053">
                  <w:pPr>
                    <w:jc w:val="center"/>
                    <w:rPr>
                      <w:sz w:val="16"/>
                      <w:szCs w:val="16"/>
                      <w:lang w:val="en-GB"/>
                    </w:rPr>
                  </w:pPr>
                  <w:r w:rsidRPr="00D32DD9">
                    <w:rPr>
                      <w:sz w:val="16"/>
                      <w:szCs w:val="16"/>
                      <w:lang w:val="en-GB"/>
                    </w:rPr>
                    <w:t>(</w:t>
                  </w:r>
                  <w:r w:rsidRPr="00D32DD9">
                    <w:rPr>
                      <w:sz w:val="16"/>
                      <w:szCs w:val="16"/>
                      <w:lang w:val="en-GB"/>
                    </w:rPr>
                    <w:sym w:font="Wingdings" w:char="F0FC"/>
                  </w:r>
                  <w:r w:rsidRPr="00D32DD9">
                    <w:rPr>
                      <w:sz w:val="16"/>
                      <w:szCs w:val="16"/>
                      <w:lang w:val="en-GB"/>
                    </w:rPr>
                    <w:t>)</w:t>
                  </w:r>
                  <w:r w:rsidRPr="00D32DD9">
                    <w:rPr>
                      <w:sz w:val="18"/>
                      <w:szCs w:val="16"/>
                      <w:vertAlign w:val="superscript"/>
                      <w:lang w:val="en-GB"/>
                    </w:rPr>
                    <w:t>1</w:t>
                  </w:r>
                </w:p>
              </w:tc>
              <w:tc>
                <w:tcPr>
                  <w:tcW w:w="0" w:type="auto"/>
                </w:tcPr>
                <w:p w14:paraId="365BBD95" w14:textId="77777777" w:rsidR="001C4770" w:rsidRPr="00D32DD9" w:rsidRDefault="001C4770" w:rsidP="00110053">
                  <w:pPr>
                    <w:jc w:val="center"/>
                    <w:rPr>
                      <w:sz w:val="16"/>
                      <w:szCs w:val="16"/>
                      <w:lang w:val="en-GB"/>
                    </w:rPr>
                  </w:pPr>
                  <w:r w:rsidRPr="00D32DD9">
                    <w:rPr>
                      <w:sz w:val="16"/>
                      <w:szCs w:val="16"/>
                      <w:lang w:val="en-GB"/>
                    </w:rPr>
                    <w:t>(</w:t>
                  </w:r>
                  <w:r w:rsidRPr="00D32DD9">
                    <w:rPr>
                      <w:sz w:val="16"/>
                      <w:szCs w:val="16"/>
                      <w:lang w:val="en-GB"/>
                    </w:rPr>
                    <w:sym w:font="Wingdings" w:char="F0FC"/>
                  </w:r>
                  <w:r w:rsidRPr="00D32DD9">
                    <w:rPr>
                      <w:sz w:val="16"/>
                      <w:szCs w:val="16"/>
                      <w:lang w:val="en-GB"/>
                    </w:rPr>
                    <w:t>)</w:t>
                  </w:r>
                  <w:r w:rsidRPr="00D32DD9">
                    <w:rPr>
                      <w:sz w:val="18"/>
                      <w:szCs w:val="16"/>
                      <w:vertAlign w:val="superscript"/>
                      <w:lang w:val="en-GB"/>
                    </w:rPr>
                    <w:t>1</w:t>
                  </w:r>
                </w:p>
              </w:tc>
            </w:tr>
          </w:tbl>
          <w:p w14:paraId="5D439EE0" w14:textId="5173FCDA" w:rsidR="001C4770" w:rsidRPr="00610B10" w:rsidRDefault="001C4770" w:rsidP="007B792B">
            <w:pPr>
              <w:rPr>
                <w:sz w:val="16"/>
                <w:szCs w:val="16"/>
                <w:highlight w:val="yellow"/>
                <w:lang w:val="en-GB"/>
              </w:rPr>
            </w:pPr>
            <w:r w:rsidRPr="00D32DD9">
              <w:rPr>
                <w:sz w:val="18"/>
                <w:szCs w:val="16"/>
                <w:vertAlign w:val="superscript"/>
                <w:lang w:val="en-GB"/>
              </w:rPr>
              <w:t>1</w:t>
            </w:r>
            <w:r w:rsidRPr="00D32DD9">
              <w:rPr>
                <w:sz w:val="16"/>
                <w:szCs w:val="16"/>
                <w:lang w:val="en-GB"/>
              </w:rPr>
              <w:t xml:space="preserve">mandatory if </w:t>
            </w:r>
            <w:r w:rsidR="007B792B" w:rsidRPr="00D32DD9">
              <w:rPr>
                <w:sz w:val="16"/>
                <w:szCs w:val="16"/>
                <w:lang w:val="en-GB"/>
              </w:rPr>
              <w:t>not using the default identification codes.</w:t>
            </w: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lastRenderedPageBreak/>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lastRenderedPageBreak/>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lastRenderedPageBreak/>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3" w:name="_Ref312246776"/>
      <w:r>
        <w:rPr>
          <w:lang w:val="en-GB"/>
        </w:rPr>
        <w:t>sample</w:t>
      </w:r>
      <w:r w:rsidR="00B53656">
        <w:rPr>
          <w:lang w:val="en-GB"/>
        </w:rPr>
        <w:t>[1-n]-</w:t>
      </w:r>
      <w:r w:rsidR="007A1183" w:rsidRPr="00184979">
        <w:rPr>
          <w:lang w:val="en-GB"/>
        </w:rPr>
        <w:t>species</w:t>
      </w:r>
      <w:bookmarkEnd w:id="143"/>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lastRenderedPageBreak/>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44"/>
      <w:r>
        <w:rPr>
          <w:lang w:val="en-GB"/>
        </w:rPr>
        <w:t>assay[1-n]-</w:t>
      </w:r>
      <w:r w:rsidRPr="00CD1345">
        <w:rPr>
          <w:lang w:val="en-GB"/>
        </w:rPr>
        <w:t>quantification_</w:t>
      </w:r>
      <w:r>
        <w:rPr>
          <w:lang w:val="en-GB"/>
        </w:rPr>
        <w:t>mod[1-n]</w:t>
      </w:r>
      <w:commentRangeEnd w:id="144"/>
      <w:r w:rsidR="00350796">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45"/>
      <w:r>
        <w:rPr>
          <w:lang w:val="en-GB"/>
        </w:rPr>
        <w:t>study_variabl</w:t>
      </w:r>
      <w:r w:rsidR="00605B79">
        <w:rPr>
          <w:lang w:val="en-GB"/>
        </w:rPr>
        <w:t>e[1-n]-</w:t>
      </w:r>
      <w:r w:rsidR="00C9007E">
        <w:rPr>
          <w:lang w:val="en-GB"/>
        </w:rPr>
        <w:t>sample_ref</w:t>
      </w:r>
      <w:r w:rsidR="00605B79">
        <w:rPr>
          <w:lang w:val="en-GB"/>
        </w:rPr>
        <w:t>s</w:t>
      </w:r>
      <w:commentRangeEnd w:id="145"/>
      <w:r w:rsidR="00F44902">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lastRenderedPageBreak/>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lastRenderedPageBreak/>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lastRenderedPageBreak/>
              <w:t>Type:</w:t>
            </w:r>
          </w:p>
        </w:tc>
        <w:tc>
          <w:tcPr>
            <w:tcW w:w="8571" w:type="dxa"/>
          </w:tcPr>
          <w:p w14:paraId="1285844C" w14:textId="77777777" w:rsidR="00D959A2" w:rsidRDefault="00D526DA" w:rsidP="00EA4D0B">
            <w:pPr>
              <w:spacing w:after="60"/>
              <w:outlineLvl w:val="1"/>
              <w:rPr>
                <w:rFonts w:cs="Arial"/>
                <w:lang w:val="en-GB"/>
              </w:rPr>
            </w:pPr>
            <w:bookmarkStart w:id="146" w:name="_Toc363823119"/>
            <w:r w:rsidRPr="00EA4D0B">
              <w:rPr>
                <w:lang w:val="en-GB"/>
              </w:rPr>
              <w:t>String</w:t>
            </w:r>
            <w:bookmarkEnd w:id="146"/>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7" w:name="_Toc363823120"/>
            <w:r>
              <w:rPr>
                <w:b/>
                <w:lang w:val="en-GB"/>
              </w:rPr>
              <w:t>Mandatory</w:t>
            </w:r>
            <w:bookmarkEnd w:id="147"/>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8"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8"/>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9" w:name="_Toc363823122"/>
            <w:r w:rsidRPr="00EA4D0B">
              <w:rPr>
                <w:b/>
                <w:lang w:val="en-GB"/>
              </w:rPr>
              <w:t>Example:</w:t>
            </w:r>
            <w:bookmarkEnd w:id="149"/>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50" w:name="_Toc363823123"/>
            <w:r w:rsidRPr="00653EC3">
              <w:rPr>
                <w:rFonts w:ascii="Courier New" w:hAnsi="Courier New" w:cs="Courier New"/>
                <w:sz w:val="16"/>
                <w:szCs w:val="16"/>
                <w:lang w:val="en-GB"/>
              </w:rPr>
              <w:t xml:space="preserve">MTD   </w:t>
            </w:r>
            <w:bookmarkEnd w:id="150"/>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51" w:name="_Toc363823124"/>
            <w:r w:rsidRPr="00EA4D0B">
              <w:rPr>
                <w:lang w:val="en-GB"/>
              </w:rPr>
              <w:t>String</w:t>
            </w:r>
            <w:bookmarkEnd w:id="151"/>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52" w:name="_Toc363823127"/>
            <w:r w:rsidRPr="00EA4D0B">
              <w:rPr>
                <w:b/>
                <w:lang w:val="en-GB"/>
              </w:rPr>
              <w:t>Example:</w:t>
            </w:r>
            <w:bookmarkEnd w:id="152"/>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53"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53"/>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54" w:name="_Toc363823129"/>
            <w:r w:rsidRPr="00DC5F15">
              <w:rPr>
                <w:lang w:val="en-GB"/>
              </w:rPr>
              <w:t>String</w:t>
            </w:r>
            <w:bookmarkEnd w:id="154"/>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55" w:name="_Toc363823132"/>
            <w:r w:rsidRPr="00DC5F15">
              <w:rPr>
                <w:b/>
                <w:lang w:val="en-GB"/>
              </w:rPr>
              <w:t>Example:</w:t>
            </w:r>
            <w:bookmarkEnd w:id="155"/>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6"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6"/>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7" w:name="_Toc363823134"/>
            <w:r w:rsidRPr="00EA4D0B">
              <w:rPr>
                <w:lang w:val="en-GB"/>
              </w:rPr>
              <w:t>String</w:t>
            </w:r>
            <w:bookmarkEnd w:id="157"/>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8" w:name="_Toc363823137"/>
            <w:r w:rsidRPr="00EA4D0B">
              <w:rPr>
                <w:b/>
                <w:lang w:val="en-GB"/>
              </w:rPr>
              <w:t>Example:</w:t>
            </w:r>
            <w:bookmarkEnd w:id="158"/>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9" w:name="_Toc264879025"/>
      <w:r>
        <w:rPr>
          <w:lang w:val="en-GB"/>
        </w:rPr>
        <w:t>Protein Section</w:t>
      </w:r>
      <w:bookmarkEnd w:id="159"/>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w:t>
      </w:r>
      <w:r w:rsidR="00950E3C">
        <w:rPr>
          <w:lang w:val="en-GB"/>
        </w:rPr>
        <w:lastRenderedPageBreak/>
        <w:t>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60"/>
      <w:r>
        <w:rPr>
          <w:lang w:val="en-GB"/>
        </w:rPr>
        <w:t>database</w:t>
      </w:r>
      <w:commentRangeEnd w:id="160"/>
      <w:r w:rsidR="00001E4D">
        <w:rPr>
          <w:rStyle w:val="CommentReference"/>
          <w:rFonts w:ascii="Arial" w:hAnsi="Arial"/>
          <w:b w:val="0"/>
          <w:bCs w:val="0"/>
        </w:rPr>
        <w:commentReference w:id="16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lastRenderedPageBreak/>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 xml:space="preserve">A comma-delimited list of protein accessions. This field should be set in the </w:t>
            </w:r>
            <w:r w:rsidRPr="00EC2317">
              <w:rPr>
                <w:lang w:val="en-GB"/>
              </w:rPr>
              <w:lastRenderedPageBreak/>
              <w:t>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lastRenderedPageBreak/>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61" w:name="_Ref318276447"/>
      <w:r w:rsidRPr="005872BC">
        <w:rPr>
          <w:lang w:val="en-GB"/>
        </w:rPr>
        <w:t>modifications</w:t>
      </w:r>
      <w:bookmarkEnd w:id="161"/>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lastRenderedPageBreak/>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w:t>
            </w:r>
            <w:r w:rsidR="0067495A" w:rsidRPr="00EC2317">
              <w:rPr>
                <w:lang w:val="en-GB"/>
              </w:rPr>
              <w:lastRenderedPageBreak/>
              <w:t xml:space="preserve">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lastRenderedPageBreak/>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62" w:name="_Toc264879026"/>
      <w:r>
        <w:rPr>
          <w:lang w:val="en-GB"/>
        </w:rPr>
        <w:t>Peptide Section</w:t>
      </w:r>
      <w:bookmarkEnd w:id="162"/>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lastRenderedPageBreak/>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lastRenderedPageBreak/>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 xml:space="preserve">Semantics may vary on how retention times are reported. For quantification approaches, different exporters MAY wish to </w:t>
            </w:r>
            <w:r w:rsidR="00944711">
              <w:rPr>
                <w:lang w:val="en-GB"/>
              </w:rPr>
              <w:lastRenderedPageBreak/>
              <w:t>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lastRenderedPageBreak/>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lastRenderedPageBreak/>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lastRenderedPageBreak/>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lastRenderedPageBreak/>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63" w:name="_Toc356304554"/>
      <w:bookmarkStart w:id="164" w:name="_Toc356304648"/>
      <w:bookmarkStart w:id="165" w:name="_Toc359328081"/>
      <w:bookmarkStart w:id="166" w:name="_Toc359328180"/>
      <w:bookmarkStart w:id="167" w:name="_Toc264879027"/>
      <w:bookmarkEnd w:id="163"/>
      <w:bookmarkEnd w:id="164"/>
      <w:bookmarkEnd w:id="165"/>
      <w:bookmarkEnd w:id="166"/>
      <w:r>
        <w:rPr>
          <w:lang w:val="en-GB"/>
        </w:rPr>
        <w:t>PSM Section</w:t>
      </w:r>
      <w:bookmarkEnd w:id="16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lastRenderedPageBreak/>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lastRenderedPageBreak/>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lastRenderedPageBreak/>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lastRenderedPageBreak/>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lastRenderedPageBreak/>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lastRenderedPageBreak/>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8"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8"/>
    </w:p>
    <w:p w14:paraId="6C725F0C" w14:textId="77777777" w:rsidR="007A1183" w:rsidRDefault="007A1183" w:rsidP="007A1183">
      <w:pPr>
        <w:pStyle w:val="nobreak"/>
        <w:rPr>
          <w:lang w:val="en-GB"/>
        </w:rPr>
      </w:pPr>
      <w:r>
        <w:rPr>
          <w:lang w:val="en-GB"/>
        </w:rPr>
        <w:t xml:space="preserve">The small molecule section is table-based. The small molecule section MUST always come after the metadata section, </w:t>
      </w:r>
      <w:commentRangeStart w:id="169"/>
      <w:r>
        <w:rPr>
          <w:lang w:val="en-GB"/>
        </w:rPr>
        <w:t>peptide section and or protein section if they are present in the file</w:t>
      </w:r>
      <w:commentRangeEnd w:id="169"/>
      <w:r w:rsidR="00C64B97">
        <w:rPr>
          <w:rStyle w:val="CommentReference"/>
        </w:rPr>
        <w:commentReference w:id="169"/>
      </w:r>
      <w:r>
        <w:rPr>
          <w:lang w:val="en-GB"/>
        </w:rPr>
        <w:t>.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70"/>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70"/>
            <w:r w:rsidR="008A2A7C">
              <w:rPr>
                <w:rStyle w:val="CommentReference"/>
              </w:rPr>
              <w:commentReference w:id="170"/>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1"/>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1"/>
            <w:r w:rsidR="00562F47">
              <w:rPr>
                <w:rStyle w:val="CommentReference"/>
              </w:rPr>
              <w:commentReference w:id="171"/>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2"/>
            <w:r w:rsidRPr="00C976D0">
              <w:rPr>
                <w:rFonts w:cs="Courier New"/>
              </w:rPr>
              <w:t xml:space="preserve">CID:00027395    </w:t>
            </w:r>
            <w:commentRangeEnd w:id="172"/>
            <w:r>
              <w:rPr>
                <w:rStyle w:val="CommentReference"/>
                <w:rFonts w:ascii="Arial" w:hAnsi="Arial"/>
                <w:lang w:val="en-US"/>
              </w:rPr>
              <w:commentReference w:id="172"/>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174B4AA2"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6D4B60">
              <w:rPr>
                <w:lang w:val="en-GB"/>
              </w:rPr>
              <w:t xml:space="preserve"> of the identified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73"/>
            <w:r w:rsidR="00DF440C">
              <w:rPr>
                <w:lang w:val="en-GB"/>
              </w:rPr>
              <w:t xml:space="preserve">or it </w:t>
            </w:r>
            <w:r w:rsidR="00DF440C">
              <w:rPr>
                <w:lang w:val="en-GB"/>
              </w:rPr>
              <w:lastRenderedPageBreak/>
              <w:t xml:space="preserve">MAY be </w:t>
            </w:r>
            <w:r w:rsidR="00453BB3">
              <w:rPr>
                <w:lang w:val="en-GB"/>
              </w:rPr>
              <w:t>null</w:t>
            </w:r>
            <w:r w:rsidR="00713C99" w:rsidRPr="009B641F">
              <w:rPr>
                <w:lang w:val="en-GB"/>
              </w:rPr>
              <w:t>.</w:t>
            </w:r>
            <w:commentRangeEnd w:id="173"/>
            <w:r w:rsidR="00DF440C">
              <w:rPr>
                <w:rStyle w:val="CommentReference"/>
              </w:rPr>
              <w:commentReference w:id="173"/>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4"/>
      <w:r>
        <w:rPr>
          <w:lang w:val="en-GB"/>
        </w:rPr>
        <w:t>in</w:t>
      </w:r>
      <w:r w:rsidR="009E04E6">
        <w:rPr>
          <w:lang w:val="en-GB"/>
        </w:rPr>
        <w:t>chi</w:t>
      </w:r>
      <w:commentRangeEnd w:id="174"/>
      <w:r w:rsidR="00821B9A">
        <w:rPr>
          <w:rStyle w:val="CommentReference"/>
          <w:rFonts w:ascii="Arial" w:hAnsi="Arial"/>
          <w:b w:val="0"/>
          <w:bCs w:val="0"/>
        </w:rPr>
        <w:commentReference w:id="17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75"/>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75"/>
            <w:r w:rsidR="007F0FF3">
              <w:rPr>
                <w:rStyle w:val="CommentReference"/>
              </w:rPr>
              <w:commentReference w:id="175"/>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50D45170" w:rsidR="007354AF" w:rsidRDefault="007354AF" w:rsidP="008B1AF5">
            <w:pPr>
              <w:rPr>
                <w:lang w:val="en-GB"/>
              </w:rPr>
            </w:pPr>
            <w:r>
              <w:rPr>
                <w:lang w:val="en-GB"/>
              </w:rPr>
              <w:t xml:space="preserve">The number of values provided MUST match the number of values provided in </w:t>
            </w:r>
            <w:r>
              <w:rPr>
                <w:lang w:val="en-GB"/>
              </w:rPr>
              <w:lastRenderedPageBreak/>
              <w:t xml:space="preserve">identifier.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commentRangeStart w:id="176"/>
            <w:r w:rsidRPr="007354AF">
              <w:rPr>
                <w:lang w:val="en-GB"/>
              </w:rPr>
              <w:t>Double List</w:t>
            </w:r>
            <w:commentRangeEnd w:id="176"/>
            <w:r w:rsidR="0054734A" w:rsidRPr="007354AF">
              <w:rPr>
                <w:rStyle w:val="CommentReference"/>
              </w:rPr>
              <w:commentReference w:id="176"/>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7"/>
            <w:r>
              <w:rPr>
                <w:lang w:val="en-GB"/>
              </w:rPr>
              <w:t>Master or aggregate MS run</w:t>
            </w:r>
            <w:commentRangeEnd w:id="177"/>
            <w:r>
              <w:rPr>
                <w:rStyle w:val="CommentReference"/>
              </w:rPr>
              <w:commentReference w:id="177"/>
            </w:r>
            <w:r>
              <w:rPr>
                <w:lang w:val="en-GB"/>
              </w:rPr>
              <w:t>. Retention time MUST be reported in seconds</w:t>
            </w:r>
            <w:r w:rsidR="00A70AD2">
              <w:rPr>
                <w:lang w:val="en-GB"/>
              </w:rPr>
              <w:t xml:space="preserve">, </w:t>
            </w:r>
            <w:commentRangeStart w:id="178"/>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8"/>
            <w:r w:rsidR="00BC0BA6">
              <w:rPr>
                <w:rStyle w:val="CommentReference"/>
              </w:rPr>
              <w:commentReference w:id="178"/>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9"/>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244EF1D8" w14:textId="77777777" w:rsidR="007A1183" w:rsidRDefault="004066C5" w:rsidP="0099579A">
            <w:r>
              <w:lastRenderedPageBreak/>
              <w:t>These MAY be replaced using a suitable CV term in the Metadata section e.g. to use MSI recommendation levels.</w:t>
            </w:r>
            <w:commentRangeEnd w:id="179"/>
            <w:r w:rsidR="00551D83">
              <w:rPr>
                <w:rStyle w:val="CommentReference"/>
              </w:rPr>
              <w:commentReference w:id="179"/>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80"/>
            <w:r>
              <w:rPr>
                <w:rFonts w:ascii="Arial" w:hAnsi="Arial" w:cs="Arial"/>
                <w:b/>
                <w:sz w:val="24"/>
                <w:szCs w:val="24"/>
              </w:rPr>
              <w:t>FALSE</w:t>
            </w:r>
            <w:commentRangeEnd w:id="180"/>
            <w:r w:rsidR="00693EA2">
              <w:rPr>
                <w:rStyle w:val="CommentReference"/>
                <w:rFonts w:ascii="Arial" w:hAnsi="Arial"/>
                <w:lang w:val="en-US"/>
              </w:rPr>
              <w:commentReference w:id="180"/>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81"/>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81"/>
            <w:r w:rsidR="00665ED6">
              <w:rPr>
                <w:rStyle w:val="CommentReference"/>
              </w:rPr>
              <w:commentReference w:id="181"/>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82"/>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82"/>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82"/>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3"/>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3"/>
            <w:r w:rsidR="00A67D72">
              <w:rPr>
                <w:rStyle w:val="CommentReference"/>
              </w:rPr>
              <w:commentReference w:id="183"/>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lastRenderedPageBreak/>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4"/>
            <w:r w:rsidR="002863E0">
              <w:rPr>
                <w:lang w:val="en-GB"/>
              </w:rPr>
              <w:t>co-efficient of varia</w:t>
            </w:r>
            <w:r w:rsidR="008B0D27">
              <w:rPr>
                <w:lang w:val="en-GB"/>
              </w:rPr>
              <w:t>tion</w:t>
            </w:r>
            <w:r w:rsidRPr="00EC2317">
              <w:rPr>
                <w:lang w:val="en-GB"/>
              </w:rPr>
              <w:t xml:space="preserve"> </w:t>
            </w:r>
            <w:commentRangeEnd w:id="184"/>
            <w:r w:rsidR="002863E0">
              <w:rPr>
                <w:rStyle w:val="CommentReference"/>
              </w:rPr>
              <w:commentReference w:id="184"/>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5"/>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5"/>
            <w:r w:rsidR="00F62896">
              <w:rPr>
                <w:rStyle w:val="CommentReference"/>
              </w:rPr>
              <w:commentReference w:id="185"/>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6"/>
            <w:r>
              <w:rPr>
                <w:lang w:val="en-GB"/>
              </w:rPr>
              <w:t>Integer</w:t>
            </w:r>
            <w:commentRangeEnd w:id="186"/>
            <w:r w:rsidR="003366FD">
              <w:rPr>
                <w:rStyle w:val="CommentReference"/>
              </w:rPr>
              <w:commentReference w:id="186"/>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xml:space="preserve">. </w:t>
            </w:r>
            <w:commentRangeStart w:id="187"/>
            <w:r w:rsidR="00B07BC1">
              <w:rPr>
                <w:lang w:val="en-GB"/>
              </w:rPr>
              <w:t>Multiple values MAY be provided as a “|” separated list to indicate ambiguity in the identification.</w:t>
            </w:r>
            <w:commentRangeEnd w:id="187"/>
            <w:r w:rsidR="00422652">
              <w:rPr>
                <w:rStyle w:val="CommentReference"/>
              </w:rPr>
              <w:commentReference w:id="187"/>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2A75F1">
        <w:tc>
          <w:tcPr>
            <w:tcW w:w="1617" w:type="dxa"/>
            <w:vAlign w:val="center"/>
          </w:tcPr>
          <w:p w14:paraId="5E2280F8" w14:textId="77777777" w:rsidR="002203A9" w:rsidRPr="00EC2317" w:rsidRDefault="002203A9" w:rsidP="002A75F1">
            <w:pPr>
              <w:rPr>
                <w:b/>
                <w:lang w:val="en-GB"/>
              </w:rPr>
            </w:pPr>
            <w:r w:rsidRPr="00EC2317">
              <w:rPr>
                <w:b/>
                <w:lang w:val="en-GB"/>
              </w:rPr>
              <w:t>Description:</w:t>
            </w:r>
          </w:p>
        </w:tc>
        <w:tc>
          <w:tcPr>
            <w:tcW w:w="8571" w:type="dxa"/>
          </w:tcPr>
          <w:p w14:paraId="6CBA9936" w14:textId="1621F8F9" w:rsidR="002203A9" w:rsidRPr="00AE0684" w:rsidRDefault="002203A9" w:rsidP="002A75F1">
            <w:pPr>
              <w:rPr>
                <w:lang w:val="en-GB"/>
              </w:rPr>
            </w:pPr>
            <w:r>
              <w:rPr>
                <w:lang w:val="en-GB"/>
              </w:rPr>
              <w:t>If multiple values are given under SME_ID_REFS, one of the following codes MUST be provided. 1=Ambiguous identification; 2=Confident identification of multiple molecules; 3=Different evidence streams for the same molecule.</w:t>
            </w:r>
            <w:r w:rsidR="001E786F">
              <w:rPr>
                <w:lang w:val="en-GB"/>
              </w:rPr>
              <w:t xml:space="preserve"> If there are no or one value under SME_ID_REFs, this MUST be reported as null.</w:t>
            </w:r>
          </w:p>
        </w:tc>
      </w:tr>
      <w:tr w:rsidR="002203A9" w14:paraId="040AEE66" w14:textId="77777777" w:rsidTr="002A75F1">
        <w:tc>
          <w:tcPr>
            <w:tcW w:w="1617" w:type="dxa"/>
            <w:vAlign w:val="center"/>
          </w:tcPr>
          <w:p w14:paraId="581C0FA0" w14:textId="77777777" w:rsidR="002203A9" w:rsidRPr="00EC2317" w:rsidRDefault="002203A9" w:rsidP="002A75F1">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2A75F1">
        <w:tc>
          <w:tcPr>
            <w:tcW w:w="1617" w:type="dxa"/>
            <w:vAlign w:val="center"/>
          </w:tcPr>
          <w:p w14:paraId="3268771A" w14:textId="77777777" w:rsidR="002203A9" w:rsidRPr="00EC2317" w:rsidRDefault="002203A9" w:rsidP="002A75F1">
            <w:pPr>
              <w:rPr>
                <w:b/>
                <w:lang w:val="en-GB"/>
              </w:rPr>
            </w:pPr>
            <w:r>
              <w:rPr>
                <w:b/>
                <w:lang w:val="en-GB"/>
              </w:rPr>
              <w:t>Is Nullable:</w:t>
            </w:r>
          </w:p>
        </w:tc>
        <w:tc>
          <w:tcPr>
            <w:tcW w:w="8571" w:type="dxa"/>
          </w:tcPr>
          <w:p w14:paraId="6CADF530" w14:textId="77777777" w:rsidR="002203A9" w:rsidRPr="00E92C27" w:rsidRDefault="002203A9" w:rsidP="002A75F1">
            <w:pPr>
              <w:pStyle w:val="Code"/>
              <w:rPr>
                <w:rFonts w:cs="Courier New"/>
              </w:rPr>
            </w:pPr>
            <w:r>
              <w:rPr>
                <w:rFonts w:ascii="Arial" w:hAnsi="Arial" w:cs="Arial"/>
                <w:b/>
                <w:sz w:val="24"/>
                <w:szCs w:val="24"/>
              </w:rPr>
              <w:t>TRUE</w:t>
            </w:r>
          </w:p>
        </w:tc>
      </w:tr>
      <w:tr w:rsidR="002203A9" w14:paraId="3984A223" w14:textId="77777777" w:rsidTr="002A75F1">
        <w:tc>
          <w:tcPr>
            <w:tcW w:w="1617" w:type="dxa"/>
            <w:vAlign w:val="center"/>
          </w:tcPr>
          <w:p w14:paraId="7AF8D4C6" w14:textId="77777777" w:rsidR="002203A9" w:rsidRPr="00EC2317" w:rsidRDefault="002203A9" w:rsidP="002A75F1">
            <w:pPr>
              <w:rPr>
                <w:b/>
                <w:lang w:val="en-GB"/>
              </w:rPr>
            </w:pPr>
            <w:r w:rsidRPr="00EC2317">
              <w:rPr>
                <w:b/>
                <w:lang w:val="en-GB"/>
              </w:rPr>
              <w:t>Example:</w:t>
            </w:r>
          </w:p>
        </w:tc>
        <w:tc>
          <w:tcPr>
            <w:tcW w:w="8571" w:type="dxa"/>
          </w:tcPr>
          <w:p w14:paraId="370798FB" w14:textId="57DCF174" w:rsidR="002203A9" w:rsidRPr="00E92C27" w:rsidRDefault="002203A9" w:rsidP="002A75F1">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lastRenderedPageBreak/>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8"/>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8"/>
            <w:r>
              <w:rPr>
                <w:rStyle w:val="CommentReference"/>
              </w:rPr>
              <w:commentReference w:id="188"/>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commentRangeStart w:id="189"/>
            <w:r w:rsidRPr="008546FF">
              <w:rPr>
                <w:highlight w:val="yellow"/>
                <w:lang w:val="en-GB"/>
              </w:rPr>
              <w:t>XX nomenclature system</w:t>
            </w:r>
            <w:commentRangeEnd w:id="189"/>
            <w:r w:rsidR="00907A4F">
              <w:rPr>
                <w:rStyle w:val="CommentReference"/>
              </w:rPr>
              <w:commentReference w:id="189"/>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96A87EA"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 xml:space="preserve">ss/charge value for the feature, by default assumed to be the mean across assays. </w:t>
            </w:r>
            <w:r w:rsidR="005B5062" w:rsidRPr="005B5062">
              <w:rPr>
                <w:highlight w:val="yellow"/>
                <w:lang w:val="en-GB"/>
              </w:rPr>
              <w:t>CV term in metadata if we exporter wishes to do something different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90"/>
            <w:r>
              <w:rPr>
                <w:lang w:val="en-GB"/>
              </w:rPr>
              <w:t xml:space="preserve">apex of the feature </w:t>
            </w:r>
            <w:commentRangeEnd w:id="190"/>
            <w:r>
              <w:rPr>
                <w:rStyle w:val="CommentReference"/>
              </w:rPr>
              <w:commentReference w:id="190"/>
            </w:r>
            <w:r>
              <w:rPr>
                <w:lang w:val="en-GB"/>
              </w:rPr>
              <w:t>on the retention time axis</w:t>
            </w:r>
            <w:r w:rsidR="001027BA">
              <w:rPr>
                <w:lang w:val="en-GB"/>
              </w:rPr>
              <w:t xml:space="preserve">, </w:t>
            </w:r>
            <w:r w:rsidR="00970721">
              <w:rPr>
                <w:lang w:val="en-GB"/>
              </w:rPr>
              <w:t xml:space="preserve">in a </w:t>
            </w:r>
            <w:commentRangeStart w:id="191"/>
            <w:r w:rsidR="00970721">
              <w:rPr>
                <w:lang w:val="en-GB"/>
              </w:rPr>
              <w:t>Master or aggregate MS run</w:t>
            </w:r>
            <w:commentRangeEnd w:id="191"/>
            <w:r w:rsidR="00934700">
              <w:rPr>
                <w:rStyle w:val="CommentReference"/>
              </w:rPr>
              <w:commentReference w:id="191"/>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92"/>
      <w:r>
        <w:rPr>
          <w:lang w:val="en-GB"/>
        </w:rPr>
        <w:t>retention_time_start</w:t>
      </w:r>
      <w:commentRangeEnd w:id="192"/>
      <w:r w:rsidR="00C7182C">
        <w:rPr>
          <w:rStyle w:val="CommentReference"/>
          <w:rFonts w:ascii="Arial" w:hAnsi="Arial"/>
          <w:b w:val="0"/>
          <w:bCs w:val="0"/>
        </w:rPr>
        <w:commentReference w:id="19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1A23F75F"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lastRenderedPageBreak/>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21F2F7A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93"/>
            <w:r>
              <w:rPr>
                <w:lang w:val="en-GB"/>
              </w:rPr>
              <w:t>Null or zero values may be reported as appropriate</w:t>
            </w:r>
            <w:r w:rsidRPr="00EC2317">
              <w:rPr>
                <w:lang w:val="en-GB"/>
              </w:rPr>
              <w:t xml:space="preserve">. </w:t>
            </w:r>
            <w:commentRangeEnd w:id="193"/>
            <w:r w:rsidR="005B5062">
              <w:rPr>
                <w:rStyle w:val="CommentReference"/>
              </w:rPr>
              <w:commentReference w:id="193"/>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510EEA51" w:rsidR="001D4C16" w:rsidRDefault="0085523B" w:rsidP="00602E80">
            <w:pPr>
              <w:rPr>
                <w:lang w:val="en-GB"/>
              </w:rPr>
            </w:pPr>
            <w:r>
              <w:rPr>
                <w:lang w:val="en-GB"/>
              </w:rPr>
              <w:t xml:space="preserve">The </w:t>
            </w:r>
            <w:r w:rsidR="001D4C16" w:rsidRPr="00EC2317">
              <w:rPr>
                <w:lang w:val="en-GB"/>
              </w:rPr>
              <w:t>chemical formula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4"/>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4"/>
            <w:r>
              <w:rPr>
                <w:rStyle w:val="CommentReference"/>
              </w:rPr>
              <w:commentReference w:id="194"/>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B193886" w:rsidR="003A6D81" w:rsidRPr="004919C6" w:rsidRDefault="003A6D81" w:rsidP="004C2D4A">
            <w:pPr>
              <w:rPr>
                <w:lang w:val="en-GB"/>
              </w:rPr>
            </w:pPr>
            <w:r w:rsidRPr="004919C6">
              <w:rPr>
                <w:lang w:val="en-GB"/>
              </w:rPr>
              <w:t xml:space="preserve">The </w:t>
            </w:r>
            <w:r>
              <w:rPr>
                <w:lang w:val="en-GB"/>
              </w:rPr>
              <w:t xml:space="preserve">measured mass/charge value for the </w:t>
            </w:r>
            <w:r w:rsidR="004C2D4A">
              <w:rPr>
                <w:lang w:val="en-GB"/>
              </w:rPr>
              <w:t>precursor ion</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5"/>
      <w:r>
        <w:rPr>
          <w:lang w:val="en-GB"/>
        </w:rPr>
        <w:t>charge</w:t>
      </w:r>
      <w:commentRangeEnd w:id="195"/>
      <w:r>
        <w:rPr>
          <w:rStyle w:val="CommentReference"/>
          <w:rFonts w:ascii="Arial" w:hAnsi="Arial"/>
          <w:b w:val="0"/>
          <w:bCs w:val="0"/>
        </w:rPr>
        <w:commentReference w:id="19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6"/>
            <w:r w:rsidRPr="00E92C27">
              <w:rPr>
                <w:rFonts w:cs="Courier New"/>
              </w:rPr>
              <w:t xml:space="preserve">http://www.ebi.ac.uk/pride/link/to/identification   </w:t>
            </w:r>
            <w:commentRangeEnd w:id="196"/>
            <w:r w:rsidR="00AC43A7">
              <w:rPr>
                <w:rStyle w:val="CommentReference"/>
                <w:rFonts w:ascii="Arial" w:hAnsi="Arial"/>
                <w:lang w:val="en-US"/>
              </w:rPr>
              <w:commentReference w:id="196"/>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5982D3D9" w:rsidR="00F97D5F" w:rsidRDefault="00442E2B" w:rsidP="0018358A">
            <w:pPr>
              <w:jc w:val="both"/>
              <w:rPr>
                <w:lang w:val="en-GB"/>
              </w:rPr>
            </w:pPr>
            <w:r w:rsidRPr="00EC2317">
              <w:rPr>
                <w:lang w:val="en-GB"/>
              </w:rPr>
              <w:t xml:space="preserve">Reference to a spectrum in a </w:t>
            </w:r>
            <w:commentRangeStart w:id="197"/>
            <w:r w:rsidRPr="00EC2317">
              <w:rPr>
                <w:lang w:val="en-GB"/>
              </w:rPr>
              <w:t>spectrum file</w:t>
            </w:r>
            <w:commentRangeEnd w:id="197"/>
            <w:r w:rsidR="00995DCA">
              <w:rPr>
                <w:rStyle w:val="CommentReference"/>
              </w:rPr>
              <w:commentReference w:id="197"/>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commentRangeStart w:id="198"/>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w:t>
            </w:r>
            <w:commentRangeEnd w:id="198"/>
            <w:r w:rsidR="00995DCA">
              <w:rPr>
                <w:rStyle w:val="CommentReference"/>
              </w:rPr>
              <w:commentReference w:id="198"/>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18358A">
              <w:rPr>
                <w:lang w:val="en-GB"/>
              </w:rPr>
              <w:t>If a fragmentation spectrum has not been used, the column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99"/>
            <w:r>
              <w:rPr>
                <w:rFonts w:ascii="Arial" w:hAnsi="Arial" w:cs="Arial"/>
                <w:b/>
                <w:sz w:val="24"/>
                <w:szCs w:val="24"/>
              </w:rPr>
              <w:t>FALSE</w:t>
            </w:r>
            <w:commentRangeEnd w:id="199"/>
            <w:r>
              <w:rPr>
                <w:rStyle w:val="CommentReference"/>
                <w:rFonts w:ascii="Arial" w:hAnsi="Arial"/>
                <w:lang w:val="en-US"/>
              </w:rPr>
              <w:commentReference w:id="199"/>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00"/>
            <w:r>
              <w:rPr>
                <w:rFonts w:ascii="Arial" w:hAnsi="Arial" w:cs="Arial"/>
                <w:b/>
                <w:sz w:val="24"/>
                <w:szCs w:val="24"/>
              </w:rPr>
              <w:t>FALSE</w:t>
            </w:r>
            <w:commentRangeEnd w:id="200"/>
            <w:r w:rsidR="007B4EDF">
              <w:rPr>
                <w:rStyle w:val="CommentReference"/>
                <w:rFonts w:ascii="Arial" w:hAnsi="Arial"/>
                <w:lang w:val="en-US"/>
              </w:rPr>
              <w:commentReference w:id="200"/>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w:t>
            </w:r>
            <w:r w:rsidR="003A6D20">
              <w:rPr>
                <w:lang w:val="en-GB"/>
              </w:rPr>
              <w:lastRenderedPageBreak/>
              <w:t>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lastRenderedPageBreak/>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201"/>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201"/>
            <w:r w:rsidR="00E201C1">
              <w:rPr>
                <w:rStyle w:val="CommentReference"/>
              </w:rPr>
              <w:commentReference w:id="201"/>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46950884" w:rsidR="00BC5359" w:rsidRPr="004919C6" w:rsidRDefault="00C64DDE" w:rsidP="00C64DD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hyperlink r:id="rId31" w:tgtFrame="_blank" w:history="1">
              <w:r>
                <w:rPr>
                  <w:rStyle w:val="Hyperlink"/>
                </w:rPr>
                <w:t>terms relating to MS</w:t>
              </w:r>
            </w:hyperlink>
            <w:r>
              <w:t xml:space="preserve"> e.g. [M+H]+, [M+Na]+, [M+NH4]+, [M-H]-, [M+Cl]-</w:t>
            </w:r>
            <w:r>
              <w:rPr>
                <w:lang w:val="en-GB"/>
              </w:rPr>
              <w:t>.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2" w:name="_Toc264879029"/>
      <w:bookmarkStart w:id="203" w:name="_Toc111817895"/>
      <w:bookmarkStart w:id="204" w:name="_Toc118017570"/>
      <w:r>
        <w:t>Non-</w:t>
      </w:r>
      <w:r w:rsidR="002341EA">
        <w:t>supported use cases</w:t>
      </w:r>
      <w:bookmarkEnd w:id="202"/>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5" w:name="_Toc264879030"/>
      <w:r>
        <w:t>Conclusions</w:t>
      </w:r>
      <w:bookmarkEnd w:id="205"/>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06" w:name="_Toc264879031"/>
      <w:r w:rsidRPr="00D77D22">
        <w:t>Authors</w:t>
      </w:r>
      <w:bookmarkEnd w:id="206"/>
      <w:r w:rsidRPr="00D77D22">
        <w:t xml:space="preserve"> </w:t>
      </w:r>
    </w:p>
    <w:bookmarkEnd w:id="203"/>
    <w:bookmarkEnd w:id="204"/>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2" w:history="1">
        <w:r>
          <w:rPr>
            <w:rStyle w:val="Hyperlink"/>
          </w:rPr>
          <w:t>hhe</w:t>
        </w:r>
        <w:r w:rsidRPr="00F00CE7">
          <w:rPr>
            <w:rStyle w:val="Hyperlink"/>
          </w:rPr>
          <w:t>@ebi.ac.uk</w:t>
        </w:r>
      </w:hyperlink>
      <w:r>
        <w:t>)</w:t>
      </w:r>
      <w:r w:rsidR="005B1AC1">
        <w:t>, Juan Antonio Vizcaíno (</w:t>
      </w:r>
      <w:hyperlink r:id="rId33"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7" w:name="_Toc264879032"/>
      <w:r>
        <w:t>Contributors</w:t>
      </w:r>
      <w:bookmarkEnd w:id="207"/>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lastRenderedPageBreak/>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8" w:name="_Toc264879033"/>
      <w:r w:rsidRPr="00D77D22">
        <w:t>References</w:t>
      </w:r>
      <w:bookmarkEnd w:id="208"/>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9" w:name="_Toc526008660"/>
      <w:bookmarkStart w:id="210" w:name="_Toc153690678"/>
      <w:bookmarkStart w:id="211" w:name="_Toc155584023"/>
      <w:bookmarkStart w:id="212" w:name="_Toc156877875"/>
    </w:p>
    <w:p w14:paraId="3C3CDC6E" w14:textId="77777777" w:rsidR="007A1183" w:rsidRPr="008B6BE0" w:rsidRDefault="007A1183" w:rsidP="007A1183">
      <w:pPr>
        <w:pStyle w:val="Heading1"/>
      </w:pPr>
      <w:r w:rsidRPr="009F3B64">
        <w:t xml:space="preserve"> </w:t>
      </w:r>
      <w:bookmarkStart w:id="213" w:name="_Toc264879034"/>
      <w:r w:rsidRPr="008B6BE0">
        <w:t>Intellectual Property Statement</w:t>
      </w:r>
      <w:bookmarkEnd w:id="209"/>
      <w:bookmarkEnd w:id="210"/>
      <w:bookmarkEnd w:id="211"/>
      <w:bookmarkEnd w:id="212"/>
      <w:bookmarkEnd w:id="213"/>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lastRenderedPageBreak/>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14" w:name="_Toc264879035"/>
      <w:r w:rsidRPr="00FC4E18">
        <w:t>TradeMark Section</w:t>
      </w:r>
      <w:bookmarkEnd w:id="214"/>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5" w:name="_Toc153687291"/>
      <w:bookmarkStart w:id="216" w:name="_Toc155584024"/>
      <w:bookmarkStart w:id="217" w:name="_Toc156877876"/>
      <w:bookmarkStart w:id="218" w:name="_Toc264879036"/>
      <w:r w:rsidRPr="008B6BE0">
        <w:t>Copyright Notice</w:t>
      </w:r>
      <w:bookmarkEnd w:id="215"/>
      <w:bookmarkEnd w:id="216"/>
      <w:bookmarkEnd w:id="217"/>
      <w:bookmarkEnd w:id="218"/>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168A39A"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9" w:name="29"/>
      <w:bookmarkStart w:id="220" w:name="30"/>
      <w:bookmarkStart w:id="221" w:name="31"/>
      <w:bookmarkEnd w:id="219"/>
      <w:bookmarkEnd w:id="220"/>
      <w:bookmarkEnd w:id="221"/>
    </w:p>
    <w:sectPr w:rsidR="007A1183" w:rsidRPr="00507A7E" w:rsidSect="007A1183">
      <w:headerReference w:type="default" r:id="rId34"/>
      <w:footerReference w:type="default" r:id="rId35"/>
      <w:headerReference w:type="first" r:id="rId36"/>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4" w:author="Jones, Andy" w:date="2016-10-13T13:24:00Z" w:initials="JA">
    <w:p w14:paraId="7688DF5F" w14:textId="7AD90636" w:rsidR="00B15F64" w:rsidRDefault="00B15F64">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5" w:author="Jones, Andy" w:date="2016-10-13T13:50:00Z" w:initials="JA">
    <w:p w14:paraId="0B05FEB5" w14:textId="777E8516" w:rsidR="0018358A" w:rsidRDefault="0018358A">
      <w:pPr>
        <w:pStyle w:val="CommentText"/>
      </w:pPr>
      <w:r>
        <w:rPr>
          <w:rStyle w:val="CommentReference"/>
        </w:rPr>
        <w:annotationRef/>
      </w:r>
      <w:r>
        <w:t>This needs more work for metabolomics in case of derivitizations etc.</w:t>
      </w:r>
    </w:p>
  </w:comment>
  <w:comment w:id="137" w:author="Jones, Andy" w:date="2016-07-05T15:09:00Z" w:initials="JA">
    <w:p w14:paraId="31CEB6C4" w14:textId="3D9A88C8" w:rsidR="005C2B6D" w:rsidRDefault="005C2B6D">
      <w:pPr>
        <w:pStyle w:val="CommentText"/>
      </w:pPr>
      <w:r>
        <w:rPr>
          <w:rStyle w:val="CommentReference"/>
        </w:rPr>
        <w:annotationRef/>
      </w:r>
      <w:r>
        <w:t>Propose to add nullable to all of these? Perhaps this depends on Complete versus Summary?</w:t>
      </w:r>
    </w:p>
  </w:comment>
  <w:comment w:id="140" w:author="Jones, Andy" w:date="2016-07-05T14:57:00Z" w:initials="JA">
    <w:p w14:paraId="1D4A33ED" w14:textId="241E951A" w:rsidR="005C2B6D" w:rsidRDefault="005C2B6D">
      <w:pPr>
        <w:pStyle w:val="CommentText"/>
      </w:pPr>
      <w:r>
        <w:rPr>
          <w:rStyle w:val="CommentReference"/>
        </w:rPr>
        <w:annotationRef/>
      </w:r>
      <w:r>
        <w:t>Look like these only really work for proteomics flavor files</w:t>
      </w:r>
    </w:p>
  </w:comment>
  <w:comment w:id="141" w:author="Jones, Andy" w:date="2016-07-05T14:45:00Z" w:initials="JA">
    <w:p w14:paraId="427A8E82" w14:textId="10E4E40B" w:rsidR="005C2B6D" w:rsidRDefault="005C2B6D">
      <w:pPr>
        <w:pStyle w:val="CommentText"/>
      </w:pPr>
      <w:r>
        <w:rPr>
          <w:rStyle w:val="CommentReference"/>
        </w:rPr>
        <w:annotationRef/>
      </w:r>
      <w:r w:rsidR="00DA5246">
        <w:t>Mandatory to list all the databases that have been used for identification; If no databases, have a CV term for “no databases”?</w:t>
      </w:r>
    </w:p>
  </w:comment>
  <w:comment w:id="142" w:author="Jones, Andy" w:date="2016-10-13T13:55:00Z" w:initials="JA">
    <w:p w14:paraId="380D2E8F" w14:textId="6987722D" w:rsidR="00DA5246" w:rsidRDefault="00DA5246">
      <w:pPr>
        <w:pStyle w:val="CommentText"/>
      </w:pPr>
      <w:r>
        <w:rPr>
          <w:rStyle w:val="CommentReference"/>
        </w:rPr>
        <w:annotationRef/>
      </w:r>
      <w:r>
        <w:t>This must be mandatory and must match section above.</w:t>
      </w:r>
    </w:p>
    <w:p w14:paraId="1C039555" w14:textId="77777777" w:rsidR="00DA5246" w:rsidRDefault="00DA5246">
      <w:pPr>
        <w:pStyle w:val="CommentText"/>
      </w:pPr>
    </w:p>
    <w:p w14:paraId="0B418548" w14:textId="4424C783" w:rsidR="00DA5246" w:rsidRDefault="00DA5246">
      <w:pPr>
        <w:pStyle w:val="CommentText"/>
      </w:pPr>
      <w:r>
        <w:t>We need examples of how this should look</w:t>
      </w:r>
    </w:p>
  </w:comment>
  <w:comment w:id="144" w:author="Jones, Andy" w:date="2016-10-27T13:43:00Z" w:initials="JA">
    <w:p w14:paraId="3C14A363" w14:textId="14AB4AED" w:rsidR="00350796" w:rsidRDefault="00350796">
      <w:pPr>
        <w:pStyle w:val="CommentText"/>
      </w:pPr>
      <w:r>
        <w:rPr>
          <w:rStyle w:val="CommentReference"/>
        </w:rPr>
        <w:annotationRef/>
      </w:r>
      <w:r>
        <w:t>These look proteomics specific, left out metabolomics rows from these for now</w:t>
      </w:r>
    </w:p>
  </w:comment>
  <w:comment w:id="145" w:author="Jones, Andy" w:date="2016-10-27T13:46:00Z" w:initials="JA">
    <w:p w14:paraId="1E8FCFCC" w14:textId="0567FB0B" w:rsidR="00F44902" w:rsidRDefault="00F44902">
      <w:pPr>
        <w:pStyle w:val="CommentText"/>
      </w:pPr>
      <w:r>
        <w:rPr>
          <w:rStyle w:val="CommentReference"/>
        </w:rPr>
        <w:annotationRef/>
      </w:r>
      <w:r>
        <w:t>Can this not be traced back via assays, seems more sensible?</w:t>
      </w:r>
    </w:p>
  </w:comment>
  <w:comment w:id="160" w:author="Jones, Andy" w:date="2016-07-05T15:20:00Z" w:initials="JA">
    <w:p w14:paraId="2993AACB" w14:textId="644B5595" w:rsidR="005C2B6D" w:rsidRDefault="005C2B6D">
      <w:pPr>
        <w:pStyle w:val="CommentText"/>
      </w:pPr>
      <w:r>
        <w:rPr>
          <w:rStyle w:val="CommentReference"/>
        </w:rPr>
        <w:annotationRef/>
      </w:r>
      <w:r>
        <w:t>Propose to delete and move to metadata field and prefix on accession as per metabolomics</w:t>
      </w:r>
    </w:p>
    <w:p w14:paraId="71DF5895" w14:textId="77777777" w:rsidR="005C2B6D" w:rsidRDefault="005C2B6D">
      <w:pPr>
        <w:pStyle w:val="CommentText"/>
      </w:pPr>
    </w:p>
    <w:p w14:paraId="205650AE" w14:textId="2A61E320" w:rsidR="005C2B6D" w:rsidRDefault="005C2B6D">
      <w:pPr>
        <w:pStyle w:val="CommentText"/>
      </w:pPr>
      <w:r>
        <w:t>Same for database version</w:t>
      </w:r>
    </w:p>
    <w:p w14:paraId="7FAC3E72" w14:textId="77777777" w:rsidR="005C2B6D" w:rsidRDefault="005C2B6D">
      <w:pPr>
        <w:pStyle w:val="CommentText"/>
      </w:pPr>
    </w:p>
    <w:p w14:paraId="0DE49D45" w14:textId="16720B4E" w:rsidR="005C2B6D" w:rsidRDefault="005C2B6D">
      <w:pPr>
        <w:pStyle w:val="CommentText"/>
      </w:pPr>
      <w:r>
        <w:t>And for peptide / PSM?</w:t>
      </w:r>
    </w:p>
  </w:comment>
  <w:comment w:id="169" w:author="Jones, Andy" w:date="2016-08-25T13:18:00Z" w:initials="JA">
    <w:p w14:paraId="79F1CB2A" w14:textId="1845D5EB" w:rsidR="005C2B6D" w:rsidRDefault="005C2B6D">
      <w:pPr>
        <w:pStyle w:val="CommentText"/>
      </w:pPr>
      <w:r>
        <w:rPr>
          <w:rStyle w:val="CommentReference"/>
        </w:rPr>
        <w:annotationRef/>
      </w:r>
      <w:r>
        <w:t>Decided to allow only proteomics or metabolomics in one file, so change this text</w:t>
      </w:r>
    </w:p>
  </w:comment>
  <w:comment w:id="170" w:author="Jones, Andy" w:date="2016-07-05T10:28:00Z" w:initials="JA">
    <w:p w14:paraId="671A0861" w14:textId="46E6AB26" w:rsidR="005C2B6D" w:rsidRDefault="005C2B6D">
      <w:pPr>
        <w:pStyle w:val="CommentText"/>
      </w:pPr>
      <w:r>
        <w:rPr>
          <w:rStyle w:val="CommentReference"/>
        </w:rPr>
        <w:annotationRef/>
      </w:r>
      <w:r>
        <w:t xml:space="preserve">I have removed the distinction between Summary and Complete. </w:t>
      </w:r>
    </w:p>
    <w:p w14:paraId="2B2F0BDB" w14:textId="77777777" w:rsidR="005C2B6D" w:rsidRDefault="005C2B6D">
      <w:pPr>
        <w:pStyle w:val="CommentText"/>
      </w:pPr>
    </w:p>
    <w:p w14:paraId="1A409B70" w14:textId="48DB619F" w:rsidR="005C2B6D" w:rsidRDefault="005C2B6D">
      <w:pPr>
        <w:pStyle w:val="CommentText"/>
      </w:pPr>
      <w:r>
        <w:t>For Summary files, there is only SML table</w:t>
      </w:r>
    </w:p>
    <w:p w14:paraId="3B97C7DE" w14:textId="77777777" w:rsidR="005C2B6D" w:rsidRDefault="005C2B6D">
      <w:pPr>
        <w:pStyle w:val="CommentText"/>
      </w:pPr>
    </w:p>
    <w:p w14:paraId="233CDFAA" w14:textId="6BAA7F1F" w:rsidR="005C2B6D" w:rsidRDefault="005C2B6D">
      <w:pPr>
        <w:pStyle w:val="CommentText"/>
      </w:pPr>
      <w:r>
        <w:t>For Complete files, there are three tables always</w:t>
      </w:r>
    </w:p>
    <w:p w14:paraId="2FFBD86C" w14:textId="77777777" w:rsidR="005C2B6D" w:rsidRDefault="005C2B6D">
      <w:pPr>
        <w:pStyle w:val="CommentText"/>
      </w:pPr>
    </w:p>
    <w:p w14:paraId="06DBCAF1" w14:textId="39052AA3" w:rsidR="005C2B6D" w:rsidRDefault="005C2B6D">
      <w:pPr>
        <w:pStyle w:val="CommentText"/>
      </w:pPr>
      <w:r>
        <w:t>Much simpler to implement</w:t>
      </w:r>
    </w:p>
  </w:comment>
  <w:comment w:id="171" w:author="Jones, Andy" w:date="2016-08-25T13:24:00Z" w:initials="JA">
    <w:p w14:paraId="60AF46F4" w14:textId="1F451FE9" w:rsidR="005C2B6D" w:rsidRDefault="005C2B6D">
      <w:pPr>
        <w:pStyle w:val="CommentText"/>
      </w:pPr>
      <w:r>
        <w:rPr>
          <w:rStyle w:val="CommentReference"/>
        </w:rPr>
        <w:annotationRef/>
      </w:r>
      <w:r>
        <w:t>May want to return to this for the case of alternative IDs and ambiguity – should this be formally checkable for structure?</w:t>
      </w:r>
    </w:p>
  </w:comment>
  <w:comment w:id="172" w:author="Jones, Andy" w:date="2016-07-05T10:01:00Z" w:initials="JA">
    <w:p w14:paraId="766781FB" w14:textId="203CBA7D" w:rsidR="005C2B6D" w:rsidRDefault="005C2B6D">
      <w:pPr>
        <w:pStyle w:val="CommentText"/>
      </w:pPr>
      <w:r>
        <w:rPr>
          <w:rStyle w:val="CommentReference"/>
        </w:rPr>
        <w:annotationRef/>
      </w:r>
      <w:r>
        <w:t>Add example showing ambiguity</w:t>
      </w:r>
    </w:p>
  </w:comment>
  <w:comment w:id="173" w:author="Jones, Andy" w:date="2016-08-25T14:45:00Z" w:initials="JA">
    <w:p w14:paraId="2DF02C3B" w14:textId="34EACE0A" w:rsidR="005C2B6D" w:rsidRDefault="005C2B6D">
      <w:pPr>
        <w:pStyle w:val="CommentText"/>
      </w:pPr>
      <w:r>
        <w:rPr>
          <w:rStyle w:val="CommentReference"/>
        </w:rPr>
        <w:annotationRef/>
      </w:r>
      <w:r>
        <w:t>Clarity needed. Can it be null if identifier is null only, or can it be null if identifier(s) are given</w:t>
      </w:r>
    </w:p>
  </w:comment>
  <w:comment w:id="174" w:author="Jones, Andy" w:date="2016-07-05T15:36:00Z" w:initials="JA">
    <w:p w14:paraId="5C453D58" w14:textId="227316EF" w:rsidR="005C2B6D" w:rsidRDefault="005C2B6D">
      <w:pPr>
        <w:pStyle w:val="CommentText"/>
      </w:pPr>
      <w:r>
        <w:rPr>
          <w:rStyle w:val="CommentReference"/>
        </w:rPr>
        <w:annotationRef/>
      </w:r>
      <w:r>
        <w:t>Inchi throughout not inchi_key to check</w:t>
      </w:r>
    </w:p>
  </w:comment>
  <w:comment w:id="175" w:author="Jones, Andy" w:date="2016-07-05T15:37:00Z" w:initials="JA">
    <w:p w14:paraId="7E12F2B4" w14:textId="6F235039" w:rsidR="005C2B6D" w:rsidRDefault="005C2B6D">
      <w:pPr>
        <w:pStyle w:val="CommentText"/>
      </w:pPr>
      <w:r>
        <w:rPr>
          <w:rStyle w:val="CommentReference"/>
        </w:rPr>
        <w:annotationRef/>
      </w:r>
      <w:r>
        <w:t>To work through some example as to whether this is sensible</w:t>
      </w:r>
    </w:p>
  </w:comment>
  <w:comment w:id="176" w:author="Jones, Andy" w:date="2016-08-25T13:37:00Z" w:initials="JA">
    <w:p w14:paraId="556384FA" w14:textId="420BC631" w:rsidR="005C2B6D" w:rsidRDefault="005C2B6D">
      <w:pPr>
        <w:pStyle w:val="CommentText"/>
      </w:pPr>
      <w:r>
        <w:rPr>
          <w:rStyle w:val="CommentReference"/>
        </w:rPr>
        <w:annotationRef/>
      </w:r>
      <w:r>
        <w:t>Same cardinality as IDs above</w:t>
      </w:r>
    </w:p>
  </w:comment>
  <w:comment w:id="177" w:author="Jones, Andy" w:date="2016-07-05T14:00:00Z" w:initials="JA">
    <w:p w14:paraId="5B2C0657" w14:textId="77777777" w:rsidR="005C2B6D" w:rsidRDefault="005C2B6D" w:rsidP="00B7291C">
      <w:pPr>
        <w:pStyle w:val="CommentText"/>
      </w:pPr>
      <w:r>
        <w:rPr>
          <w:rStyle w:val="CommentReference"/>
        </w:rPr>
        <w:annotationRef/>
      </w:r>
      <w:r>
        <w:t>Possible addition to Metadata section to describe how RT values are reported in this section</w:t>
      </w:r>
    </w:p>
  </w:comment>
  <w:comment w:id="178" w:author="Jones, Andy" w:date="2016-08-25T13:44:00Z" w:initials="JA">
    <w:p w14:paraId="5B30119D" w14:textId="25E92E44" w:rsidR="005C2B6D" w:rsidRDefault="005C2B6D">
      <w:pPr>
        <w:pStyle w:val="CommentText"/>
      </w:pPr>
      <w:r>
        <w:rPr>
          <w:rStyle w:val="CommentReference"/>
        </w:rPr>
        <w:annotationRef/>
      </w:r>
      <w:r>
        <w:t>Need to clarify how this done</w:t>
      </w:r>
    </w:p>
  </w:comment>
  <w:comment w:id="179" w:author="Jones, Andy" w:date="2016-08-25T13:57:00Z" w:initials="JA">
    <w:p w14:paraId="41D05D07" w14:textId="2F78C038" w:rsidR="005C2B6D" w:rsidRDefault="005C2B6D">
      <w:pPr>
        <w:pStyle w:val="CommentText"/>
      </w:pPr>
      <w:r>
        <w:rPr>
          <w:rStyle w:val="CommentReference"/>
        </w:rPr>
        <w:annotationRef/>
      </w:r>
      <w:r>
        <w:t>ACTION: Steffen to circulate MSI list to us for discussion about it going into PSI-MS Cv</w:t>
      </w:r>
    </w:p>
  </w:comment>
  <w:comment w:id="180" w:author="Jones, Andy" w:date="2016-08-25T13:58:00Z" w:initials="JA">
    <w:p w14:paraId="7D65875D" w14:textId="06C571E0" w:rsidR="005C2B6D" w:rsidRDefault="005C2B6D">
      <w:pPr>
        <w:pStyle w:val="CommentText"/>
      </w:pPr>
      <w:r>
        <w:rPr>
          <w:rStyle w:val="CommentReference"/>
        </w:rPr>
        <w:annotationRef/>
      </w:r>
      <w:r>
        <w:t>May be cases where software does not want to assign it. If we stick with nullable = FALSE, need to have a default code for such packages</w:t>
      </w:r>
    </w:p>
  </w:comment>
  <w:comment w:id="181" w:author="Jones, Andy" w:date="2016-08-25T14:03:00Z" w:initials="JA">
    <w:p w14:paraId="0B0A2737" w14:textId="507D0397" w:rsidR="005C2B6D" w:rsidRDefault="005C2B6D">
      <w:pPr>
        <w:pStyle w:val="CommentText"/>
      </w:pPr>
      <w:r>
        <w:rPr>
          <w:rStyle w:val="CommentReference"/>
        </w:rPr>
        <w:annotationRef/>
      </w:r>
      <w:r>
        <w:t>Should be a list as above</w:t>
      </w:r>
    </w:p>
  </w:comment>
  <w:comment w:id="182" w:author="Jones, Andy" w:date="2016-08-25T14:03:00Z" w:initials="JA">
    <w:p w14:paraId="2DCE013E" w14:textId="04E8E1C4" w:rsidR="005C2B6D" w:rsidRDefault="005C2B6D">
      <w:pPr>
        <w:pStyle w:val="CommentText"/>
      </w:pPr>
      <w:r>
        <w:rPr>
          <w:rStyle w:val="CommentReference"/>
        </w:rPr>
        <w:annotationRef/>
      </w:r>
      <w:r>
        <w:t>Needs more discussion and cleaning up of examples</w:t>
      </w:r>
    </w:p>
  </w:comment>
  <w:comment w:id="183" w:author="Jones, Andy" w:date="2016-09-07T15:09:00Z" w:initials="JA">
    <w:p w14:paraId="6D4390C6" w14:textId="21D5F108" w:rsidR="005C2B6D" w:rsidRDefault="005C2B6D">
      <w:pPr>
        <w:pStyle w:val="CommentText"/>
      </w:pPr>
      <w:r>
        <w:rPr>
          <w:rStyle w:val="CommentReference"/>
        </w:rPr>
        <w:annotationRef/>
      </w:r>
      <w:r>
        <w:t>Decided to review text in 5.9 around null versus zero – needs another clean up, so it is clear that non measured is “null”</w:t>
      </w:r>
    </w:p>
    <w:p w14:paraId="367FA93E" w14:textId="77777777" w:rsidR="005C2B6D" w:rsidRDefault="005C2B6D">
      <w:pPr>
        <w:pStyle w:val="CommentText"/>
      </w:pPr>
    </w:p>
    <w:p w14:paraId="5A8C7056" w14:textId="4F311922" w:rsidR="005C2B6D" w:rsidRDefault="005C2B6D">
      <w:pPr>
        <w:pStyle w:val="CommentText"/>
      </w:pPr>
      <w:r>
        <w:t>And not calculable should be “NaN”</w:t>
      </w:r>
    </w:p>
  </w:comment>
  <w:comment w:id="184" w:author="Jones, Andy" w:date="2016-07-05T10:40:00Z" w:initials="JA">
    <w:p w14:paraId="5E2A4D2E" w14:textId="0020A4E7" w:rsidR="005C2B6D" w:rsidRDefault="005C2B6D">
      <w:pPr>
        <w:pStyle w:val="CommentText"/>
      </w:pPr>
      <w:r>
        <w:rPr>
          <w:rStyle w:val="CommentReference"/>
        </w:rPr>
        <w:annotationRef/>
      </w:r>
      <w:r>
        <w:t>Preferred over std_dev and standard error</w:t>
      </w:r>
    </w:p>
  </w:comment>
  <w:comment w:id="185" w:author="Jones, Andy" w:date="2016-09-07T15:13:00Z" w:initials="JA">
    <w:p w14:paraId="299E0432" w14:textId="2D355707" w:rsidR="005C2B6D" w:rsidRDefault="005C2B6D">
      <w:pPr>
        <w:pStyle w:val="CommentText"/>
      </w:pPr>
      <w:r>
        <w:rPr>
          <w:rStyle w:val="CommentReference"/>
        </w:rPr>
        <w:annotationRef/>
      </w:r>
      <w:r>
        <w:t>Review docs for how to insert userParams with an example</w:t>
      </w:r>
    </w:p>
    <w:p w14:paraId="0CAFA440" w14:textId="77777777" w:rsidR="005C2B6D" w:rsidRDefault="005C2B6D">
      <w:pPr>
        <w:pStyle w:val="CommentText"/>
      </w:pPr>
    </w:p>
    <w:p w14:paraId="493CD67C" w14:textId="77777777" w:rsidR="005C2B6D" w:rsidRDefault="005C2B6D">
      <w:pPr>
        <w:pStyle w:val="CommentText"/>
      </w:pPr>
    </w:p>
    <w:p w14:paraId="3DFD2578" w14:textId="33933EF1" w:rsidR="005C2B6D" w:rsidRDefault="005C2B6D">
      <w:pPr>
        <w:pStyle w:val="CommentText"/>
      </w:pPr>
      <w:r>
        <w:t>Do we want to state that only PSI-MS can be used here, or any CV / ontology?</w:t>
      </w:r>
    </w:p>
  </w:comment>
  <w:comment w:id="186" w:author="Jones, Andy" w:date="2016-07-05T15:48:00Z" w:initials="JA">
    <w:p w14:paraId="4E36601E" w14:textId="5D141AD4" w:rsidR="005C2B6D" w:rsidRDefault="005C2B6D">
      <w:pPr>
        <w:pStyle w:val="CommentText"/>
      </w:pPr>
      <w:r>
        <w:rPr>
          <w:rStyle w:val="CommentReference"/>
        </w:rPr>
        <w:annotationRef/>
      </w:r>
      <w:r>
        <w:t>Could be a string either – opinions?</w:t>
      </w:r>
    </w:p>
  </w:comment>
  <w:comment w:id="187" w:author="Jones, Andy" w:date="2016-09-07T15:29:00Z" w:initials="JA">
    <w:p w14:paraId="4FD7DA18" w14:textId="12B522B0" w:rsidR="005C2B6D" w:rsidRDefault="005C2B6D">
      <w:pPr>
        <w:pStyle w:val="CommentText"/>
      </w:pPr>
      <w:r>
        <w:rPr>
          <w:rStyle w:val="CommentReference"/>
        </w:rPr>
        <w:annotationRef/>
      </w:r>
      <w:r>
        <w:t>We need some more work on this to figure out how to model both ambiguity and multiple streams of evidence – at the moment the latter cannot be captured</w:t>
      </w:r>
    </w:p>
  </w:comment>
  <w:comment w:id="188" w:author="Jones, Andy" w:date="2016-07-05T11:14:00Z" w:initials="JA">
    <w:p w14:paraId="2D82B71A" w14:textId="309A6755" w:rsidR="005C2B6D" w:rsidRDefault="005C2B6D">
      <w:pPr>
        <w:pStyle w:val="CommentText"/>
      </w:pPr>
      <w:r>
        <w:rPr>
          <w:rStyle w:val="CommentReference"/>
        </w:rPr>
        <w:annotationRef/>
      </w:r>
      <w:r>
        <w:t>Improve description</w:t>
      </w:r>
    </w:p>
    <w:p w14:paraId="266E1418" w14:textId="77777777" w:rsidR="005C2B6D" w:rsidRDefault="005C2B6D">
      <w:pPr>
        <w:pStyle w:val="CommentText"/>
      </w:pPr>
    </w:p>
    <w:p w14:paraId="6805A40C" w14:textId="3B735D91" w:rsidR="005C2B6D" w:rsidRDefault="005C2B6D">
      <w:pPr>
        <w:pStyle w:val="CommentText"/>
      </w:pPr>
      <w:r>
        <w:t>For capturing details on derivatization e.g. in GC-MS. Some examples needed of how this is usually done.</w:t>
      </w:r>
    </w:p>
    <w:p w14:paraId="2633E078" w14:textId="77777777" w:rsidR="005C2B6D" w:rsidRDefault="005C2B6D">
      <w:pPr>
        <w:pStyle w:val="CommentText"/>
      </w:pPr>
    </w:p>
    <w:p w14:paraId="2F371EE1" w14:textId="1435D617" w:rsidR="005C2B6D" w:rsidRDefault="005C2B6D">
      <w:pPr>
        <w:pStyle w:val="CommentText"/>
      </w:pPr>
      <w:r>
        <w:t>e.g. list of cv terms for TMS, …. Etc</w:t>
      </w:r>
    </w:p>
    <w:p w14:paraId="7EEB45ED" w14:textId="77777777" w:rsidR="005C2B6D" w:rsidRDefault="005C2B6D">
      <w:pPr>
        <w:pStyle w:val="CommentText"/>
      </w:pPr>
    </w:p>
    <w:p w14:paraId="7062E8C6" w14:textId="1D88F92C" w:rsidR="005C2B6D" w:rsidRDefault="005C2B6D">
      <w:pPr>
        <w:pStyle w:val="CommentText"/>
      </w:pPr>
      <w:r>
        <w:t>Probably get rid of position as this is largely unknown or irrelevant</w:t>
      </w:r>
    </w:p>
    <w:p w14:paraId="06225634" w14:textId="77777777" w:rsidR="005C2B6D" w:rsidRDefault="005C2B6D">
      <w:pPr>
        <w:pStyle w:val="CommentText"/>
      </w:pPr>
    </w:p>
    <w:p w14:paraId="6E51B7B8" w14:textId="55AD5D24" w:rsidR="005C2B6D" w:rsidRDefault="005C2B6D">
      <w:pPr>
        <w:pStyle w:val="CommentText"/>
      </w:pPr>
      <w:r>
        <w:t xml:space="preserve">e.g. see here </w:t>
      </w:r>
      <w:hyperlink r:id="rId1" w:anchor="heading=h.ewi9vty0f56" w:history="1">
        <w:r w:rsidRPr="006B234D">
          <w:rPr>
            <w:rStyle w:val="Hyperlink"/>
          </w:rPr>
          <w:t>https://docs.google.com/document/d/11BDoOi32QMIHahOlAnKIywF1Skf8aANh-V-BMoYn0tc/edit#heading=h.ewi9vty0f56</w:t>
        </w:r>
      </w:hyperlink>
    </w:p>
    <w:p w14:paraId="03A4C0B7" w14:textId="77777777" w:rsidR="005C2B6D" w:rsidRDefault="005C2B6D">
      <w:pPr>
        <w:pStyle w:val="CommentText"/>
      </w:pPr>
    </w:p>
  </w:comment>
  <w:comment w:id="189" w:author="Jones, Andy" w:date="2016-09-07T15:42:00Z" w:initials="JA">
    <w:p w14:paraId="76DB03B8" w14:textId="3C9419A9" w:rsidR="005C2B6D" w:rsidRDefault="005C2B6D">
      <w:pPr>
        <w:pStyle w:val="CommentText"/>
      </w:pPr>
      <w:r>
        <w:rPr>
          <w:rStyle w:val="CommentReference"/>
        </w:rPr>
        <w:annotationRef/>
      </w:r>
      <w:r>
        <w:t>ACTION: Joel to investigate this</w:t>
      </w:r>
    </w:p>
  </w:comment>
  <w:comment w:id="190" w:author="Jones, Andy" w:date="2016-07-05T11:20:00Z" w:initials="JA">
    <w:p w14:paraId="3B119ADF" w14:textId="1FB78DF0" w:rsidR="005C2B6D" w:rsidRDefault="005C2B6D">
      <w:pPr>
        <w:pStyle w:val="CommentText"/>
      </w:pPr>
      <w:r>
        <w:rPr>
          <w:rStyle w:val="CommentReference"/>
        </w:rPr>
        <w:annotationRef/>
      </w:r>
      <w:r>
        <w:t xml:space="preserve">Or centre point? </w:t>
      </w:r>
    </w:p>
  </w:comment>
  <w:comment w:id="191" w:author="Jones, Andy" w:date="2016-07-05T14:00:00Z" w:initials="JA">
    <w:p w14:paraId="15398199" w14:textId="1D5B41DC" w:rsidR="005C2B6D" w:rsidRDefault="005C2B6D">
      <w:pPr>
        <w:pStyle w:val="CommentText"/>
      </w:pPr>
      <w:r>
        <w:rPr>
          <w:rStyle w:val="CommentReference"/>
        </w:rPr>
        <w:annotationRef/>
      </w:r>
      <w:r>
        <w:t>Possible addition to Metadata section to describe how RT values are reported in this section</w:t>
      </w:r>
    </w:p>
  </w:comment>
  <w:comment w:id="192" w:author="Jones, Andy" w:date="2016-07-05T11:25:00Z" w:initials="JA">
    <w:p w14:paraId="05CAFFCE" w14:textId="2A465A77" w:rsidR="005C2B6D" w:rsidRDefault="005C2B6D">
      <w:pPr>
        <w:pStyle w:val="CommentText"/>
      </w:pPr>
      <w:r>
        <w:rPr>
          <w:rStyle w:val="CommentReference"/>
        </w:rPr>
        <w:annotationRef/>
      </w:r>
      <w:r>
        <w:t>Note a change in practice from the Peptide section.</w:t>
      </w:r>
    </w:p>
    <w:p w14:paraId="1BD3E008" w14:textId="77777777" w:rsidR="005C2B6D" w:rsidRDefault="005C2B6D">
      <w:pPr>
        <w:pStyle w:val="CommentText"/>
      </w:pPr>
    </w:p>
    <w:p w14:paraId="68094C9D" w14:textId="6882B135" w:rsidR="005C2B6D" w:rsidRDefault="005C2B6D">
      <w:pPr>
        <w:pStyle w:val="CommentText"/>
      </w:pPr>
      <w:r>
        <w:t>May suggest this is a better system for Peptides as well. For MS1 quant, this system is cleanest. There is only a problem for MS2 quant where elution profile of a peptide may not be known.</w:t>
      </w:r>
    </w:p>
  </w:comment>
  <w:comment w:id="193" w:author="Jones, Andy" w:date="2016-09-07T15:47:00Z" w:initials="JA">
    <w:p w14:paraId="0112B76E" w14:textId="7AC384C3" w:rsidR="005C2B6D" w:rsidRDefault="005C2B6D">
      <w:pPr>
        <w:pStyle w:val="CommentText"/>
      </w:pPr>
      <w:r>
        <w:rPr>
          <w:rStyle w:val="CommentReference"/>
        </w:rPr>
        <w:annotationRef/>
      </w:r>
      <w:r>
        <w:t>As above, add reference to section 5.9and clarify difference between Null and 0.</w:t>
      </w:r>
    </w:p>
  </w:comment>
  <w:comment w:id="194" w:author="Jones, Andy" w:date="2016-07-05T11:14:00Z" w:initials="JA">
    <w:p w14:paraId="3F1AC7B4" w14:textId="77777777" w:rsidR="005C2B6D" w:rsidRDefault="005C2B6D" w:rsidP="003A6D81">
      <w:pPr>
        <w:pStyle w:val="CommentText"/>
      </w:pPr>
      <w:r>
        <w:rPr>
          <w:rStyle w:val="CommentReference"/>
        </w:rPr>
        <w:annotationRef/>
      </w:r>
      <w:r>
        <w:t>Improve description</w:t>
      </w:r>
    </w:p>
  </w:comment>
  <w:comment w:id="195" w:author="Jones, Andy" w:date="2016-07-05T12:05:00Z" w:initials="JA">
    <w:p w14:paraId="0A9BE091" w14:textId="77777777" w:rsidR="005C2B6D" w:rsidRDefault="005C2B6D" w:rsidP="00413986">
      <w:pPr>
        <w:pStyle w:val="CommentText"/>
      </w:pPr>
      <w:r>
        <w:rPr>
          <w:rStyle w:val="CommentReference"/>
        </w:rPr>
        <w:annotationRef/>
      </w:r>
      <w:r>
        <w:t>Not in example, presume it should be?</w:t>
      </w:r>
    </w:p>
  </w:comment>
  <w:comment w:id="196" w:author="Jones, Andy" w:date="2016-07-05T15:56:00Z" w:initials="JA">
    <w:p w14:paraId="0EDB388A" w14:textId="36B6B51C" w:rsidR="005C2B6D" w:rsidRDefault="005C2B6D">
      <w:pPr>
        <w:pStyle w:val="CommentText"/>
      </w:pPr>
      <w:r>
        <w:rPr>
          <w:rStyle w:val="CommentReference"/>
        </w:rPr>
        <w:annotationRef/>
      </w:r>
      <w:r>
        <w:t>To update</w:t>
      </w:r>
    </w:p>
  </w:comment>
  <w:comment w:id="197" w:author="Jones, Andy" w:date="2016-09-29T13:46:00Z" w:initials="JA">
    <w:p w14:paraId="2ACECA18" w14:textId="5A2BC92B" w:rsidR="00995DCA" w:rsidRDefault="00995DCA">
      <w:pPr>
        <w:pStyle w:val="CommentText"/>
      </w:pPr>
      <w:r>
        <w:rPr>
          <w:rStyle w:val="CommentReference"/>
        </w:rPr>
        <w:annotationRef/>
      </w:r>
    </w:p>
  </w:comment>
  <w:comment w:id="198" w:author="Jones, Andy" w:date="2016-09-29T13:47:00Z" w:initials="JA">
    <w:p w14:paraId="660E24C5" w14:textId="3282805C" w:rsidR="00995DCA" w:rsidRDefault="00995DCA">
      <w:pPr>
        <w:pStyle w:val="CommentText"/>
      </w:pPr>
      <w:r>
        <w:rPr>
          <w:rStyle w:val="CommentReference"/>
        </w:rPr>
        <w:annotationRef/>
      </w:r>
      <w:r>
        <w:t>To be completed</w:t>
      </w:r>
    </w:p>
  </w:comment>
  <w:comment w:id="199" w:author="Jones, Andy" w:date="2016-09-29T13:51:00Z" w:initials="JA">
    <w:p w14:paraId="6CEBB86A" w14:textId="77777777" w:rsidR="0018358A" w:rsidRDefault="0018358A" w:rsidP="0018358A">
      <w:pPr>
        <w:pStyle w:val="CommentText"/>
      </w:pPr>
      <w:r>
        <w:rPr>
          <w:rStyle w:val="CommentReference"/>
        </w:rPr>
        <w:annotationRef/>
      </w:r>
      <w:r>
        <w:t>To add to documentation how to do this for manual curation etc.</w:t>
      </w:r>
    </w:p>
  </w:comment>
  <w:comment w:id="200" w:author="Jones, Andy" w:date="2016-09-29T13:51:00Z" w:initials="JA">
    <w:p w14:paraId="0DC272BA" w14:textId="1CADDF66" w:rsidR="007B4EDF" w:rsidRDefault="007B4EDF">
      <w:pPr>
        <w:pStyle w:val="CommentText"/>
      </w:pPr>
      <w:r>
        <w:rPr>
          <w:rStyle w:val="CommentReference"/>
        </w:rPr>
        <w:annotationRef/>
      </w:r>
      <w:r>
        <w:t>To add to documentation how to do this for manual curation</w:t>
      </w:r>
      <w:r w:rsidR="00D87970">
        <w:t xml:space="preserve"> etc.</w:t>
      </w:r>
    </w:p>
  </w:comment>
  <w:comment w:id="201" w:author="Jones, Andy" w:date="2016-07-05T16:00:00Z" w:initials="JA">
    <w:p w14:paraId="0DA3CDF3" w14:textId="48E03A5E" w:rsidR="005C2B6D" w:rsidRDefault="005C2B6D">
      <w:pPr>
        <w:pStyle w:val="CommentText"/>
      </w:pPr>
      <w:r>
        <w:rPr>
          <w:rStyle w:val="CommentReference"/>
        </w:rPr>
        <w:annotationRef/>
      </w:r>
      <w:r>
        <w:t>To be discussed for non-ranked ID events, whether to use 0 or -1 or something else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8DF5F" w15:done="0"/>
  <w15:commentEx w15:paraId="0B05FEB5" w15:done="0"/>
  <w15:commentEx w15:paraId="31CEB6C4" w15:done="0"/>
  <w15:commentEx w15:paraId="1D4A33ED" w15:done="0"/>
  <w15:commentEx w15:paraId="427A8E82" w15:done="0"/>
  <w15:commentEx w15:paraId="0B418548" w15:done="0"/>
  <w15:commentEx w15:paraId="3C14A363" w15:done="0"/>
  <w15:commentEx w15:paraId="1E8FCFCC" w15:done="0"/>
  <w15:commentEx w15:paraId="0DE49D45" w15:done="0"/>
  <w15:commentEx w15:paraId="79F1CB2A"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5E2A4D2E" w15:done="0"/>
  <w15:commentEx w15:paraId="3DFD2578" w15:done="0"/>
  <w15:commentEx w15:paraId="4E36601E" w15:done="0"/>
  <w15:commentEx w15:paraId="4FD7DA18" w15:done="0"/>
  <w15:commentEx w15:paraId="03A4C0B7" w15:done="0"/>
  <w15:commentEx w15:paraId="76DB03B8" w15:done="0"/>
  <w15:commentEx w15:paraId="3B119ADF" w15:done="0"/>
  <w15:commentEx w15:paraId="15398199" w15:done="0"/>
  <w15:commentEx w15:paraId="68094C9D" w15:done="0"/>
  <w15:commentEx w15:paraId="0112B76E" w15:done="0"/>
  <w15:commentEx w15:paraId="3F1AC7B4" w15:done="0"/>
  <w15:commentEx w15:paraId="0A9BE091" w15:done="0"/>
  <w15:commentEx w15:paraId="0EDB388A" w15:done="0"/>
  <w15:commentEx w15:paraId="2ACECA18" w15:done="0"/>
  <w15:commentEx w15:paraId="660E24C5" w15:done="0"/>
  <w15:commentEx w15:paraId="6CEBB86A" w15:done="0"/>
  <w15:commentEx w15:paraId="0DC272BA" w15:done="0"/>
  <w15:commentEx w15:paraId="0DA3CD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91982" w14:textId="77777777" w:rsidR="008A5BB3" w:rsidRDefault="008A5BB3">
      <w:r>
        <w:separator/>
      </w:r>
    </w:p>
  </w:endnote>
  <w:endnote w:type="continuationSeparator" w:id="0">
    <w:p w14:paraId="388AED4C" w14:textId="77777777" w:rsidR="008A5BB3" w:rsidRDefault="008A5BB3">
      <w:r>
        <w:continuationSeparator/>
      </w:r>
    </w:p>
  </w:endnote>
  <w:endnote w:type="continuationNotice" w:id="1">
    <w:p w14:paraId="55F300D8" w14:textId="77777777" w:rsidR="008A5BB3" w:rsidRDefault="008A5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5C2B6D" w:rsidRDefault="008A5BB3" w:rsidP="007A1183">
    <w:pPr>
      <w:pStyle w:val="Footer"/>
      <w:tabs>
        <w:tab w:val="clear" w:pos="4320"/>
      </w:tabs>
    </w:pPr>
    <w:hyperlink r:id="rId1" w:history="1">
      <w:r w:rsidR="005C2B6D" w:rsidRPr="0006081C">
        <w:rPr>
          <w:rStyle w:val="Hyperlink"/>
        </w:rPr>
        <w:t>http://www.psidev.info/</w:t>
      </w:r>
    </w:hyperlink>
    <w:r w:rsidR="005C2B6D">
      <w:rPr>
        <w:rStyle w:val="PageNumber"/>
      </w:rPr>
      <w:tab/>
    </w:r>
    <w:r w:rsidR="005C2B6D">
      <w:rPr>
        <w:rStyle w:val="PageNumber"/>
      </w:rPr>
      <w:fldChar w:fldCharType="begin"/>
    </w:r>
    <w:r w:rsidR="005C2B6D">
      <w:rPr>
        <w:rStyle w:val="PageNumber"/>
      </w:rPr>
      <w:instrText xml:space="preserve"> PAGE </w:instrText>
    </w:r>
    <w:r w:rsidR="005C2B6D">
      <w:rPr>
        <w:rStyle w:val="PageNumber"/>
      </w:rPr>
      <w:fldChar w:fldCharType="separate"/>
    </w:r>
    <w:r w:rsidR="00126463">
      <w:rPr>
        <w:rStyle w:val="PageNumber"/>
        <w:noProof/>
      </w:rPr>
      <w:t>23</w:t>
    </w:r>
    <w:r w:rsidR="005C2B6D">
      <w:rPr>
        <w:rStyle w:val="PageNumber"/>
      </w:rPr>
      <w:fldChar w:fldCharType="end"/>
    </w:r>
    <w:r w:rsidR="005C2B6D">
      <w:rPr>
        <w:rStyle w:val="PageNumber"/>
      </w:rPr>
      <w:t xml:space="preserve"> / </w:t>
    </w:r>
    <w:fldSimple w:instr=" NUMPAGES   \* MERGEFORMAT ">
      <w:r w:rsidR="00126463" w:rsidRPr="00126463">
        <w:rPr>
          <w:rStyle w:val="PageNumber"/>
          <w:noProof/>
        </w:rPr>
        <w:t>84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F6CB3" w14:textId="77777777" w:rsidR="008A5BB3" w:rsidRDefault="008A5BB3">
      <w:r>
        <w:separator/>
      </w:r>
    </w:p>
  </w:footnote>
  <w:footnote w:type="continuationSeparator" w:id="0">
    <w:p w14:paraId="1F0C56F8" w14:textId="77777777" w:rsidR="008A5BB3" w:rsidRDefault="008A5BB3">
      <w:r>
        <w:continuationSeparator/>
      </w:r>
    </w:p>
  </w:footnote>
  <w:footnote w:type="continuationNotice" w:id="1">
    <w:p w14:paraId="0974FF21" w14:textId="77777777" w:rsidR="008A5BB3" w:rsidRDefault="008A5B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5C2B6D" w:rsidRDefault="005C2B6D"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5C2B6D" w:rsidRDefault="005C2B6D" w:rsidP="007A1183">
    <w:pPr>
      <w:rPr>
        <w:lang w:val="en-GB"/>
      </w:rPr>
    </w:pPr>
    <w:r>
      <w:rPr>
        <w:lang w:val="en-GB"/>
      </w:rPr>
      <w:t>PSI Recommendation</w:t>
    </w:r>
  </w:p>
  <w:p w14:paraId="35531101" w14:textId="77777777" w:rsidR="005C2B6D" w:rsidRDefault="005C2B6D" w:rsidP="007A1183">
    <w:pPr>
      <w:rPr>
        <w:lang w:val="en-GB"/>
      </w:rPr>
    </w:pPr>
    <w:r>
      <w:rPr>
        <w:lang w:val="en-GB"/>
      </w:rPr>
      <w:t>PSI Proteomics Informatics Workgroup</w:t>
    </w:r>
  </w:p>
  <w:p w14:paraId="4EC033DF" w14:textId="77777777" w:rsidR="005C2B6D" w:rsidRDefault="005C2B6D" w:rsidP="007A1183">
    <w:pPr>
      <w:rPr>
        <w:lang w:val="en-GB"/>
      </w:rPr>
    </w:pPr>
    <w:r>
      <w:rPr>
        <w:lang w:val="en-GB"/>
      </w:rPr>
      <w:t xml:space="preserve">Version 1.0.0 </w:t>
    </w:r>
  </w:p>
  <w:p w14:paraId="3E92CA0E" w14:textId="77777777" w:rsidR="005C2B6D" w:rsidRPr="00296A1E" w:rsidRDefault="005C2B6D" w:rsidP="007A1183">
    <w:pPr>
      <w:jc w:val="right"/>
    </w:pPr>
    <w:r w:rsidRPr="00296A1E">
      <w:t>Johannes Griss, European Bioinformatics Institute</w:t>
    </w:r>
  </w:p>
  <w:p w14:paraId="205E3EF9" w14:textId="77777777" w:rsidR="005C2B6D" w:rsidRPr="00296A1E" w:rsidRDefault="005C2B6D" w:rsidP="007A1183">
    <w:pPr>
      <w:jc w:val="right"/>
    </w:pPr>
    <w:r w:rsidRPr="00296A1E">
      <w:t xml:space="preserve">Timo Sachsenberg, </w:t>
    </w:r>
    <w:r w:rsidRPr="00296A1E">
      <w:rPr>
        <w:rFonts w:cs="Arial"/>
      </w:rPr>
      <w:t xml:space="preserve">University </w:t>
    </w:r>
    <w:r w:rsidRPr="00296A1E">
      <w:t>of Tübingen</w:t>
    </w:r>
  </w:p>
  <w:p w14:paraId="5AA29FA9" w14:textId="77777777" w:rsidR="005C2B6D" w:rsidRPr="00296A1E" w:rsidRDefault="005C2B6D" w:rsidP="007A1183">
    <w:pPr>
      <w:jc w:val="right"/>
    </w:pPr>
    <w:r w:rsidRPr="00296A1E">
      <w:t xml:space="preserve">Mathias Walzer, </w:t>
    </w:r>
    <w:r w:rsidRPr="00296A1E">
      <w:rPr>
        <w:rFonts w:cs="Arial"/>
      </w:rPr>
      <w:t>University of Tübingen</w:t>
    </w:r>
  </w:p>
  <w:p w14:paraId="2BD401FE" w14:textId="77777777" w:rsidR="005C2B6D" w:rsidRPr="001320BD" w:rsidRDefault="005C2B6D" w:rsidP="007A1183">
    <w:pPr>
      <w:jc w:val="right"/>
    </w:pPr>
    <w:r w:rsidRPr="001320BD">
      <w:t>Oliver Kohlbacher, University of Tübingen</w:t>
    </w:r>
  </w:p>
  <w:p w14:paraId="7F5D40D1" w14:textId="77777777" w:rsidR="005C2B6D" w:rsidRPr="001320BD" w:rsidRDefault="005C2B6D" w:rsidP="007A1183">
    <w:pPr>
      <w:ind w:left="360"/>
      <w:jc w:val="right"/>
    </w:pPr>
    <w:r>
      <w:t>Andrew R. Jones, University of Liverpool</w:t>
    </w:r>
  </w:p>
  <w:p w14:paraId="378C8012" w14:textId="77777777" w:rsidR="005C2B6D" w:rsidRPr="00296A1E" w:rsidRDefault="005C2B6D" w:rsidP="007A1183">
    <w:pPr>
      <w:jc w:val="right"/>
    </w:pPr>
    <w:r>
      <w:t>Henning Hermjakob</w:t>
    </w:r>
    <w:r w:rsidRPr="00B64B28">
      <w:t>, European Bioinformatics Institute</w:t>
    </w:r>
  </w:p>
  <w:p w14:paraId="241A0CFB" w14:textId="77777777" w:rsidR="005C2B6D" w:rsidRPr="00B64B28" w:rsidRDefault="005C2B6D" w:rsidP="007A1183">
    <w:pPr>
      <w:jc w:val="right"/>
    </w:pPr>
    <w:r w:rsidRPr="00B64B28">
      <w:t xml:space="preserve">Juan Antonio Vizcaíno, European Bioinformatics Institute </w:t>
    </w:r>
  </w:p>
  <w:p w14:paraId="1670B5E1" w14:textId="77777777" w:rsidR="005C2B6D" w:rsidRDefault="005C2B6D" w:rsidP="007A1183"/>
  <w:p w14:paraId="7CFE3128" w14:textId="77777777" w:rsidR="005C2B6D" w:rsidRDefault="005C2B6D" w:rsidP="007A1183">
    <w:pPr>
      <w:jc w:val="right"/>
    </w:pPr>
    <w:r>
      <w:t>June 1, 2012</w:t>
    </w:r>
  </w:p>
  <w:p w14:paraId="3EB0C31E" w14:textId="77777777" w:rsidR="005C2B6D" w:rsidRDefault="005C2B6D"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35pt;height:12.3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979AE"/>
    <w:rsid w:val="000A0BD5"/>
    <w:rsid w:val="000A16D3"/>
    <w:rsid w:val="000A1BAD"/>
    <w:rsid w:val="000A2CF5"/>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0053"/>
    <w:rsid w:val="00113665"/>
    <w:rsid w:val="0011599C"/>
    <w:rsid w:val="0012038D"/>
    <w:rsid w:val="0012174E"/>
    <w:rsid w:val="00121EBC"/>
    <w:rsid w:val="00124314"/>
    <w:rsid w:val="00124BA6"/>
    <w:rsid w:val="00126463"/>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358A"/>
    <w:rsid w:val="00184DE5"/>
    <w:rsid w:val="00185508"/>
    <w:rsid w:val="0018651D"/>
    <w:rsid w:val="001923AC"/>
    <w:rsid w:val="001962C5"/>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6AA"/>
    <w:rsid w:val="001D4C16"/>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6150"/>
    <w:rsid w:val="0022015C"/>
    <w:rsid w:val="00220366"/>
    <w:rsid w:val="002203A9"/>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5AE7"/>
    <w:rsid w:val="003366FD"/>
    <w:rsid w:val="00336E23"/>
    <w:rsid w:val="00337F22"/>
    <w:rsid w:val="00340755"/>
    <w:rsid w:val="00341E4F"/>
    <w:rsid w:val="0034303B"/>
    <w:rsid w:val="00343215"/>
    <w:rsid w:val="0034364E"/>
    <w:rsid w:val="003458A5"/>
    <w:rsid w:val="003504F1"/>
    <w:rsid w:val="00350796"/>
    <w:rsid w:val="003528CA"/>
    <w:rsid w:val="00352C39"/>
    <w:rsid w:val="00352EE3"/>
    <w:rsid w:val="00353EB0"/>
    <w:rsid w:val="00354AC6"/>
    <w:rsid w:val="00355D93"/>
    <w:rsid w:val="00357FFC"/>
    <w:rsid w:val="00361219"/>
    <w:rsid w:val="003614D4"/>
    <w:rsid w:val="003638F5"/>
    <w:rsid w:val="00372673"/>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585"/>
    <w:rsid w:val="00413986"/>
    <w:rsid w:val="004211BC"/>
    <w:rsid w:val="00422652"/>
    <w:rsid w:val="0042325B"/>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3BB3"/>
    <w:rsid w:val="004544B8"/>
    <w:rsid w:val="004551D9"/>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B19F5"/>
    <w:rsid w:val="004B6900"/>
    <w:rsid w:val="004B70B1"/>
    <w:rsid w:val="004B7E14"/>
    <w:rsid w:val="004C291E"/>
    <w:rsid w:val="004C2D4A"/>
    <w:rsid w:val="004C4289"/>
    <w:rsid w:val="004C5D90"/>
    <w:rsid w:val="004C5E47"/>
    <w:rsid w:val="004C73BC"/>
    <w:rsid w:val="004C749E"/>
    <w:rsid w:val="004D169A"/>
    <w:rsid w:val="004D261B"/>
    <w:rsid w:val="004D2ACC"/>
    <w:rsid w:val="004D2E5C"/>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552"/>
    <w:rsid w:val="005534EB"/>
    <w:rsid w:val="00553A70"/>
    <w:rsid w:val="005562FE"/>
    <w:rsid w:val="0055673E"/>
    <w:rsid w:val="005619D9"/>
    <w:rsid w:val="00562F47"/>
    <w:rsid w:val="00562F64"/>
    <w:rsid w:val="00563929"/>
    <w:rsid w:val="00563F64"/>
    <w:rsid w:val="00565310"/>
    <w:rsid w:val="005659D5"/>
    <w:rsid w:val="00570693"/>
    <w:rsid w:val="0057669A"/>
    <w:rsid w:val="0057789F"/>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3A62"/>
    <w:rsid w:val="0063605E"/>
    <w:rsid w:val="00637D31"/>
    <w:rsid w:val="006416F6"/>
    <w:rsid w:val="00646107"/>
    <w:rsid w:val="00647E24"/>
    <w:rsid w:val="006505FF"/>
    <w:rsid w:val="00650FDB"/>
    <w:rsid w:val="00653EC3"/>
    <w:rsid w:val="00654C79"/>
    <w:rsid w:val="0065680A"/>
    <w:rsid w:val="00661675"/>
    <w:rsid w:val="0066239B"/>
    <w:rsid w:val="00664666"/>
    <w:rsid w:val="0066549A"/>
    <w:rsid w:val="00665ED6"/>
    <w:rsid w:val="00666538"/>
    <w:rsid w:val="00671151"/>
    <w:rsid w:val="00672781"/>
    <w:rsid w:val="0067320B"/>
    <w:rsid w:val="006733D0"/>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A7B"/>
    <w:rsid w:val="007243C8"/>
    <w:rsid w:val="00724C57"/>
    <w:rsid w:val="00724DE1"/>
    <w:rsid w:val="0072502A"/>
    <w:rsid w:val="0072699E"/>
    <w:rsid w:val="00726AB2"/>
    <w:rsid w:val="00727F54"/>
    <w:rsid w:val="00732A0A"/>
    <w:rsid w:val="00732A1F"/>
    <w:rsid w:val="00735351"/>
    <w:rsid w:val="007354AF"/>
    <w:rsid w:val="007369C1"/>
    <w:rsid w:val="00740B4C"/>
    <w:rsid w:val="00742256"/>
    <w:rsid w:val="0074404E"/>
    <w:rsid w:val="0074561C"/>
    <w:rsid w:val="00746551"/>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4EDF"/>
    <w:rsid w:val="007B714B"/>
    <w:rsid w:val="007B792B"/>
    <w:rsid w:val="007C1054"/>
    <w:rsid w:val="007C4BDD"/>
    <w:rsid w:val="007D0F7C"/>
    <w:rsid w:val="007D27F4"/>
    <w:rsid w:val="007D31A5"/>
    <w:rsid w:val="007D4658"/>
    <w:rsid w:val="007D6662"/>
    <w:rsid w:val="007D7A02"/>
    <w:rsid w:val="007E240F"/>
    <w:rsid w:val="007E3A75"/>
    <w:rsid w:val="007E40A6"/>
    <w:rsid w:val="007E4F7A"/>
    <w:rsid w:val="007E527D"/>
    <w:rsid w:val="007E69A7"/>
    <w:rsid w:val="007E7746"/>
    <w:rsid w:val="007E7AC5"/>
    <w:rsid w:val="007F0DDA"/>
    <w:rsid w:val="007F0FF3"/>
    <w:rsid w:val="007F12DA"/>
    <w:rsid w:val="007F71C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0A6"/>
    <w:rsid w:val="0090646B"/>
    <w:rsid w:val="009069C5"/>
    <w:rsid w:val="00907A4F"/>
    <w:rsid w:val="00911C09"/>
    <w:rsid w:val="00914359"/>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946FA"/>
    <w:rsid w:val="00AA1072"/>
    <w:rsid w:val="00AA1F54"/>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BD8"/>
    <w:rsid w:val="00B32E1F"/>
    <w:rsid w:val="00B342D1"/>
    <w:rsid w:val="00B37131"/>
    <w:rsid w:val="00B377EE"/>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5C37"/>
    <w:rsid w:val="00B87C67"/>
    <w:rsid w:val="00B94C9C"/>
    <w:rsid w:val="00B9528C"/>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5359"/>
    <w:rsid w:val="00BC5A74"/>
    <w:rsid w:val="00BC6B4F"/>
    <w:rsid w:val="00BC6D12"/>
    <w:rsid w:val="00BC6E09"/>
    <w:rsid w:val="00BC74C3"/>
    <w:rsid w:val="00BC7676"/>
    <w:rsid w:val="00BD0CC6"/>
    <w:rsid w:val="00BD1F22"/>
    <w:rsid w:val="00BD2D74"/>
    <w:rsid w:val="00BD4B27"/>
    <w:rsid w:val="00BD63C9"/>
    <w:rsid w:val="00BD7493"/>
    <w:rsid w:val="00BD7EE5"/>
    <w:rsid w:val="00BE026E"/>
    <w:rsid w:val="00BE03CF"/>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73F7"/>
    <w:rsid w:val="00C22112"/>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87970"/>
    <w:rsid w:val="00D90BAD"/>
    <w:rsid w:val="00D90FA7"/>
    <w:rsid w:val="00D910BD"/>
    <w:rsid w:val="00D93CA0"/>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21F1"/>
    <w:rsid w:val="00F42BC1"/>
    <w:rsid w:val="00F44277"/>
    <w:rsid w:val="00F44902"/>
    <w:rsid w:val="00F45644"/>
    <w:rsid w:val="00F46075"/>
    <w:rsid w:val="00F4646C"/>
    <w:rsid w:val="00F508EB"/>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6A9E"/>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EA"/>
    <w:rsid w:val="00FB7BE6"/>
    <w:rsid w:val="00FB7DD5"/>
    <w:rsid w:val="00FC02B2"/>
    <w:rsid w:val="00FC0D23"/>
    <w:rsid w:val="00FC348F"/>
    <w:rsid w:val="00FC39C7"/>
    <w:rsid w:val="00FC52FB"/>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1BDoOi32QMIHahOlAnKIywF1Skf8aANh-V-BMoYn0tc/edi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hyperlink" Target="mailto:juan@ebi.ac.uk"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yperlink" Target="mailto:juan@ebi.ac.uk"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header" Target="header2.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http://dx.doi.org/10.1351/PAC-REC-06-04-06"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D525A-B479-4E69-9576-BF8BDD6DFEA2}">
  <ds:schemaRefs>
    <ds:schemaRef ds:uri="http://schemas.openxmlformats.org/officeDocument/2006/bibliography"/>
  </ds:schemaRefs>
</ds:datastoreItem>
</file>

<file path=customXml/itemProps2.xml><?xml version="1.0" encoding="utf-8"?>
<ds:datastoreItem xmlns:ds="http://schemas.openxmlformats.org/officeDocument/2006/customXml" ds:itemID="{E08DAC87-62F0-402D-8A83-F3D95897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84</Pages>
  <Words>24017</Words>
  <Characters>136897</Characters>
  <Application>Microsoft Office Word</Application>
  <DocSecurity>0</DocSecurity>
  <Lines>1140</Lines>
  <Paragraphs>321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160593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321</cp:revision>
  <cp:lastPrinted>2014-06-20T14:50:00Z</cp:lastPrinted>
  <dcterms:created xsi:type="dcterms:W3CDTF">2016-07-04T09:22:00Z</dcterms:created>
  <dcterms:modified xsi:type="dcterms:W3CDTF">2016-10-27T12:57:00Z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