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L’initiation</w:t>
      </w:r>
      <w:r>
        <w:t xml:space="preserve"> </w:t>
      </w:r>
      <w:r>
        <w:t xml:space="preserve">et</w:t>
      </w:r>
      <w:r>
        <w:t xml:space="preserve"> </w:t>
      </w:r>
      <w:r>
        <w:t xml:space="preserve">le</w:t>
      </w:r>
      <w:r>
        <w:t xml:space="preserve"> </w:t>
      </w:r>
      <w:r>
        <w:t xml:space="preserve">suivi</w:t>
      </w:r>
      <w:r>
        <w:t xml:space="preserve"> </w:t>
      </w:r>
      <w:r>
        <w:t xml:space="preserve">du</w:t>
      </w:r>
      <w:r>
        <w:t xml:space="preserve"> </w:t>
      </w:r>
      <w:r>
        <w:t xml:space="preserve">traitement</w:t>
      </w:r>
      <w:r>
        <w:t xml:space="preserve"> </w:t>
      </w:r>
      <w:r>
        <w:t xml:space="preserve">hormonal</w:t>
      </w:r>
      <w:r>
        <w:t xml:space="preserve"> </w:t>
      </w:r>
      <w:r>
        <w:t xml:space="preserve">d’affirmation</w:t>
      </w:r>
      <w:r>
        <w:t xml:space="preserve"> </w:t>
      </w:r>
      <w:r>
        <w:t xml:space="preserve">de</w:t>
      </w:r>
      <w:r>
        <w:t xml:space="preserve"> </w:t>
      </w:r>
      <w:r>
        <w:t xml:space="preserve">genre</w:t>
      </w:r>
      <w:r>
        <w:t xml:space="preserve"> </w:t>
      </w:r>
      <w:r>
        <w:t xml:space="preserve">en</w:t>
      </w:r>
      <w:r>
        <w:t xml:space="preserve"> </w:t>
      </w:r>
      <w:r>
        <w:t xml:space="preserve">médecine</w:t>
      </w:r>
      <w:r>
        <w:t xml:space="preserve"> </w:t>
      </w:r>
      <w:r>
        <w:t xml:space="preserve">générale</w:t>
      </w:r>
      <w:r>
        <w:t xml:space="preserve"> </w:t>
      </w:r>
      <w:r>
        <w:t xml:space="preserve">:</w:t>
      </w:r>
      <w:r>
        <w:t xml:space="preserve"> </w:t>
      </w:r>
      <w:r>
        <w:t xml:space="preserve">résultats</w:t>
      </w:r>
      <w:r>
        <w:t xml:space="preserve"> </w:t>
      </w:r>
      <w:r>
        <w:t xml:space="preserve">d’une</w:t>
      </w:r>
      <w:r>
        <w:t xml:space="preserve"> </w:t>
      </w:r>
      <w:r>
        <w:t xml:space="preserve">étude</w:t>
      </w:r>
      <w:r>
        <w:t xml:space="preserve"> </w:t>
      </w:r>
      <w:r>
        <w:t xml:space="preserve">de</w:t>
      </w:r>
      <w:r>
        <w:t xml:space="preserve"> </w:t>
      </w:r>
      <w:r>
        <w:t xml:space="preserve">cohorte</w:t>
      </w:r>
      <w:r>
        <w:t xml:space="preserve"> </w:t>
      </w:r>
      <w:r>
        <w:t xml:space="preserve">et</w:t>
      </w:r>
      <w:r>
        <w:t xml:space="preserve"> </w:t>
      </w:r>
      <w:r>
        <w:t xml:space="preserve">recommandations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pratique</w:t>
      </w:r>
      <w:r>
        <w:t xml:space="preserve"> </w:t>
      </w:r>
      <w:r>
        <w:t xml:space="preserve">clinique</w:t>
      </w:r>
    </w:p>
    <w:p>
      <w:pPr>
        <w:pStyle w:val="Author"/>
      </w:pPr>
      <w:r>
        <w:t xml:space="preserve">Maxence</w:t>
      </w:r>
      <w:r>
        <w:t xml:space="preserve"> </w:t>
      </w:r>
      <w:r>
        <w:t xml:space="preserve">R.</w:t>
      </w:r>
      <w:r>
        <w:t xml:space="preserve"> </w:t>
      </w:r>
      <w:r>
        <w:t xml:space="preserve">Ouafik</w:t>
      </w:r>
    </w:p>
    <w:bookmarkStart w:id="20" w:name="abstract"/>
    <w:p>
      <w:pPr>
        <w:pStyle w:val="Titre1"/>
      </w:pPr>
      <w:r>
        <w:t xml:space="preserve">Abstract</w:t>
      </w:r>
    </w:p>
    <w:bookmarkEnd w:id="20"/>
    <w:bookmarkStart w:id="21" w:name="introduction"/>
    <w:p>
      <w:pPr>
        <w:pStyle w:val="Titre1"/>
      </w:pPr>
      <w:r>
        <w:t xml:space="preserve">Introduction</w:t>
      </w:r>
    </w:p>
    <w:p>
      <w:pPr>
        <w:pStyle w:val="FirstParagraph"/>
      </w:pPr>
      <w:r>
        <w:t xml:space="preserve">Ceci est un test de citation</w:t>
      </w:r>
      <w:r>
        <w:t xml:space="preserve"> </w:t>
      </w:r>
      <w:r>
        <w:t xml:space="preserve">[</w:t>
      </w:r>
      <w:hyperlink w:anchor="ref-ker2021">
        <w:r>
          <w:rPr>
            <w:rStyle w:val="Lienhypertexte"/>
          </w:rPr>
          <w:t xml:space="preserve">1</w:t>
        </w:r>
      </w:hyperlink>
      <w:r>
        <w:t xml:space="preserve">]</w:t>
      </w:r>
    </w:p>
    <w:p>
      <w:pPr>
        <w:pStyle w:val="Corpsdetexte"/>
      </w:pPr>
      <w:r>
        <w:t xml:space="preserve">[</w:t>
      </w:r>
      <w:hyperlink w:anchor="ref-dalege2017">
        <w:r>
          <w:rPr>
            <w:rStyle w:val="Lienhypertexte"/>
          </w:rPr>
          <w:t xml:space="preserve">2</w:t>
        </w:r>
      </w:hyperlink>
      <w:r>
        <w:t xml:space="preserve">]</w:t>
      </w:r>
    </w:p>
    <w:p>
      <w:pPr>
        <w:pStyle w:val="Corpsdetexte"/>
      </w:pPr>
      <w:r>
        <w:t xml:space="preserve">[</w:t>
      </w:r>
      <w:hyperlink w:anchor="ref-ker2021">
        <w:r>
          <w:rPr>
            <w:rStyle w:val="Lienhypertexte"/>
          </w:rPr>
          <w:t xml:space="preserve">1</w:t>
        </w:r>
      </w:hyperlink>
      <w:r>
        <w:t xml:space="preserve">,</w:t>
      </w:r>
      <w:hyperlink w:anchor="ref-teti2021">
        <w:r>
          <w:rPr>
            <w:rStyle w:val="Lienhypertexte"/>
          </w:rPr>
          <w:t xml:space="preserve">3</w:t>
        </w:r>
      </w:hyperlink>
      <w:r>
        <w:t xml:space="preserve">]</w:t>
      </w:r>
    </w:p>
    <w:p>
      <w:pPr>
        <w:pStyle w:val="Corpsdetexte"/>
      </w:pPr>
      <w:r>
        <w:t xml:space="preserve">Test de citation ???</w:t>
      </w:r>
      <w:r>
        <w:t xml:space="preserve"> </w:t>
      </w:r>
      <w:r>
        <w:t xml:space="preserve">[</w:t>
      </w:r>
      <w:hyperlink w:anchor="ref-Bakker2018">
        <w:r>
          <w:rPr>
            <w:rStyle w:val="Lienhypertexte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Bakker2018">
        <w:r>
          <w:rPr>
            <w:rStyle w:val="Lienhypertexte"/>
          </w:rPr>
          <w:t xml:space="preserve">4</w:t>
        </w:r>
      </w:hyperlink>
      <w:r>
        <w:t xml:space="preserve">]</w:t>
      </w:r>
    </w:p>
    <w:bookmarkEnd w:id="21"/>
    <w:bookmarkStart w:id="22" w:name="méthodologie"/>
    <w:p>
      <w:pPr>
        <w:pStyle w:val="Titre1"/>
      </w:pPr>
      <w:r>
        <w:t xml:space="preserve">Méthodologie</w:t>
      </w:r>
    </w:p>
    <w:bookmarkEnd w:id="22"/>
    <w:bookmarkStart w:id="23" w:name="résultats"/>
    <w:p>
      <w:pPr>
        <w:pStyle w:val="Titre1"/>
      </w:pPr>
      <w:r>
        <w:t xml:space="preserve">Résultats</w:t>
      </w:r>
    </w:p>
    <w:bookmarkEnd w:id="23"/>
    <w:bookmarkStart w:id="24" w:name="discussion"/>
    <w:p>
      <w:pPr>
        <w:pStyle w:val="Titre1"/>
      </w:pPr>
      <w:r>
        <w:t xml:space="preserve">Discussion</w:t>
      </w:r>
    </w:p>
    <w:bookmarkEnd w:id="24"/>
    <w:bookmarkStart w:id="25" w:name="conclusion"/>
    <w:p>
      <w:pPr>
        <w:pStyle w:val="Titre1"/>
      </w:pPr>
      <w:r>
        <w:t xml:space="preserve">Conclusion</w:t>
      </w:r>
    </w:p>
    <w:bookmarkEnd w:id="25"/>
    <w:bookmarkStart w:id="34" w:name="bibliographie"/>
    <w:p>
      <w:pPr>
        <w:pStyle w:val="Titre1"/>
      </w:pPr>
      <w:r>
        <w:t xml:space="preserve">Bibliographie</w:t>
      </w:r>
    </w:p>
    <w:bookmarkStart w:id="33" w:name="refs"/>
    <w:bookmarkStart w:id="27" w:name="ref-ker2021"/>
    <w:p>
      <w:pPr>
        <w:pStyle w:val="Bibliographie"/>
      </w:pPr>
      <w:r>
        <w:t xml:space="preserve">1.</w:t>
      </w:r>
      <w:r>
        <w:t xml:space="preserve"> </w:t>
      </w:r>
      <w:r>
        <w:t xml:space="preserve">	</w:t>
      </w:r>
      <w:r>
        <w:t xml:space="preserve">Ker A, Fraser G, Fleming T, Stephenson C, da Silva Freitas A, Carroll R, et al.</w:t>
      </w:r>
      <w:r>
        <w:t xml:space="preserve"> </w:t>
      </w:r>
      <w:hyperlink r:id="rId26">
        <w:r>
          <w:rPr>
            <w:rStyle w:val="Lienhypertexte"/>
          </w:rPr>
          <w:t xml:space="preserve">“A little bubble of utopia”</w:t>
        </w:r>
        <w:r>
          <w:rPr>
            <w:rStyle w:val="Lienhypertexte"/>
          </w:rPr>
          <w:t xml:space="preserve">: constructions of a primary care-based pilot clinic providing gender affirming hormone therapy</w:t>
        </w:r>
      </w:hyperlink>
      <w:r>
        <w:t xml:space="preserve">. Health Sociology Review. 2021 Jan 2;30(1):25–40.</w:t>
      </w:r>
      <w:r>
        <w:t xml:space="preserve"> </w:t>
      </w:r>
    </w:p>
    <w:bookmarkEnd w:id="27"/>
    <w:bookmarkStart w:id="29" w:name="ref-dalege2017"/>
    <w:p>
      <w:pPr>
        <w:pStyle w:val="Bibliographie"/>
      </w:pPr>
      <w:r>
        <w:t xml:space="preserve">2.</w:t>
      </w:r>
      <w:r>
        <w:t xml:space="preserve"> </w:t>
      </w:r>
      <w:r>
        <w:t xml:space="preserve">	</w:t>
      </w:r>
      <w:r>
        <w:t xml:space="preserve">Dalege J, Borsboom D, van Harreveld F, van der Maas HLJ. Network Analysis on Attitudes: A Brief Tutorial. Social Psychological and Personality Science [Internet]. 2017 Jul;8(5):528–37. Available from:</w:t>
      </w:r>
      <w:r>
        <w:t xml:space="preserve"> </w:t>
      </w:r>
      <w:hyperlink r:id="rId28">
        <w:r>
          <w:rPr>
            <w:rStyle w:val="Lienhypertexte"/>
          </w:rPr>
          <w:t xml:space="preserve">http://journals.sagepub.com/doi/10.1177/1948550617709827</w:t>
        </w:r>
      </w:hyperlink>
    </w:p>
    <w:bookmarkEnd w:id="29"/>
    <w:bookmarkStart w:id="30" w:name="ref-teti2021"/>
    <w:p>
      <w:pPr>
        <w:pStyle w:val="Bibliographie"/>
      </w:pPr>
      <w:r>
        <w:t xml:space="preserve">3.</w:t>
      </w:r>
      <w:r>
        <w:t xml:space="preserve"> </w:t>
      </w:r>
      <w:r>
        <w:t xml:space="preserve">	</w:t>
      </w:r>
      <w:r>
        <w:t xml:space="preserve">Teti M, Kerr S, Bauerband LA, Koegler E, Graves R. A Qualitative Scoping Review of Transgender and Gender Non-conforming People’s Physical Healthcare Experiences and Needs. Frontiers in Public Health. 2021;9.</w:t>
      </w:r>
      <w:r>
        <w:t xml:space="preserve"> </w:t>
      </w:r>
    </w:p>
    <w:bookmarkEnd w:id="30"/>
    <w:bookmarkStart w:id="32" w:name="ref-Bakker2018"/>
    <w:p>
      <w:pPr>
        <w:pStyle w:val="Bibliographie"/>
      </w:pPr>
      <w:r>
        <w:t xml:space="preserve">4.</w:t>
      </w:r>
      <w:r>
        <w:t xml:space="preserve"> </w:t>
      </w:r>
      <w:r>
        <w:t xml:space="preserve">	</w:t>
      </w:r>
      <w:r>
        <w:t xml:space="preserve">Bakker I, Knoops L.</w:t>
      </w:r>
      <w:r>
        <w:t xml:space="preserve"> </w:t>
      </w:r>
      <w:hyperlink r:id="rId31">
        <w:r>
          <w:rPr>
            <w:rStyle w:val="Lienhypertexte"/>
          </w:rPr>
          <w:t xml:space="preserve">Towards a continuum of care concerning chemsex issues</w:t>
        </w:r>
      </w:hyperlink>
      <w:r>
        <w:t xml:space="preserve">. Sexual Health. 2018;15(2).</w:t>
      </w:r>
      <w:r>
        <w:t xml:space="preserve"> </w:t>
      </w:r>
    </w:p>
    <w:bookmarkEnd w:id="32"/>
    <w:bookmarkEnd w:id="33"/>
    <w:p>
      <w:r>
        <w:br w:type="page"/>
      </w:r>
    </w:p>
    <w:bookmarkEnd w:id="34"/>
    <w:bookmarkStart w:id="35" w:name="annexes"/>
    <w:p>
      <w:pPr>
        <w:pStyle w:val="Titre1"/>
      </w:pPr>
      <w:r>
        <w:t xml:space="preserve">Annexes</w:t>
      </w:r>
    </w:p>
    <w:bookmarkEnd w:id="35"/>
    <w:sectPr xmlns:w="http://schemas.openxmlformats.org/wordprocessingml/2006/main">
      <w:pgMar w:header="576" w:bottom="576" w:top="576" w:right="576" w:left="576" w:footer="576" w:gutter="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)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)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)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)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)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)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)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)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6A5019E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35B2"/>
    <w:pPr>
      <w:jc w:val="both"/>
    </w:pPr>
  </w:style>
  <w:style w:styleId="Titre1" w:type="paragraph">
    <w:name w:val="heading 1"/>
    <w:basedOn w:val="Normal"/>
    <w:next w:val="Corpsdetexte"/>
    <w:uiPriority w:val="9"/>
    <w:qFormat/>
    <w:rsid w:val="00E44A9F"/>
    <w:pPr>
      <w:keepNext/>
      <w:keepLines/>
      <w:spacing w:after="0" w:before="480"/>
      <w:outlineLvl w:val="0"/>
    </w:pPr>
    <w:rPr>
      <w:rFonts w:ascii="PT Serif Caption" w:cstheme="majorBidi" w:eastAsiaTheme="majorEastAsia" w:hAnsi="PT Serif Caption"/>
      <w:b/>
      <w:bCs/>
      <w:color w:val="9DE0A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BE2449"/>
    <w:pPr>
      <w:keepNext/>
      <w:keepLines/>
      <w:spacing w:after="0" w:before="200"/>
      <w:outlineLvl w:val="1"/>
    </w:pPr>
    <w:rPr>
      <w:rFonts w:ascii="PT Serif Caption" w:cstheme="majorBidi" w:eastAsiaTheme="majorEastAsia" w:hAnsi="PT Serif Caption"/>
      <w:b/>
      <w:bCs/>
      <w:color w:val="45ADA8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EB437D"/>
    <w:pPr>
      <w:keepNext/>
      <w:keepLines/>
      <w:spacing w:after="0" w:before="200"/>
      <w:outlineLvl w:val="2"/>
    </w:pPr>
    <w:rPr>
      <w:rFonts w:ascii="PT Serif Caption" w:cstheme="majorBidi" w:eastAsiaTheme="majorEastAsia" w:hAnsi="PT Serif Caption"/>
      <w:b/>
      <w:bCs/>
      <w:color w:val="54798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3C55EC"/>
    <w:pPr>
      <w:keepNext/>
      <w:keepLines/>
      <w:spacing w:after="0" w:before="200"/>
      <w:outlineLvl w:val="3"/>
    </w:pPr>
    <w:rPr>
      <w:rFonts w:ascii="PT Serif Caption" w:cstheme="majorBidi" w:eastAsiaTheme="majorEastAsia" w:hAnsi="PT Serif Caption"/>
      <w:b/>
      <w:bCs/>
      <w:color w:val="594F4F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044EA3"/>
    <w:pPr>
      <w:keepNext/>
      <w:keepLines/>
      <w:spacing w:after="240" w:before="480"/>
    </w:pPr>
    <w:rPr>
      <w:rFonts w:ascii="PT Serif Caption" w:cstheme="majorBidi" w:eastAsiaTheme="majorEastAsia" w:hAnsi="PT Serif Caption"/>
      <w:b/>
      <w:bCs/>
      <w:smallCaps/>
      <w:color w:val="9DE0AD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styleId="Date" w:type="paragraph">
    <w:name w:val="Date"/>
    <w:next w:val="Corpsdetexte"/>
    <w:qFormat/>
    <w:rsid w:val="0060691F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Corpsdetexte"/>
    <w:qFormat/>
    <w:rsid w:val="000942E3"/>
    <w:pPr>
      <w:keepNext/>
      <w:keepLines/>
      <w:pBdr>
        <w:top w:color="594F4F" w:space="1" w:sz="12" w:val="single"/>
        <w:left w:color="594F4F" w:space="4" w:sz="12" w:val="single"/>
        <w:bottom w:color="594F4F" w:space="1" w:sz="12" w:val="single"/>
        <w:right w:color="594F4F" w:space="4" w:sz="12" w:val="single"/>
      </w:pBdr>
      <w:spacing w:after="300" w:before="300"/>
    </w:pPr>
    <w:rPr>
      <w:i/>
      <w:color w:themeColor="background1" w:themeShade="80" w:val="808080"/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sdetexteCar" w:type="characte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8" Type="http://schemas.openxmlformats.org/officeDocument/2006/relationships/hyperlink" Target="http://journals.sagepub.com/doi/10.1177/1948550617709827" TargetMode="External"/>
<Relationship Id="rId31" Type="http://schemas.openxmlformats.org/officeDocument/2006/relationships/hyperlink" Target="https://doi.org/10.1071/SH17139" TargetMode="External"/>
<Relationship Id="rId26" Type="http://schemas.openxmlformats.org/officeDocument/2006/relationships/hyperlink" Target="https://doi.org/10.1080/14461242.2020.1855999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://journals.sagepub.com/doi/10.1177/1948550617709827" TargetMode="External"/>
<Relationship Id="rId31" Type="http://schemas.openxmlformats.org/officeDocument/2006/relationships/hyperlink" Target="https://doi.org/10.1071/SH17139" TargetMode="External"/>
<Relationship Id="rId26" Type="http://schemas.openxmlformats.org/officeDocument/2006/relationships/hyperlink" Target="https://doi.org/10.1080/14461242.2020.1855999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L’initiation et le suivi du traitement hormonal d’affirmation de genre en médecine générale : résultats d’une étude de cohorte et recommandations pour la pratique clinique</dc:title>
  <dc:creator>Maxence R. Ouafik</dc:creator>
  <cp:keywords/>
  <dcterms:created xsi:type="dcterms:W3CDTF">2022-04-09T00:36:23Z</dcterms:created>
  <dcterms:modified xsi:type="dcterms:W3CDTF">2022-04-09T02:36:23Z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references.json</vt:lpwstr>
  </property>
  <property fmtid="{D5CDD505-2E9C-101B-9397-08002B2CF9AE}" pid="3" name="bookdown">
    <vt:lpwstr/>
  </property>
  <property fmtid="{D5CDD505-2E9C-101B-9397-08002B2CF9AE}" pid="4" name="csl">
    <vt:lpwstr/>
  </property>
  <property fmtid="{D5CDD505-2E9C-101B-9397-08002B2CF9AE}" pid="5" name="link-citations">
    <vt:lpwstr>True</vt:lpwstr>
  </property>
  <property fmtid="{D5CDD505-2E9C-101B-9397-08002B2CF9AE}" pid="6" name="rmd_files">
    <vt:lpwstr>(“index.Rmd”, “01-abstract.Rmd”, “02-introduction.Rmd”, “03-methodology.Rmd”, “04-results.Rmd”, “05-discussion.Rmd”, “06-conclusion.Rmd”, “07-references.Rmd”, “08-appendix.Rmd”)</vt:lpwstr>
  </property>
</Properties>
</file>