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14F93" w14:textId="77777777" w:rsidR="005D13AA" w:rsidRDefault="00095D23">
      <w:pPr>
        <w:pStyle w:val="Titre"/>
      </w:pPr>
      <w:r>
        <w:t>L’initiation et le suivi du traitement hormonal d’affirmation de genre en médecine générale</w:t>
      </w:r>
    </w:p>
    <w:p w14:paraId="4D514F94" w14:textId="77777777" w:rsidR="005D13AA" w:rsidRDefault="00095D23">
      <w:pPr>
        <w:pStyle w:val="Author"/>
      </w:pPr>
      <w:r>
        <w:t>Dr. Maxence Ouafik</w:t>
      </w:r>
    </w:p>
    <w:p w14:paraId="4D514F95" w14:textId="77777777" w:rsidR="005D13AA" w:rsidRDefault="00095D23">
      <w:pPr>
        <w:pStyle w:val="Titre1"/>
      </w:pPr>
      <w:bookmarkStart w:id="0" w:name="part-avant-propos"/>
      <w:bookmarkStart w:id="1" w:name="_Toc101328776"/>
      <w:r>
        <w:t>(PART) Avant-propos</w:t>
      </w:r>
      <w:bookmarkEnd w:id="1"/>
    </w:p>
    <w:p w14:paraId="4D514F96" w14:textId="77777777" w:rsidR="005D13AA" w:rsidRDefault="00095D23">
      <w:pPr>
        <w:pStyle w:val="Titre1"/>
      </w:pPr>
      <w:bookmarkStart w:id="2" w:name="remerciements"/>
      <w:bookmarkStart w:id="3" w:name="_Toc101328777"/>
      <w:bookmarkEnd w:id="0"/>
      <w:r>
        <w:t>Remerciements</w:t>
      </w:r>
      <w:bookmarkEnd w:id="3"/>
    </w:p>
    <w:p w14:paraId="4D514F97" w14:textId="77777777" w:rsidR="005D13AA" w:rsidRDefault="00095D23">
      <w:r>
        <w:br w:type="page"/>
      </w:r>
    </w:p>
    <w:p w14:paraId="4D514F98" w14:textId="77777777" w:rsidR="005D13AA" w:rsidRDefault="00095D23">
      <w:pPr>
        <w:pStyle w:val="Titre1"/>
      </w:pPr>
      <w:bookmarkStart w:id="4" w:name="résumé"/>
      <w:bookmarkStart w:id="5" w:name="_Toc101328778"/>
      <w:bookmarkEnd w:id="2"/>
      <w:r>
        <w:lastRenderedPageBreak/>
        <w:t>Résumé</w:t>
      </w:r>
      <w:bookmarkEnd w:id="5"/>
    </w:p>
    <w:p w14:paraId="4D514F99" w14:textId="77777777" w:rsidR="005D13AA" w:rsidRDefault="00095D23">
      <w:r>
        <w:br w:type="page"/>
      </w:r>
    </w:p>
    <w:p w14:paraId="4D514F9A" w14:textId="77777777" w:rsidR="005D13AA" w:rsidRDefault="00095D23">
      <w:pPr>
        <w:pStyle w:val="SourceCode"/>
      </w:pPr>
      <w:r>
        <w:rPr>
          <w:rStyle w:val="VerbatimChar"/>
        </w:rPr>
        <w:lastRenderedPageBreak/>
        <w:t>## Table des matières</w:t>
      </w:r>
    </w:p>
    <w:p w14:paraId="69D71CD5" w14:textId="52827DBE" w:rsidR="00ED32C4" w:rsidRDefault="00095D23">
      <w:pPr>
        <w:pStyle w:val="TM1"/>
        <w:tabs>
          <w:tab w:val="right" w:leader="dot" w:pos="9350"/>
        </w:tabs>
        <w:rPr>
          <w:noProof/>
        </w:rPr>
      </w:pPr>
      <w:r>
        <w:fldChar w:fldCharType="begin"/>
      </w:r>
      <w:r>
        <w:instrText>TOC \o "1-2" \h \z \u</w:instrText>
      </w:r>
      <w:r w:rsidR="00ED32C4">
        <w:fldChar w:fldCharType="separate"/>
      </w:r>
      <w:hyperlink w:anchor="_Toc101328776" w:history="1">
        <w:r w:rsidR="00ED32C4" w:rsidRPr="00DC5646">
          <w:rPr>
            <w:rStyle w:val="Lienhypertexte"/>
            <w:noProof/>
          </w:rPr>
          <w:t>(PART) Avant-propos</w:t>
        </w:r>
        <w:r w:rsidR="00ED32C4">
          <w:rPr>
            <w:noProof/>
            <w:webHidden/>
          </w:rPr>
          <w:tab/>
        </w:r>
        <w:r w:rsidR="00ED32C4">
          <w:rPr>
            <w:noProof/>
            <w:webHidden/>
          </w:rPr>
          <w:fldChar w:fldCharType="begin"/>
        </w:r>
        <w:r w:rsidR="00ED32C4">
          <w:rPr>
            <w:noProof/>
            <w:webHidden/>
          </w:rPr>
          <w:instrText xml:space="preserve"> PAGEREF _Toc101328776 \h </w:instrText>
        </w:r>
        <w:r w:rsidR="00ED32C4">
          <w:rPr>
            <w:noProof/>
            <w:webHidden/>
          </w:rPr>
        </w:r>
        <w:r w:rsidR="00ED32C4">
          <w:rPr>
            <w:noProof/>
            <w:webHidden/>
          </w:rPr>
          <w:fldChar w:fldCharType="separate"/>
        </w:r>
        <w:r w:rsidR="00ED32C4">
          <w:rPr>
            <w:noProof/>
            <w:webHidden/>
          </w:rPr>
          <w:t>1</w:t>
        </w:r>
        <w:r w:rsidR="00ED32C4">
          <w:rPr>
            <w:noProof/>
            <w:webHidden/>
          </w:rPr>
          <w:fldChar w:fldCharType="end"/>
        </w:r>
      </w:hyperlink>
    </w:p>
    <w:p w14:paraId="7C7A1122" w14:textId="76C2696F" w:rsidR="00ED32C4" w:rsidRDefault="00ED32C4">
      <w:pPr>
        <w:pStyle w:val="TM1"/>
        <w:tabs>
          <w:tab w:val="right" w:leader="dot" w:pos="9350"/>
        </w:tabs>
        <w:rPr>
          <w:noProof/>
        </w:rPr>
      </w:pPr>
      <w:hyperlink w:anchor="_Toc101328777" w:history="1">
        <w:r w:rsidRPr="00DC5646">
          <w:rPr>
            <w:rStyle w:val="Lienhypertexte"/>
            <w:noProof/>
          </w:rPr>
          <w:t>Remerciements</w:t>
        </w:r>
        <w:r>
          <w:rPr>
            <w:noProof/>
            <w:webHidden/>
          </w:rPr>
          <w:tab/>
        </w:r>
        <w:r>
          <w:rPr>
            <w:noProof/>
            <w:webHidden/>
          </w:rPr>
          <w:fldChar w:fldCharType="begin"/>
        </w:r>
        <w:r>
          <w:rPr>
            <w:noProof/>
            <w:webHidden/>
          </w:rPr>
          <w:instrText xml:space="preserve"> PAGEREF _Toc101328777 \h </w:instrText>
        </w:r>
        <w:r>
          <w:rPr>
            <w:noProof/>
            <w:webHidden/>
          </w:rPr>
        </w:r>
        <w:r>
          <w:rPr>
            <w:noProof/>
            <w:webHidden/>
          </w:rPr>
          <w:fldChar w:fldCharType="separate"/>
        </w:r>
        <w:r>
          <w:rPr>
            <w:noProof/>
            <w:webHidden/>
          </w:rPr>
          <w:t>1</w:t>
        </w:r>
        <w:r>
          <w:rPr>
            <w:noProof/>
            <w:webHidden/>
          </w:rPr>
          <w:fldChar w:fldCharType="end"/>
        </w:r>
      </w:hyperlink>
    </w:p>
    <w:p w14:paraId="71F04BEC" w14:textId="039EE39C" w:rsidR="00ED32C4" w:rsidRDefault="00ED32C4">
      <w:pPr>
        <w:pStyle w:val="TM1"/>
        <w:tabs>
          <w:tab w:val="right" w:leader="dot" w:pos="9350"/>
        </w:tabs>
        <w:rPr>
          <w:noProof/>
        </w:rPr>
      </w:pPr>
      <w:hyperlink w:anchor="_Toc101328778" w:history="1">
        <w:r w:rsidRPr="00DC5646">
          <w:rPr>
            <w:rStyle w:val="Lienhypertexte"/>
            <w:noProof/>
          </w:rPr>
          <w:t>Résumé</w:t>
        </w:r>
        <w:r>
          <w:rPr>
            <w:noProof/>
            <w:webHidden/>
          </w:rPr>
          <w:tab/>
        </w:r>
        <w:r>
          <w:rPr>
            <w:noProof/>
            <w:webHidden/>
          </w:rPr>
          <w:fldChar w:fldCharType="begin"/>
        </w:r>
        <w:r>
          <w:rPr>
            <w:noProof/>
            <w:webHidden/>
          </w:rPr>
          <w:instrText xml:space="preserve"> PAGEREF _Toc101328778 \h </w:instrText>
        </w:r>
        <w:r>
          <w:rPr>
            <w:noProof/>
            <w:webHidden/>
          </w:rPr>
        </w:r>
        <w:r>
          <w:rPr>
            <w:noProof/>
            <w:webHidden/>
          </w:rPr>
          <w:fldChar w:fldCharType="separate"/>
        </w:r>
        <w:r>
          <w:rPr>
            <w:noProof/>
            <w:webHidden/>
          </w:rPr>
          <w:t>2</w:t>
        </w:r>
        <w:r>
          <w:rPr>
            <w:noProof/>
            <w:webHidden/>
          </w:rPr>
          <w:fldChar w:fldCharType="end"/>
        </w:r>
      </w:hyperlink>
    </w:p>
    <w:p w14:paraId="2A9D7F44" w14:textId="64FDBE9D" w:rsidR="00ED32C4" w:rsidRDefault="00ED32C4">
      <w:pPr>
        <w:pStyle w:val="TM1"/>
        <w:tabs>
          <w:tab w:val="right" w:leader="dot" w:pos="9350"/>
        </w:tabs>
        <w:rPr>
          <w:noProof/>
        </w:rPr>
      </w:pPr>
      <w:hyperlink w:anchor="_Toc101328779" w:history="1">
        <w:r w:rsidRPr="00DC5646">
          <w:rPr>
            <w:rStyle w:val="Lienhypertexte"/>
            <w:noProof/>
          </w:rPr>
          <w:t>(PART) Texte principal</w:t>
        </w:r>
        <w:r>
          <w:rPr>
            <w:noProof/>
            <w:webHidden/>
          </w:rPr>
          <w:tab/>
        </w:r>
        <w:r>
          <w:rPr>
            <w:noProof/>
            <w:webHidden/>
          </w:rPr>
          <w:fldChar w:fldCharType="begin"/>
        </w:r>
        <w:r>
          <w:rPr>
            <w:noProof/>
            <w:webHidden/>
          </w:rPr>
          <w:instrText xml:space="preserve"> PAGEREF _Toc101328779 \h </w:instrText>
        </w:r>
        <w:r>
          <w:rPr>
            <w:noProof/>
            <w:webHidden/>
          </w:rPr>
        </w:r>
        <w:r>
          <w:rPr>
            <w:noProof/>
            <w:webHidden/>
          </w:rPr>
          <w:fldChar w:fldCharType="separate"/>
        </w:r>
        <w:r>
          <w:rPr>
            <w:noProof/>
            <w:webHidden/>
          </w:rPr>
          <w:t>4</w:t>
        </w:r>
        <w:r>
          <w:rPr>
            <w:noProof/>
            <w:webHidden/>
          </w:rPr>
          <w:fldChar w:fldCharType="end"/>
        </w:r>
      </w:hyperlink>
    </w:p>
    <w:p w14:paraId="77282825" w14:textId="48825D01" w:rsidR="00ED32C4" w:rsidRDefault="00ED32C4">
      <w:pPr>
        <w:pStyle w:val="TM1"/>
        <w:tabs>
          <w:tab w:val="right" w:leader="dot" w:pos="9350"/>
        </w:tabs>
        <w:rPr>
          <w:noProof/>
        </w:rPr>
      </w:pPr>
      <w:hyperlink w:anchor="_Toc101328780" w:history="1">
        <w:r w:rsidRPr="00DC5646">
          <w:rPr>
            <w:rStyle w:val="Lienhypertexte"/>
            <w:noProof/>
          </w:rPr>
          <w:t>Introduction</w:t>
        </w:r>
        <w:r>
          <w:rPr>
            <w:noProof/>
            <w:webHidden/>
          </w:rPr>
          <w:tab/>
        </w:r>
        <w:r>
          <w:rPr>
            <w:noProof/>
            <w:webHidden/>
          </w:rPr>
          <w:fldChar w:fldCharType="begin"/>
        </w:r>
        <w:r>
          <w:rPr>
            <w:noProof/>
            <w:webHidden/>
          </w:rPr>
          <w:instrText xml:space="preserve"> PAGEREF _Toc101328780 \h </w:instrText>
        </w:r>
        <w:r>
          <w:rPr>
            <w:noProof/>
            <w:webHidden/>
          </w:rPr>
        </w:r>
        <w:r>
          <w:rPr>
            <w:noProof/>
            <w:webHidden/>
          </w:rPr>
          <w:fldChar w:fldCharType="separate"/>
        </w:r>
        <w:r>
          <w:rPr>
            <w:noProof/>
            <w:webHidden/>
          </w:rPr>
          <w:t>4</w:t>
        </w:r>
        <w:r>
          <w:rPr>
            <w:noProof/>
            <w:webHidden/>
          </w:rPr>
          <w:fldChar w:fldCharType="end"/>
        </w:r>
      </w:hyperlink>
    </w:p>
    <w:p w14:paraId="5A99087A" w14:textId="0C0AAC11" w:rsidR="00ED32C4" w:rsidRDefault="00ED32C4">
      <w:pPr>
        <w:pStyle w:val="TM1"/>
        <w:tabs>
          <w:tab w:val="right" w:leader="dot" w:pos="9350"/>
        </w:tabs>
        <w:rPr>
          <w:noProof/>
        </w:rPr>
      </w:pPr>
      <w:hyperlink w:anchor="_Toc101328781" w:history="1">
        <w:r w:rsidRPr="00DC5646">
          <w:rPr>
            <w:rStyle w:val="Lienhypertexte"/>
            <w:noProof/>
          </w:rPr>
          <w:t>Méthodologie</w:t>
        </w:r>
        <w:r>
          <w:rPr>
            <w:noProof/>
            <w:webHidden/>
          </w:rPr>
          <w:tab/>
        </w:r>
        <w:r>
          <w:rPr>
            <w:noProof/>
            <w:webHidden/>
          </w:rPr>
          <w:fldChar w:fldCharType="begin"/>
        </w:r>
        <w:r>
          <w:rPr>
            <w:noProof/>
            <w:webHidden/>
          </w:rPr>
          <w:instrText xml:space="preserve"> PAGEREF _Toc101328781 \h </w:instrText>
        </w:r>
        <w:r>
          <w:rPr>
            <w:noProof/>
            <w:webHidden/>
          </w:rPr>
        </w:r>
        <w:r>
          <w:rPr>
            <w:noProof/>
            <w:webHidden/>
          </w:rPr>
          <w:fldChar w:fldCharType="separate"/>
        </w:r>
        <w:r>
          <w:rPr>
            <w:noProof/>
            <w:webHidden/>
          </w:rPr>
          <w:t>5</w:t>
        </w:r>
        <w:r>
          <w:rPr>
            <w:noProof/>
            <w:webHidden/>
          </w:rPr>
          <w:fldChar w:fldCharType="end"/>
        </w:r>
      </w:hyperlink>
    </w:p>
    <w:p w14:paraId="3BE72609" w14:textId="662F66FF" w:rsidR="00ED32C4" w:rsidRDefault="00ED32C4">
      <w:pPr>
        <w:pStyle w:val="TM1"/>
        <w:tabs>
          <w:tab w:val="right" w:leader="dot" w:pos="9350"/>
        </w:tabs>
        <w:rPr>
          <w:noProof/>
        </w:rPr>
      </w:pPr>
      <w:hyperlink w:anchor="_Toc101328782" w:history="1">
        <w:r w:rsidRPr="00DC5646">
          <w:rPr>
            <w:rStyle w:val="Lienhypertexte"/>
            <w:noProof/>
          </w:rPr>
          <w:t>Résultats</w:t>
        </w:r>
        <w:r>
          <w:rPr>
            <w:noProof/>
            <w:webHidden/>
          </w:rPr>
          <w:tab/>
        </w:r>
        <w:r>
          <w:rPr>
            <w:noProof/>
            <w:webHidden/>
          </w:rPr>
          <w:fldChar w:fldCharType="begin"/>
        </w:r>
        <w:r>
          <w:rPr>
            <w:noProof/>
            <w:webHidden/>
          </w:rPr>
          <w:instrText xml:space="preserve"> PAGEREF _Toc101328782 \h </w:instrText>
        </w:r>
        <w:r>
          <w:rPr>
            <w:noProof/>
            <w:webHidden/>
          </w:rPr>
        </w:r>
        <w:r>
          <w:rPr>
            <w:noProof/>
            <w:webHidden/>
          </w:rPr>
          <w:fldChar w:fldCharType="separate"/>
        </w:r>
        <w:r>
          <w:rPr>
            <w:noProof/>
            <w:webHidden/>
          </w:rPr>
          <w:t>6</w:t>
        </w:r>
        <w:r>
          <w:rPr>
            <w:noProof/>
            <w:webHidden/>
          </w:rPr>
          <w:fldChar w:fldCharType="end"/>
        </w:r>
      </w:hyperlink>
    </w:p>
    <w:p w14:paraId="2DAAE875" w14:textId="0A4922E5" w:rsidR="00ED32C4" w:rsidRDefault="00ED32C4">
      <w:pPr>
        <w:pStyle w:val="TM2"/>
        <w:tabs>
          <w:tab w:val="right" w:leader="dot" w:pos="9350"/>
        </w:tabs>
        <w:rPr>
          <w:noProof/>
        </w:rPr>
      </w:pPr>
      <w:hyperlink w:anchor="_Toc101328783" w:history="1">
        <w:r w:rsidRPr="00DC5646">
          <w:rPr>
            <w:rStyle w:val="Lienhypertexte"/>
            <w:noProof/>
          </w:rPr>
          <w:t>Participant·e·s</w:t>
        </w:r>
        <w:r>
          <w:rPr>
            <w:noProof/>
            <w:webHidden/>
          </w:rPr>
          <w:tab/>
        </w:r>
        <w:r>
          <w:rPr>
            <w:noProof/>
            <w:webHidden/>
          </w:rPr>
          <w:fldChar w:fldCharType="begin"/>
        </w:r>
        <w:r>
          <w:rPr>
            <w:noProof/>
            <w:webHidden/>
          </w:rPr>
          <w:instrText xml:space="preserve"> PAGEREF _Toc101328783 \h </w:instrText>
        </w:r>
        <w:r>
          <w:rPr>
            <w:noProof/>
            <w:webHidden/>
          </w:rPr>
        </w:r>
        <w:r>
          <w:rPr>
            <w:noProof/>
            <w:webHidden/>
          </w:rPr>
          <w:fldChar w:fldCharType="separate"/>
        </w:r>
        <w:r>
          <w:rPr>
            <w:noProof/>
            <w:webHidden/>
          </w:rPr>
          <w:t>6</w:t>
        </w:r>
        <w:r>
          <w:rPr>
            <w:noProof/>
            <w:webHidden/>
          </w:rPr>
          <w:fldChar w:fldCharType="end"/>
        </w:r>
      </w:hyperlink>
    </w:p>
    <w:p w14:paraId="10A4AB65" w14:textId="13D6DF72" w:rsidR="00ED32C4" w:rsidRDefault="00ED32C4">
      <w:pPr>
        <w:pStyle w:val="TM2"/>
        <w:tabs>
          <w:tab w:val="right" w:leader="dot" w:pos="9350"/>
        </w:tabs>
        <w:rPr>
          <w:noProof/>
        </w:rPr>
      </w:pPr>
      <w:hyperlink w:anchor="_Toc101328784" w:history="1">
        <w:r w:rsidRPr="00DC5646">
          <w:rPr>
            <w:rStyle w:val="Lienhypertexte"/>
            <w:noProof/>
          </w:rPr>
          <w:t>Données subjectives</w:t>
        </w:r>
        <w:r>
          <w:rPr>
            <w:noProof/>
            <w:webHidden/>
          </w:rPr>
          <w:tab/>
        </w:r>
        <w:r>
          <w:rPr>
            <w:noProof/>
            <w:webHidden/>
          </w:rPr>
          <w:fldChar w:fldCharType="begin"/>
        </w:r>
        <w:r>
          <w:rPr>
            <w:noProof/>
            <w:webHidden/>
          </w:rPr>
          <w:instrText xml:space="preserve"> PAGEREF _Toc101328784 \h </w:instrText>
        </w:r>
        <w:r>
          <w:rPr>
            <w:noProof/>
            <w:webHidden/>
          </w:rPr>
        </w:r>
        <w:r>
          <w:rPr>
            <w:noProof/>
            <w:webHidden/>
          </w:rPr>
          <w:fldChar w:fldCharType="separate"/>
        </w:r>
        <w:r>
          <w:rPr>
            <w:noProof/>
            <w:webHidden/>
          </w:rPr>
          <w:t>9</w:t>
        </w:r>
        <w:r>
          <w:rPr>
            <w:noProof/>
            <w:webHidden/>
          </w:rPr>
          <w:fldChar w:fldCharType="end"/>
        </w:r>
      </w:hyperlink>
    </w:p>
    <w:p w14:paraId="185001D5" w14:textId="603B02B2" w:rsidR="00ED32C4" w:rsidRDefault="00ED32C4">
      <w:pPr>
        <w:pStyle w:val="TM2"/>
        <w:tabs>
          <w:tab w:val="right" w:leader="dot" w:pos="9350"/>
        </w:tabs>
        <w:rPr>
          <w:noProof/>
        </w:rPr>
      </w:pPr>
      <w:hyperlink w:anchor="_Toc101328785" w:history="1">
        <w:r w:rsidRPr="00DC5646">
          <w:rPr>
            <w:rStyle w:val="Lienhypertexte"/>
            <w:noProof/>
          </w:rPr>
          <w:t>Données objectives</w:t>
        </w:r>
        <w:r>
          <w:rPr>
            <w:noProof/>
            <w:webHidden/>
          </w:rPr>
          <w:tab/>
        </w:r>
        <w:r>
          <w:rPr>
            <w:noProof/>
            <w:webHidden/>
          </w:rPr>
          <w:fldChar w:fldCharType="begin"/>
        </w:r>
        <w:r>
          <w:rPr>
            <w:noProof/>
            <w:webHidden/>
          </w:rPr>
          <w:instrText xml:space="preserve"> PAGEREF _Toc101328785 \h </w:instrText>
        </w:r>
        <w:r>
          <w:rPr>
            <w:noProof/>
            <w:webHidden/>
          </w:rPr>
        </w:r>
        <w:r>
          <w:rPr>
            <w:noProof/>
            <w:webHidden/>
          </w:rPr>
          <w:fldChar w:fldCharType="separate"/>
        </w:r>
        <w:r>
          <w:rPr>
            <w:noProof/>
            <w:webHidden/>
          </w:rPr>
          <w:t>13</w:t>
        </w:r>
        <w:r>
          <w:rPr>
            <w:noProof/>
            <w:webHidden/>
          </w:rPr>
          <w:fldChar w:fldCharType="end"/>
        </w:r>
      </w:hyperlink>
    </w:p>
    <w:p w14:paraId="50630E70" w14:textId="3AB7AB30" w:rsidR="00ED32C4" w:rsidRDefault="00ED32C4">
      <w:pPr>
        <w:pStyle w:val="TM1"/>
        <w:tabs>
          <w:tab w:val="right" w:leader="dot" w:pos="9350"/>
        </w:tabs>
        <w:rPr>
          <w:noProof/>
        </w:rPr>
      </w:pPr>
      <w:hyperlink w:anchor="_Toc101328786" w:history="1">
        <w:r w:rsidRPr="00DC5646">
          <w:rPr>
            <w:rStyle w:val="Lienhypertexte"/>
            <w:noProof/>
          </w:rPr>
          <w:t>Discussion</w:t>
        </w:r>
        <w:r>
          <w:rPr>
            <w:noProof/>
            <w:webHidden/>
          </w:rPr>
          <w:tab/>
        </w:r>
        <w:r>
          <w:rPr>
            <w:noProof/>
            <w:webHidden/>
          </w:rPr>
          <w:fldChar w:fldCharType="begin"/>
        </w:r>
        <w:r>
          <w:rPr>
            <w:noProof/>
            <w:webHidden/>
          </w:rPr>
          <w:instrText xml:space="preserve"> PAGEREF _Toc101328786 \h </w:instrText>
        </w:r>
        <w:r>
          <w:rPr>
            <w:noProof/>
            <w:webHidden/>
          </w:rPr>
        </w:r>
        <w:r>
          <w:rPr>
            <w:noProof/>
            <w:webHidden/>
          </w:rPr>
          <w:fldChar w:fldCharType="separate"/>
        </w:r>
        <w:r>
          <w:rPr>
            <w:noProof/>
            <w:webHidden/>
          </w:rPr>
          <w:t>13</w:t>
        </w:r>
        <w:r>
          <w:rPr>
            <w:noProof/>
            <w:webHidden/>
          </w:rPr>
          <w:fldChar w:fldCharType="end"/>
        </w:r>
      </w:hyperlink>
    </w:p>
    <w:p w14:paraId="032DB229" w14:textId="11695EF0" w:rsidR="00ED32C4" w:rsidRDefault="00ED32C4">
      <w:pPr>
        <w:pStyle w:val="TM1"/>
        <w:tabs>
          <w:tab w:val="right" w:leader="dot" w:pos="9350"/>
        </w:tabs>
        <w:rPr>
          <w:noProof/>
        </w:rPr>
      </w:pPr>
      <w:hyperlink w:anchor="_Toc101328787" w:history="1">
        <w:r w:rsidRPr="00DC5646">
          <w:rPr>
            <w:rStyle w:val="Lienhypertexte"/>
            <w:noProof/>
          </w:rPr>
          <w:t>Conclusion</w:t>
        </w:r>
        <w:r>
          <w:rPr>
            <w:noProof/>
            <w:webHidden/>
          </w:rPr>
          <w:tab/>
        </w:r>
        <w:r>
          <w:rPr>
            <w:noProof/>
            <w:webHidden/>
          </w:rPr>
          <w:fldChar w:fldCharType="begin"/>
        </w:r>
        <w:r>
          <w:rPr>
            <w:noProof/>
            <w:webHidden/>
          </w:rPr>
          <w:instrText xml:space="preserve"> PAGEREF _Toc101328787 \h </w:instrText>
        </w:r>
        <w:r>
          <w:rPr>
            <w:noProof/>
            <w:webHidden/>
          </w:rPr>
        </w:r>
        <w:r>
          <w:rPr>
            <w:noProof/>
            <w:webHidden/>
          </w:rPr>
          <w:fldChar w:fldCharType="separate"/>
        </w:r>
        <w:r>
          <w:rPr>
            <w:noProof/>
            <w:webHidden/>
          </w:rPr>
          <w:t>14</w:t>
        </w:r>
        <w:r>
          <w:rPr>
            <w:noProof/>
            <w:webHidden/>
          </w:rPr>
          <w:fldChar w:fldCharType="end"/>
        </w:r>
      </w:hyperlink>
    </w:p>
    <w:p w14:paraId="0B188FB6" w14:textId="32975886" w:rsidR="00ED32C4" w:rsidRDefault="00ED32C4">
      <w:pPr>
        <w:pStyle w:val="TM1"/>
        <w:tabs>
          <w:tab w:val="right" w:leader="dot" w:pos="9350"/>
        </w:tabs>
        <w:rPr>
          <w:noProof/>
        </w:rPr>
      </w:pPr>
      <w:hyperlink w:anchor="_Toc101328788" w:history="1">
        <w:r w:rsidRPr="00DC5646">
          <w:rPr>
            <w:rStyle w:val="Lienhypertexte"/>
            <w:noProof/>
          </w:rPr>
          <w:t>Bibliographie</w:t>
        </w:r>
        <w:r>
          <w:rPr>
            <w:noProof/>
            <w:webHidden/>
          </w:rPr>
          <w:tab/>
        </w:r>
        <w:r>
          <w:rPr>
            <w:noProof/>
            <w:webHidden/>
          </w:rPr>
          <w:fldChar w:fldCharType="begin"/>
        </w:r>
        <w:r>
          <w:rPr>
            <w:noProof/>
            <w:webHidden/>
          </w:rPr>
          <w:instrText xml:space="preserve"> PAGEREF _Toc101328788 \h </w:instrText>
        </w:r>
        <w:r>
          <w:rPr>
            <w:noProof/>
            <w:webHidden/>
          </w:rPr>
        </w:r>
        <w:r>
          <w:rPr>
            <w:noProof/>
            <w:webHidden/>
          </w:rPr>
          <w:fldChar w:fldCharType="separate"/>
        </w:r>
        <w:r>
          <w:rPr>
            <w:noProof/>
            <w:webHidden/>
          </w:rPr>
          <w:t>15</w:t>
        </w:r>
        <w:r>
          <w:rPr>
            <w:noProof/>
            <w:webHidden/>
          </w:rPr>
          <w:fldChar w:fldCharType="end"/>
        </w:r>
      </w:hyperlink>
    </w:p>
    <w:p w14:paraId="484DF12A" w14:textId="15D74A81" w:rsidR="00ED32C4" w:rsidRDefault="00ED32C4">
      <w:pPr>
        <w:pStyle w:val="TM1"/>
        <w:tabs>
          <w:tab w:val="right" w:leader="dot" w:pos="9350"/>
        </w:tabs>
        <w:rPr>
          <w:noProof/>
        </w:rPr>
      </w:pPr>
      <w:hyperlink w:anchor="_Toc101328789" w:history="1">
        <w:r w:rsidRPr="00DC5646">
          <w:rPr>
            <w:rStyle w:val="Lienhypertexte"/>
            <w:noProof/>
          </w:rPr>
          <w:t>(PART) Annexes</w:t>
        </w:r>
        <w:r>
          <w:rPr>
            <w:noProof/>
            <w:webHidden/>
          </w:rPr>
          <w:tab/>
        </w:r>
        <w:r>
          <w:rPr>
            <w:noProof/>
            <w:webHidden/>
          </w:rPr>
          <w:fldChar w:fldCharType="begin"/>
        </w:r>
        <w:r>
          <w:rPr>
            <w:noProof/>
            <w:webHidden/>
          </w:rPr>
          <w:instrText xml:space="preserve"> PAGEREF _Toc101328789 \h </w:instrText>
        </w:r>
        <w:r>
          <w:rPr>
            <w:noProof/>
            <w:webHidden/>
          </w:rPr>
        </w:r>
        <w:r>
          <w:rPr>
            <w:noProof/>
            <w:webHidden/>
          </w:rPr>
          <w:fldChar w:fldCharType="separate"/>
        </w:r>
        <w:r>
          <w:rPr>
            <w:noProof/>
            <w:webHidden/>
          </w:rPr>
          <w:t>16</w:t>
        </w:r>
        <w:r>
          <w:rPr>
            <w:noProof/>
            <w:webHidden/>
          </w:rPr>
          <w:fldChar w:fldCharType="end"/>
        </w:r>
      </w:hyperlink>
    </w:p>
    <w:p w14:paraId="7129C3FE" w14:textId="0AE977DA" w:rsidR="00ED32C4" w:rsidRDefault="00ED32C4">
      <w:pPr>
        <w:pStyle w:val="TM1"/>
        <w:tabs>
          <w:tab w:val="right" w:leader="dot" w:pos="9350"/>
        </w:tabs>
        <w:rPr>
          <w:noProof/>
        </w:rPr>
      </w:pPr>
      <w:hyperlink w:anchor="_Toc101328790" w:history="1">
        <w:r w:rsidRPr="00DC5646">
          <w:rPr>
            <w:rStyle w:val="Lienhypertexte"/>
            <w:noProof/>
          </w:rPr>
          <w:t>Guide de codage des données subjectives</w:t>
        </w:r>
        <w:r>
          <w:rPr>
            <w:noProof/>
            <w:webHidden/>
          </w:rPr>
          <w:tab/>
        </w:r>
        <w:r>
          <w:rPr>
            <w:noProof/>
            <w:webHidden/>
          </w:rPr>
          <w:fldChar w:fldCharType="begin"/>
        </w:r>
        <w:r>
          <w:rPr>
            <w:noProof/>
            <w:webHidden/>
          </w:rPr>
          <w:instrText xml:space="preserve"> PAGEREF _Toc101328790 \h </w:instrText>
        </w:r>
        <w:r>
          <w:rPr>
            <w:noProof/>
            <w:webHidden/>
          </w:rPr>
        </w:r>
        <w:r>
          <w:rPr>
            <w:noProof/>
            <w:webHidden/>
          </w:rPr>
          <w:fldChar w:fldCharType="separate"/>
        </w:r>
        <w:r>
          <w:rPr>
            <w:noProof/>
            <w:webHidden/>
          </w:rPr>
          <w:t>16</w:t>
        </w:r>
        <w:r>
          <w:rPr>
            <w:noProof/>
            <w:webHidden/>
          </w:rPr>
          <w:fldChar w:fldCharType="end"/>
        </w:r>
      </w:hyperlink>
    </w:p>
    <w:p w14:paraId="6A50DFD5" w14:textId="7F08A37E" w:rsidR="00ED32C4" w:rsidRDefault="00ED32C4">
      <w:pPr>
        <w:pStyle w:val="TM2"/>
        <w:tabs>
          <w:tab w:val="right" w:leader="dot" w:pos="9350"/>
        </w:tabs>
        <w:rPr>
          <w:noProof/>
        </w:rPr>
      </w:pPr>
      <w:hyperlink w:anchor="_Toc101328791" w:history="1">
        <w:r w:rsidRPr="00DC5646">
          <w:rPr>
            <w:rStyle w:val="Lienhypertexte"/>
            <w:noProof/>
          </w:rPr>
          <w:t>Aspects sociaux</w:t>
        </w:r>
        <w:r>
          <w:rPr>
            <w:noProof/>
            <w:webHidden/>
          </w:rPr>
          <w:tab/>
        </w:r>
        <w:r>
          <w:rPr>
            <w:noProof/>
            <w:webHidden/>
          </w:rPr>
          <w:fldChar w:fldCharType="begin"/>
        </w:r>
        <w:r>
          <w:rPr>
            <w:noProof/>
            <w:webHidden/>
          </w:rPr>
          <w:instrText xml:space="preserve"> PAGEREF _Toc101328791 \h </w:instrText>
        </w:r>
        <w:r>
          <w:rPr>
            <w:noProof/>
            <w:webHidden/>
          </w:rPr>
        </w:r>
        <w:r>
          <w:rPr>
            <w:noProof/>
            <w:webHidden/>
          </w:rPr>
          <w:fldChar w:fldCharType="separate"/>
        </w:r>
        <w:r>
          <w:rPr>
            <w:noProof/>
            <w:webHidden/>
          </w:rPr>
          <w:t>16</w:t>
        </w:r>
        <w:r>
          <w:rPr>
            <w:noProof/>
            <w:webHidden/>
          </w:rPr>
          <w:fldChar w:fldCharType="end"/>
        </w:r>
      </w:hyperlink>
    </w:p>
    <w:p w14:paraId="3BA7D242" w14:textId="6D26DE48" w:rsidR="00ED32C4" w:rsidRDefault="00ED32C4">
      <w:pPr>
        <w:pStyle w:val="TM2"/>
        <w:tabs>
          <w:tab w:val="right" w:leader="dot" w:pos="9350"/>
        </w:tabs>
        <w:rPr>
          <w:noProof/>
        </w:rPr>
      </w:pPr>
      <w:hyperlink w:anchor="_Toc101328792" w:history="1">
        <w:r w:rsidRPr="00DC5646">
          <w:rPr>
            <w:rStyle w:val="Lienhypertexte"/>
            <w:noProof/>
          </w:rPr>
          <w:t>Aspects hormonaux</w:t>
        </w:r>
        <w:r>
          <w:rPr>
            <w:noProof/>
            <w:webHidden/>
          </w:rPr>
          <w:tab/>
        </w:r>
        <w:r>
          <w:rPr>
            <w:noProof/>
            <w:webHidden/>
          </w:rPr>
          <w:fldChar w:fldCharType="begin"/>
        </w:r>
        <w:r>
          <w:rPr>
            <w:noProof/>
            <w:webHidden/>
          </w:rPr>
          <w:instrText xml:space="preserve"> PAGEREF _Toc101328792 \h </w:instrText>
        </w:r>
        <w:r>
          <w:rPr>
            <w:noProof/>
            <w:webHidden/>
          </w:rPr>
        </w:r>
        <w:r>
          <w:rPr>
            <w:noProof/>
            <w:webHidden/>
          </w:rPr>
          <w:fldChar w:fldCharType="separate"/>
        </w:r>
        <w:r>
          <w:rPr>
            <w:noProof/>
            <w:webHidden/>
          </w:rPr>
          <w:t>17</w:t>
        </w:r>
        <w:r>
          <w:rPr>
            <w:noProof/>
            <w:webHidden/>
          </w:rPr>
          <w:fldChar w:fldCharType="end"/>
        </w:r>
      </w:hyperlink>
    </w:p>
    <w:p w14:paraId="303A0CB0" w14:textId="4F074098" w:rsidR="00ED32C4" w:rsidRDefault="00ED32C4">
      <w:pPr>
        <w:pStyle w:val="TM2"/>
        <w:tabs>
          <w:tab w:val="right" w:leader="dot" w:pos="9350"/>
        </w:tabs>
        <w:rPr>
          <w:noProof/>
        </w:rPr>
      </w:pPr>
      <w:hyperlink w:anchor="_Toc101328793" w:history="1">
        <w:r w:rsidRPr="00DC5646">
          <w:rPr>
            <w:rStyle w:val="Lienhypertexte"/>
            <w:noProof/>
          </w:rPr>
          <w:t>Aspects chirurgicaux</w:t>
        </w:r>
        <w:r>
          <w:rPr>
            <w:noProof/>
            <w:webHidden/>
          </w:rPr>
          <w:tab/>
        </w:r>
        <w:r>
          <w:rPr>
            <w:noProof/>
            <w:webHidden/>
          </w:rPr>
          <w:fldChar w:fldCharType="begin"/>
        </w:r>
        <w:r>
          <w:rPr>
            <w:noProof/>
            <w:webHidden/>
          </w:rPr>
          <w:instrText xml:space="preserve"> PAGEREF _Toc101328793 \h </w:instrText>
        </w:r>
        <w:r>
          <w:rPr>
            <w:noProof/>
            <w:webHidden/>
          </w:rPr>
        </w:r>
        <w:r>
          <w:rPr>
            <w:noProof/>
            <w:webHidden/>
          </w:rPr>
          <w:fldChar w:fldCharType="separate"/>
        </w:r>
        <w:r>
          <w:rPr>
            <w:noProof/>
            <w:webHidden/>
          </w:rPr>
          <w:t>17</w:t>
        </w:r>
        <w:r>
          <w:rPr>
            <w:noProof/>
            <w:webHidden/>
          </w:rPr>
          <w:fldChar w:fldCharType="end"/>
        </w:r>
      </w:hyperlink>
    </w:p>
    <w:p w14:paraId="4D514F9B" w14:textId="3E058631" w:rsidR="005D13AA" w:rsidRDefault="00095D23">
      <w:r>
        <w:fldChar w:fldCharType="end"/>
      </w:r>
    </w:p>
    <w:p w14:paraId="4D514F9C" w14:textId="77777777" w:rsidR="005D13AA" w:rsidRDefault="00095D23">
      <w:r>
        <w:br w:type="page"/>
      </w:r>
    </w:p>
    <w:p w14:paraId="4D514F9D" w14:textId="77777777" w:rsidR="005D13AA" w:rsidRDefault="00095D23">
      <w:pPr>
        <w:pStyle w:val="Titre1"/>
      </w:pPr>
      <w:bookmarkStart w:id="6" w:name="part-texte-principal"/>
      <w:bookmarkStart w:id="7" w:name="_Toc101328779"/>
      <w:bookmarkEnd w:id="4"/>
      <w:r>
        <w:t>(PART) Texte principal</w:t>
      </w:r>
      <w:bookmarkEnd w:id="7"/>
    </w:p>
    <w:p w14:paraId="4D514F9E" w14:textId="77777777" w:rsidR="005D13AA" w:rsidRDefault="00095D23">
      <w:pPr>
        <w:pStyle w:val="Titre1"/>
      </w:pPr>
      <w:bookmarkStart w:id="8" w:name="introduction"/>
      <w:bookmarkStart w:id="9" w:name="_Toc101328780"/>
      <w:bookmarkEnd w:id="6"/>
      <w:r>
        <w:t>Introduction</w:t>
      </w:r>
      <w:bookmarkEnd w:id="9"/>
    </w:p>
    <w:p w14:paraId="4D514F9F" w14:textId="77777777" w:rsidR="005D13AA" w:rsidRDefault="00095D23">
      <w:r>
        <w:br w:type="page"/>
      </w:r>
    </w:p>
    <w:p w14:paraId="4D514FA0" w14:textId="77777777" w:rsidR="005D13AA" w:rsidRDefault="00095D23">
      <w:pPr>
        <w:pStyle w:val="Titre1"/>
      </w:pPr>
      <w:bookmarkStart w:id="10" w:name="méthodologie"/>
      <w:bookmarkStart w:id="11" w:name="_Toc101328781"/>
      <w:bookmarkEnd w:id="8"/>
      <w:r>
        <w:t>Méthodologie</w:t>
      </w:r>
      <w:bookmarkEnd w:id="11"/>
    </w:p>
    <w:p w14:paraId="4D514FA1" w14:textId="77777777" w:rsidR="005D13AA" w:rsidRDefault="00095D23">
      <w:r>
        <w:br w:type="page"/>
      </w:r>
    </w:p>
    <w:p w14:paraId="4D514FA2" w14:textId="77777777" w:rsidR="005D13AA" w:rsidRDefault="00095D23">
      <w:pPr>
        <w:pStyle w:val="Titre1"/>
      </w:pPr>
      <w:bookmarkStart w:id="12" w:name="résultats"/>
      <w:bookmarkStart w:id="13" w:name="_Toc101328782"/>
      <w:bookmarkEnd w:id="10"/>
      <w:r>
        <w:t>Résultats</w:t>
      </w:r>
      <w:bookmarkEnd w:id="13"/>
    </w:p>
    <w:p w14:paraId="4D514FA3" w14:textId="77777777" w:rsidR="005D13AA" w:rsidRDefault="00095D23">
      <w:pPr>
        <w:pStyle w:val="Titre2"/>
      </w:pPr>
      <w:bookmarkStart w:id="14" w:name="participantes"/>
      <w:bookmarkStart w:id="15" w:name="_Toc101328783"/>
      <w:r>
        <w:t>Participant·e·s</w:t>
      </w:r>
      <w:bookmarkEnd w:id="15"/>
    </w:p>
    <w:p w14:paraId="4D514FA4" w14:textId="77777777" w:rsidR="005D13AA" w:rsidRDefault="00095D23">
      <w:pPr>
        <w:pStyle w:val="Titre3"/>
      </w:pPr>
      <w:bookmarkStart w:id="16" w:name="éligibilité"/>
      <w:r>
        <w:t>Éligibilité</w:t>
      </w:r>
    </w:p>
    <w:p w14:paraId="4D514FA5" w14:textId="4136FA0C" w:rsidR="005D13AA" w:rsidRDefault="00095D23">
      <w:pPr>
        <w:pStyle w:val="FirstParagraph"/>
      </w:pPr>
      <w:r>
        <w:t>Parmi les 71 patient·e·s que j’ai déjà vu·e·s au moins une fois en consultation dans le but d’initier ou de suivre un THAG, 24 avaient déjà un traitement en place, instauré par une autre personne que moi</w:t>
      </w:r>
      <w:r>
        <w:t xml:space="preserve">. À noter que 3 patient·e·s avaient commencé leur traitement sans supervision médicale, que ce soit en les achetant ailleurs qu’en pharmacie ou en les partageant avec des personnes prenant déjà un THAG. En outre, 10 patient·e·s n’avaient pas encore entamé </w:t>
      </w:r>
      <w:r>
        <w:t>leur THAG au moment où s’est achevée l’étape de sélection des participant·e·s. Enfin, 11 patient·e·s avaient entamé un THAG mais n’avaient pas encore bénéficié d’une prise de sang de contrôle à 3 mois et n’avaient donc qu’un unique point de données. 25 des</w:t>
      </w:r>
      <w:r>
        <w:t xml:space="preserve"> 26 patient·e·s éligibles ont répondu positivement pour que leurs données soient utilisées dans le cadre de ce TFE. La figure </w:t>
      </w:r>
      <w:hyperlink w:anchor="flowchart">
        <w:r>
          <w:fldChar w:fldCharType="begin"/>
        </w:r>
        <w:r>
          <w:instrText xml:space="preserve"> REF flowchart \h</w:instrText>
        </w:r>
        <w:r w:rsidR="00ED32C4">
          <w:fldChar w:fldCharType="separate"/>
        </w:r>
        <w:r w:rsidR="00ED32C4">
          <w:rPr>
            <w:b/>
            <w:noProof/>
          </w:rPr>
          <w:t>1</w:t>
        </w:r>
        <w:r>
          <w:fldChar w:fldCharType="end"/>
        </w:r>
      </w:hyperlink>
      <w:r>
        <w:t xml:space="preserve"> donne une représe</w:t>
      </w:r>
      <w:r>
        <w:t>ntation graphique de ce processus de sélection.</w:t>
      </w:r>
    </w:p>
    <w:p w14:paraId="4D514FA6" w14:textId="77777777" w:rsidR="005D13AA" w:rsidRDefault="00095D23">
      <w:pPr>
        <w:pStyle w:val="Figure"/>
        <w:jc w:val="center"/>
      </w:pPr>
      <w:r>
        <w:rPr>
          <w:noProof/>
        </w:rPr>
        <w:drawing>
          <wp:inline distT="0" distB="0" distL="0" distR="0" wp14:anchorId="4D515052" wp14:editId="4D515053">
            <wp:extent cx="4572000" cy="3657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63500" cy="50800"/>
                    </a:xfrm>
                    <a:prstGeom prst="rect">
                      <a:avLst/>
                    </a:prstGeom>
                    <a:noFill/>
                  </pic:spPr>
                </pic:pic>
              </a:graphicData>
            </a:graphic>
          </wp:inline>
        </w:drawing>
      </w:r>
    </w:p>
    <w:p w14:paraId="4D514FA7" w14:textId="4525CA4C" w:rsidR="005D13AA" w:rsidRDefault="00095D23">
      <w:pPr>
        <w:pStyle w:val="Lgende1"/>
      </w:pPr>
      <w:r>
        <w:rPr>
          <w:b/>
        </w:rPr>
        <w:t xml:space="preserve">Figure </w:t>
      </w:r>
      <w:bookmarkStart w:id="17" w:name="flowchart"/>
      <w:r>
        <w:rPr>
          <w:b/>
        </w:rPr>
        <w:fldChar w:fldCharType="begin"/>
      </w:r>
      <w:r>
        <w:rPr>
          <w:b/>
        </w:rPr>
        <w:instrText>SEQ fig \* Arabic</w:instrText>
      </w:r>
      <w:r w:rsidR="00ED32C4">
        <w:rPr>
          <w:b/>
        </w:rPr>
        <w:fldChar w:fldCharType="separate"/>
      </w:r>
      <w:r w:rsidR="00ED32C4">
        <w:rPr>
          <w:b/>
          <w:noProof/>
        </w:rPr>
        <w:t>1</w:t>
      </w:r>
      <w:r>
        <w:rPr>
          <w:b/>
        </w:rPr>
        <w:fldChar w:fldCharType="end"/>
      </w:r>
      <w:bookmarkEnd w:id="17"/>
      <w:r>
        <w:t>: Diagramme de flux présentant la sélection des patient·e·s pour le TFE</w:t>
      </w:r>
    </w:p>
    <w:p w14:paraId="4D514FA8" w14:textId="77777777" w:rsidR="005D13AA" w:rsidRDefault="00095D23">
      <w:pPr>
        <w:pStyle w:val="Titre3"/>
      </w:pPr>
      <w:bookmarkStart w:id="18" w:name="caractéristiques-démographiques"/>
      <w:bookmarkEnd w:id="16"/>
      <w:r>
        <w:t>Caractéristiques démographiques</w:t>
      </w:r>
    </w:p>
    <w:p w14:paraId="4D514FA9" w14:textId="5C449875" w:rsidR="005D13AA" w:rsidRDefault="00095D23">
      <w:pPr>
        <w:pStyle w:val="FirstParagraph"/>
      </w:pPr>
      <w:r>
        <w:t>L’âge des participants variait entre 17 et 56 ans (âge médian : 23 ans). L’é</w:t>
      </w:r>
      <w:r>
        <w:t>chantillon se composait de 12 femmes transgenres, 8 hommes transgenres, 4 personnes non-binaires transmasculines, et 1 personne non-binaire transféminine. 56% des participant·e·s vivaient dans la Province de Liège. Au niveau du statut mutuelle, 11 particip</w:t>
      </w:r>
      <w:r>
        <w:t>ant·e·s étaient BIM (soit 44% ) et 2 n’étaient pas en ordre de mutuelle. Enfin, au niveau administratif, 52% des participant·e·s avaient modifié leur prénom à l’état-civil et 36% avaient modifié leur marqueur de genre. Toutes ces caractéristiques démograph</w:t>
      </w:r>
      <w:r>
        <w:t xml:space="preserve">iques sont résumées dans le tableau </w:t>
      </w:r>
      <w:hyperlink w:anchor="DemogTab">
        <w:r>
          <w:fldChar w:fldCharType="begin"/>
        </w:r>
        <w:r>
          <w:instrText xml:space="preserve"> REF DemogTab \h</w:instrText>
        </w:r>
        <w:r w:rsidR="00ED32C4">
          <w:fldChar w:fldCharType="separate"/>
        </w:r>
        <w:r w:rsidR="00ED32C4">
          <w:rPr>
            <w:b/>
            <w:noProof/>
          </w:rPr>
          <w:t>1</w:t>
        </w:r>
        <w:r>
          <w:fldChar w:fldCharType="end"/>
        </w:r>
      </w:hyperlink>
      <w:r>
        <w:t>.</w:t>
      </w:r>
    </w:p>
    <w:p w14:paraId="4D514FAA" w14:textId="132052F7" w:rsidR="005D13AA" w:rsidRDefault="00095D23">
      <w:pPr>
        <w:pStyle w:val="Lgende10"/>
      </w:pPr>
      <w:r>
        <w:rPr>
          <w:b/>
        </w:rPr>
        <w:t>Tableau</w:t>
      </w:r>
      <w:bookmarkStart w:id="19" w:name="DemogTab"/>
      <w:r>
        <w:rPr>
          <w:b/>
        </w:rPr>
        <w:fldChar w:fldCharType="begin"/>
      </w:r>
      <w:r>
        <w:rPr>
          <w:b/>
        </w:rPr>
        <w:instrText>SEQ tab \* Arabic</w:instrText>
      </w:r>
      <w:r w:rsidR="00ED32C4">
        <w:rPr>
          <w:b/>
        </w:rPr>
        <w:fldChar w:fldCharType="separate"/>
      </w:r>
      <w:r w:rsidR="00ED32C4">
        <w:rPr>
          <w:b/>
          <w:noProof/>
        </w:rPr>
        <w:t>1</w:t>
      </w:r>
      <w:r>
        <w:rPr>
          <w:b/>
        </w:rPr>
        <w:fldChar w:fldCharType="end"/>
      </w:r>
      <w:bookmarkEnd w:id="19"/>
      <w:r>
        <w:t>: Caractéristiques démographiques des participant·e·s</w:t>
      </w:r>
    </w:p>
    <w:tbl>
      <w:tblPr>
        <w:tblW w:w="0" w:type="auto"/>
        <w:jc w:val="center"/>
        <w:tblLayout w:type="fixed"/>
        <w:tblLook w:val="0420" w:firstRow="1" w:lastRow="0" w:firstColumn="0" w:lastColumn="0" w:noHBand="0" w:noVBand="1"/>
      </w:tblPr>
      <w:tblGrid>
        <w:gridCol w:w="2835"/>
        <w:gridCol w:w="1701"/>
        <w:gridCol w:w="1701"/>
        <w:gridCol w:w="1701"/>
        <w:gridCol w:w="1984"/>
      </w:tblGrid>
      <w:tr w:rsidR="005D13AA" w14:paraId="4D514FB0" w14:textId="77777777">
        <w:trPr>
          <w:cantSplit/>
          <w:tblHeader/>
          <w:jc w:val="center"/>
        </w:trPr>
        <w:tc>
          <w:tcPr>
            <w:tcW w:w="2835" w:type="dxa"/>
            <w:tcBorders>
              <w:top w:val="single" w:sz="20" w:space="0" w:color="60A3BC"/>
              <w:left w:val="single" w:sz="20" w:space="0" w:color="60A3BC"/>
              <w:bottom w:val="single" w:sz="20" w:space="0" w:color="60A3BC"/>
            </w:tcBorders>
            <w:shd w:val="clear" w:color="auto" w:fill="60A3BC"/>
            <w:tcMar>
              <w:top w:w="0" w:type="dxa"/>
              <w:left w:w="0" w:type="dxa"/>
              <w:bottom w:w="0" w:type="dxa"/>
              <w:right w:w="0" w:type="dxa"/>
            </w:tcMar>
            <w:vAlign w:val="center"/>
          </w:tcPr>
          <w:p w14:paraId="4D514FAB" w14:textId="77777777" w:rsidR="005D13AA" w:rsidRDefault="00095D23">
            <w:pPr>
              <w:keepNext/>
              <w:spacing w:before="40" w:after="40" w:line="240" w:lineRule="auto"/>
              <w:ind w:left="100" w:right="100"/>
              <w:jc w:val="left"/>
            </w:pPr>
            <w:r>
              <w:rPr>
                <w:rFonts w:ascii="Lato Bold" w:eastAsia="Lato Bold" w:hAnsi="Lato Bold" w:cs="Lato Bold"/>
                <w:b/>
                <w:color w:val="FFFFFF"/>
                <w:sz w:val="20"/>
                <w:szCs w:val="20"/>
              </w:rPr>
              <w:t>Caractéristiques</w:t>
            </w:r>
          </w:p>
        </w:tc>
        <w:tc>
          <w:tcPr>
            <w:tcW w:w="1701" w:type="dxa"/>
            <w:tcBorders>
              <w:top w:val="single" w:sz="20" w:space="0" w:color="60A3BC"/>
              <w:bottom w:val="single" w:sz="20" w:space="0" w:color="60A3BC"/>
            </w:tcBorders>
            <w:shd w:val="clear" w:color="auto" w:fill="60A3BC"/>
            <w:tcMar>
              <w:top w:w="0" w:type="dxa"/>
              <w:left w:w="0" w:type="dxa"/>
              <w:bottom w:w="0" w:type="dxa"/>
              <w:right w:w="0" w:type="dxa"/>
            </w:tcMar>
            <w:vAlign w:val="center"/>
          </w:tcPr>
          <w:p w14:paraId="4D514FAC" w14:textId="77777777" w:rsidR="005D13AA" w:rsidRDefault="00095D23">
            <w:pPr>
              <w:keepNext/>
              <w:spacing w:before="40" w:after="40" w:line="240" w:lineRule="auto"/>
              <w:ind w:left="100" w:right="100"/>
              <w:jc w:val="center"/>
            </w:pPr>
            <w:r>
              <w:rPr>
                <w:rFonts w:ascii="Lato Bold" w:eastAsia="Lato Bold" w:hAnsi="Lato Bold" w:cs="Lato Bold"/>
                <w:b/>
                <w:color w:val="FFFFFF"/>
                <w:sz w:val="20"/>
                <w:szCs w:val="20"/>
              </w:rPr>
              <w:t>Total, N = 25</w:t>
            </w:r>
          </w:p>
        </w:tc>
        <w:tc>
          <w:tcPr>
            <w:tcW w:w="1701" w:type="dxa"/>
            <w:tcBorders>
              <w:top w:val="single" w:sz="20" w:space="0" w:color="60A3BC"/>
              <w:bottom w:val="single" w:sz="20" w:space="0" w:color="60A3BC"/>
            </w:tcBorders>
            <w:shd w:val="clear" w:color="auto" w:fill="60A3BC"/>
            <w:tcMar>
              <w:top w:w="0" w:type="dxa"/>
              <w:left w:w="0" w:type="dxa"/>
              <w:bottom w:w="0" w:type="dxa"/>
              <w:right w:w="0" w:type="dxa"/>
            </w:tcMar>
            <w:vAlign w:val="center"/>
          </w:tcPr>
          <w:p w14:paraId="4D514FAD" w14:textId="77777777" w:rsidR="005D13AA" w:rsidRDefault="00095D23">
            <w:pPr>
              <w:keepNext/>
              <w:spacing w:before="40" w:after="40" w:line="240" w:lineRule="auto"/>
              <w:ind w:left="100" w:right="100"/>
              <w:jc w:val="center"/>
            </w:pPr>
            <w:r>
              <w:rPr>
                <w:rFonts w:ascii="Lato Bold" w:eastAsia="Lato Bold" w:hAnsi="Lato Bold" w:cs="Lato Bold"/>
                <w:b/>
                <w:color w:val="FFFFFF"/>
                <w:sz w:val="20"/>
                <w:szCs w:val="20"/>
              </w:rPr>
              <w:t>Femme, N = 12</w:t>
            </w:r>
            <w:r>
              <w:rPr>
                <w:rFonts w:ascii="Lato Bold" w:eastAsia="Lato Bold" w:hAnsi="Lato Bold" w:cs="Lato Bold"/>
                <w:b/>
                <w:color w:val="FFFFFF"/>
                <w:sz w:val="20"/>
                <w:szCs w:val="20"/>
                <w:vertAlign w:val="superscript"/>
              </w:rPr>
              <w:t>1</w:t>
            </w:r>
          </w:p>
        </w:tc>
        <w:tc>
          <w:tcPr>
            <w:tcW w:w="1701" w:type="dxa"/>
            <w:tcBorders>
              <w:top w:val="single" w:sz="20" w:space="0" w:color="60A3BC"/>
              <w:bottom w:val="single" w:sz="20" w:space="0" w:color="60A3BC"/>
            </w:tcBorders>
            <w:shd w:val="clear" w:color="auto" w:fill="60A3BC"/>
            <w:tcMar>
              <w:top w:w="0" w:type="dxa"/>
              <w:left w:w="0" w:type="dxa"/>
              <w:bottom w:w="0" w:type="dxa"/>
              <w:right w:w="0" w:type="dxa"/>
            </w:tcMar>
            <w:vAlign w:val="center"/>
          </w:tcPr>
          <w:p w14:paraId="4D514FAE" w14:textId="77777777" w:rsidR="005D13AA" w:rsidRDefault="00095D23">
            <w:pPr>
              <w:keepNext/>
              <w:spacing w:before="40" w:after="40" w:line="240" w:lineRule="auto"/>
              <w:ind w:left="100" w:right="100"/>
              <w:jc w:val="center"/>
            </w:pPr>
            <w:r>
              <w:rPr>
                <w:rFonts w:ascii="Lato Bold" w:eastAsia="Lato Bold" w:hAnsi="Lato Bold" w:cs="Lato Bold"/>
                <w:b/>
                <w:color w:val="FFFFFF"/>
                <w:sz w:val="20"/>
                <w:szCs w:val="20"/>
              </w:rPr>
              <w:t>Homme, N = 8</w:t>
            </w:r>
            <w:r>
              <w:rPr>
                <w:rFonts w:ascii="Lato Bold" w:eastAsia="Lato Bold" w:hAnsi="Lato Bold" w:cs="Lato Bold"/>
                <w:b/>
                <w:color w:val="FFFFFF"/>
                <w:sz w:val="20"/>
                <w:szCs w:val="20"/>
                <w:vertAlign w:val="superscript"/>
              </w:rPr>
              <w:t>1</w:t>
            </w:r>
          </w:p>
        </w:tc>
        <w:tc>
          <w:tcPr>
            <w:tcW w:w="1984" w:type="dxa"/>
            <w:tcBorders>
              <w:top w:val="single" w:sz="20" w:space="0" w:color="60A3BC"/>
              <w:bottom w:val="single" w:sz="20" w:space="0" w:color="60A3BC"/>
              <w:right w:val="single" w:sz="20" w:space="0" w:color="60A3BC"/>
            </w:tcBorders>
            <w:shd w:val="clear" w:color="auto" w:fill="60A3BC"/>
            <w:tcMar>
              <w:top w:w="0" w:type="dxa"/>
              <w:left w:w="0" w:type="dxa"/>
              <w:bottom w:w="0" w:type="dxa"/>
              <w:right w:w="0" w:type="dxa"/>
            </w:tcMar>
            <w:vAlign w:val="center"/>
          </w:tcPr>
          <w:p w14:paraId="4D514FAF" w14:textId="77777777" w:rsidR="005D13AA" w:rsidRDefault="00095D23">
            <w:pPr>
              <w:keepNext/>
              <w:spacing w:before="40" w:after="40" w:line="240" w:lineRule="auto"/>
              <w:ind w:left="100" w:right="100"/>
              <w:jc w:val="center"/>
            </w:pPr>
            <w:r>
              <w:rPr>
                <w:rFonts w:ascii="Lato Bold" w:eastAsia="Lato Bold" w:hAnsi="Lato Bold" w:cs="Lato Bold"/>
                <w:b/>
                <w:color w:val="FFFFFF"/>
                <w:sz w:val="20"/>
                <w:szCs w:val="20"/>
              </w:rPr>
              <w:t>Non-binaire, N = 5</w:t>
            </w:r>
            <w:r>
              <w:rPr>
                <w:rFonts w:ascii="Lato Bold" w:eastAsia="Lato Bold" w:hAnsi="Lato Bold" w:cs="Lato Bold"/>
                <w:b/>
                <w:color w:val="FFFFFF"/>
                <w:sz w:val="20"/>
                <w:szCs w:val="20"/>
                <w:vertAlign w:val="superscript"/>
              </w:rPr>
              <w:t>1</w:t>
            </w:r>
          </w:p>
        </w:tc>
      </w:tr>
      <w:tr w:rsidR="005D13AA" w14:paraId="4D514FB6"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4D514FB1" w14:textId="77777777" w:rsidR="005D13AA" w:rsidRDefault="00095D23">
            <w:pPr>
              <w:keepNext/>
              <w:spacing w:before="100" w:after="100" w:line="240" w:lineRule="auto"/>
              <w:ind w:left="100" w:right="100"/>
              <w:jc w:val="left"/>
            </w:pPr>
            <w:r>
              <w:rPr>
                <w:rFonts w:ascii="Lato Light" w:eastAsia="Lato Light" w:hAnsi="Lato Light" w:cs="Lato Light"/>
                <w:b/>
                <w:color w:val="000000"/>
                <w:sz w:val="20"/>
                <w:szCs w:val="20"/>
              </w:rPr>
              <w:t>Âge</w:t>
            </w:r>
          </w:p>
        </w:tc>
        <w:tc>
          <w:tcPr>
            <w:tcW w:w="1701" w:type="dxa"/>
            <w:shd w:val="clear" w:color="auto" w:fill="FFFFFF"/>
            <w:tcMar>
              <w:top w:w="0" w:type="dxa"/>
              <w:left w:w="0" w:type="dxa"/>
              <w:bottom w:w="0" w:type="dxa"/>
              <w:right w:w="0" w:type="dxa"/>
            </w:tcMar>
            <w:vAlign w:val="center"/>
          </w:tcPr>
          <w:p w14:paraId="4D514FB2" w14:textId="77777777" w:rsidR="005D13AA" w:rsidRDefault="005D13AA">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4D514FB3" w14:textId="77777777" w:rsidR="005D13AA" w:rsidRDefault="005D13AA">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4D514FB4" w14:textId="77777777" w:rsidR="005D13AA" w:rsidRDefault="005D13AA">
            <w:pPr>
              <w:keepNext/>
              <w:spacing w:before="100" w:after="100" w:line="240" w:lineRule="auto"/>
              <w:ind w:left="100" w:right="100"/>
              <w:jc w:val="center"/>
            </w:pPr>
          </w:p>
        </w:tc>
        <w:tc>
          <w:tcPr>
            <w:tcW w:w="1984" w:type="dxa"/>
            <w:tcBorders>
              <w:right w:val="single" w:sz="20" w:space="0" w:color="60A3BC"/>
            </w:tcBorders>
            <w:shd w:val="clear" w:color="auto" w:fill="FFFFFF"/>
            <w:tcMar>
              <w:top w:w="0" w:type="dxa"/>
              <w:left w:w="0" w:type="dxa"/>
              <w:bottom w:w="0" w:type="dxa"/>
              <w:right w:w="0" w:type="dxa"/>
            </w:tcMar>
            <w:vAlign w:val="center"/>
          </w:tcPr>
          <w:p w14:paraId="4D514FB5" w14:textId="77777777" w:rsidR="005D13AA" w:rsidRDefault="005D13AA">
            <w:pPr>
              <w:keepNext/>
              <w:spacing w:before="100" w:after="100" w:line="240" w:lineRule="auto"/>
              <w:ind w:left="100" w:right="100"/>
              <w:jc w:val="center"/>
            </w:pPr>
          </w:p>
        </w:tc>
      </w:tr>
      <w:tr w:rsidR="005D13AA" w14:paraId="4D514FBC"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4D514FB7" w14:textId="77777777" w:rsidR="005D13AA" w:rsidRDefault="00095D23">
            <w:pPr>
              <w:keepNext/>
              <w:spacing w:before="100" w:after="100" w:line="240" w:lineRule="auto"/>
              <w:ind w:left="300" w:right="100"/>
              <w:jc w:val="left"/>
            </w:pPr>
            <w:r>
              <w:rPr>
                <w:rFonts w:ascii="Lato Light" w:eastAsia="Lato Light" w:hAnsi="Lato Light" w:cs="Lato Light"/>
                <w:color w:val="000000"/>
                <w:sz w:val="20"/>
                <w:szCs w:val="20"/>
              </w:rPr>
              <w:t>Médiane</w:t>
            </w:r>
          </w:p>
        </w:tc>
        <w:tc>
          <w:tcPr>
            <w:tcW w:w="1701" w:type="dxa"/>
            <w:shd w:val="clear" w:color="auto" w:fill="FFFFFF"/>
            <w:tcMar>
              <w:top w:w="0" w:type="dxa"/>
              <w:left w:w="0" w:type="dxa"/>
              <w:bottom w:w="0" w:type="dxa"/>
              <w:right w:w="0" w:type="dxa"/>
            </w:tcMar>
            <w:vAlign w:val="center"/>
          </w:tcPr>
          <w:p w14:paraId="4D514FB8" w14:textId="77777777" w:rsidR="005D13AA" w:rsidRDefault="00095D23">
            <w:pPr>
              <w:keepNext/>
              <w:spacing w:before="100" w:after="100" w:line="240" w:lineRule="auto"/>
              <w:ind w:left="100" w:right="100"/>
              <w:jc w:val="center"/>
            </w:pPr>
            <w:r>
              <w:rPr>
                <w:rFonts w:ascii="Lato Light" w:eastAsia="Lato Light" w:hAnsi="Lato Light" w:cs="Lato Light"/>
                <w:b/>
                <w:color w:val="000000"/>
                <w:sz w:val="20"/>
                <w:szCs w:val="20"/>
              </w:rPr>
              <w:t>23</w:t>
            </w:r>
          </w:p>
        </w:tc>
        <w:tc>
          <w:tcPr>
            <w:tcW w:w="1701" w:type="dxa"/>
            <w:shd w:val="clear" w:color="auto" w:fill="FFFFFF"/>
            <w:tcMar>
              <w:top w:w="0" w:type="dxa"/>
              <w:left w:w="0" w:type="dxa"/>
              <w:bottom w:w="0" w:type="dxa"/>
              <w:right w:w="0" w:type="dxa"/>
            </w:tcMar>
            <w:vAlign w:val="center"/>
          </w:tcPr>
          <w:p w14:paraId="4D514FB9" w14:textId="77777777" w:rsidR="005D13AA" w:rsidRDefault="00095D23">
            <w:pPr>
              <w:keepNext/>
              <w:spacing w:before="100" w:after="100" w:line="240" w:lineRule="auto"/>
              <w:ind w:left="100" w:right="100"/>
              <w:jc w:val="center"/>
            </w:pPr>
            <w:r>
              <w:rPr>
                <w:rFonts w:ascii="Lato Light" w:eastAsia="Lato Light" w:hAnsi="Lato Light" w:cs="Lato Light"/>
                <w:color w:val="000000"/>
                <w:sz w:val="20"/>
                <w:szCs w:val="20"/>
              </w:rPr>
              <w:t>22</w:t>
            </w:r>
          </w:p>
        </w:tc>
        <w:tc>
          <w:tcPr>
            <w:tcW w:w="1701" w:type="dxa"/>
            <w:shd w:val="clear" w:color="auto" w:fill="FFFFFF"/>
            <w:tcMar>
              <w:top w:w="0" w:type="dxa"/>
              <w:left w:w="0" w:type="dxa"/>
              <w:bottom w:w="0" w:type="dxa"/>
              <w:right w:w="0" w:type="dxa"/>
            </w:tcMar>
            <w:vAlign w:val="center"/>
          </w:tcPr>
          <w:p w14:paraId="4D514FBA" w14:textId="77777777" w:rsidR="005D13AA" w:rsidRDefault="00095D23">
            <w:pPr>
              <w:keepNext/>
              <w:spacing w:before="100" w:after="100" w:line="240" w:lineRule="auto"/>
              <w:ind w:left="100" w:right="100"/>
              <w:jc w:val="center"/>
            </w:pPr>
            <w:r>
              <w:rPr>
                <w:rFonts w:ascii="Lato Light" w:eastAsia="Lato Light" w:hAnsi="Lato Light" w:cs="Lato Light"/>
                <w:color w:val="000000"/>
                <w:sz w:val="20"/>
                <w:szCs w:val="20"/>
              </w:rPr>
              <w:t>25</w:t>
            </w:r>
          </w:p>
        </w:tc>
        <w:tc>
          <w:tcPr>
            <w:tcW w:w="1984" w:type="dxa"/>
            <w:tcBorders>
              <w:right w:val="single" w:sz="20" w:space="0" w:color="60A3BC"/>
            </w:tcBorders>
            <w:shd w:val="clear" w:color="auto" w:fill="FFFFFF"/>
            <w:tcMar>
              <w:top w:w="0" w:type="dxa"/>
              <w:left w:w="0" w:type="dxa"/>
              <w:bottom w:w="0" w:type="dxa"/>
              <w:right w:w="0" w:type="dxa"/>
            </w:tcMar>
            <w:vAlign w:val="center"/>
          </w:tcPr>
          <w:p w14:paraId="4D514FBB" w14:textId="77777777" w:rsidR="005D13AA" w:rsidRDefault="00095D23">
            <w:pPr>
              <w:keepNext/>
              <w:spacing w:before="100" w:after="100" w:line="240" w:lineRule="auto"/>
              <w:ind w:left="100" w:right="100"/>
              <w:jc w:val="center"/>
            </w:pPr>
            <w:r>
              <w:rPr>
                <w:rFonts w:ascii="Lato Light" w:eastAsia="Lato Light" w:hAnsi="Lato Light" w:cs="Lato Light"/>
                <w:color w:val="000000"/>
                <w:sz w:val="20"/>
                <w:szCs w:val="20"/>
              </w:rPr>
              <w:t>21</w:t>
            </w:r>
          </w:p>
        </w:tc>
      </w:tr>
      <w:tr w:rsidR="005D13AA" w14:paraId="4D514FC2"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4D514FBD" w14:textId="77777777" w:rsidR="005D13AA" w:rsidRDefault="00095D23">
            <w:pPr>
              <w:keepNext/>
              <w:spacing w:before="100" w:after="100" w:line="240" w:lineRule="auto"/>
              <w:ind w:left="300" w:right="100"/>
              <w:jc w:val="left"/>
            </w:pPr>
            <w:r>
              <w:rPr>
                <w:rFonts w:ascii="Lato Light" w:eastAsia="Lato Light" w:hAnsi="Lato Light" w:cs="Lato Light"/>
                <w:color w:val="000000"/>
                <w:sz w:val="20"/>
                <w:szCs w:val="20"/>
              </w:rPr>
              <w:t>Minimum - Maximum</w:t>
            </w:r>
          </w:p>
        </w:tc>
        <w:tc>
          <w:tcPr>
            <w:tcW w:w="1701" w:type="dxa"/>
            <w:shd w:val="clear" w:color="auto" w:fill="FFFFFF"/>
            <w:tcMar>
              <w:top w:w="0" w:type="dxa"/>
              <w:left w:w="0" w:type="dxa"/>
              <w:bottom w:w="0" w:type="dxa"/>
              <w:right w:w="0" w:type="dxa"/>
            </w:tcMar>
            <w:vAlign w:val="center"/>
          </w:tcPr>
          <w:p w14:paraId="4D514FBE" w14:textId="77777777" w:rsidR="005D13AA" w:rsidRDefault="00095D23">
            <w:pPr>
              <w:keepNext/>
              <w:spacing w:before="100" w:after="100" w:line="240" w:lineRule="auto"/>
              <w:ind w:left="100" w:right="100"/>
              <w:jc w:val="center"/>
            </w:pPr>
            <w:r>
              <w:rPr>
                <w:rFonts w:ascii="Lato Light" w:eastAsia="Lato Light" w:hAnsi="Lato Light" w:cs="Lato Light"/>
                <w:b/>
                <w:color w:val="000000"/>
                <w:sz w:val="20"/>
                <w:szCs w:val="20"/>
              </w:rPr>
              <w:t>[17 - 56]</w:t>
            </w:r>
          </w:p>
        </w:tc>
        <w:tc>
          <w:tcPr>
            <w:tcW w:w="1701" w:type="dxa"/>
            <w:shd w:val="clear" w:color="auto" w:fill="FFFFFF"/>
            <w:tcMar>
              <w:top w:w="0" w:type="dxa"/>
              <w:left w:w="0" w:type="dxa"/>
              <w:bottom w:w="0" w:type="dxa"/>
              <w:right w:w="0" w:type="dxa"/>
            </w:tcMar>
            <w:vAlign w:val="center"/>
          </w:tcPr>
          <w:p w14:paraId="4D514FBF" w14:textId="77777777" w:rsidR="005D13AA" w:rsidRDefault="00095D23">
            <w:pPr>
              <w:keepNext/>
              <w:spacing w:before="100" w:after="100" w:line="240" w:lineRule="auto"/>
              <w:ind w:left="100" w:right="100"/>
              <w:jc w:val="center"/>
            </w:pPr>
            <w:r>
              <w:rPr>
                <w:rFonts w:ascii="Lato Light" w:eastAsia="Lato Light" w:hAnsi="Lato Light" w:cs="Lato Light"/>
                <w:color w:val="000000"/>
                <w:sz w:val="20"/>
                <w:szCs w:val="20"/>
              </w:rPr>
              <w:t>[18 - 56]</w:t>
            </w:r>
          </w:p>
        </w:tc>
        <w:tc>
          <w:tcPr>
            <w:tcW w:w="1701" w:type="dxa"/>
            <w:shd w:val="clear" w:color="auto" w:fill="FFFFFF"/>
            <w:tcMar>
              <w:top w:w="0" w:type="dxa"/>
              <w:left w:w="0" w:type="dxa"/>
              <w:bottom w:w="0" w:type="dxa"/>
              <w:right w:w="0" w:type="dxa"/>
            </w:tcMar>
            <w:vAlign w:val="center"/>
          </w:tcPr>
          <w:p w14:paraId="4D514FC0" w14:textId="77777777" w:rsidR="005D13AA" w:rsidRDefault="00095D23">
            <w:pPr>
              <w:keepNext/>
              <w:spacing w:before="100" w:after="100" w:line="240" w:lineRule="auto"/>
              <w:ind w:left="100" w:right="100"/>
              <w:jc w:val="center"/>
            </w:pPr>
            <w:r>
              <w:rPr>
                <w:rFonts w:ascii="Lato Light" w:eastAsia="Lato Light" w:hAnsi="Lato Light" w:cs="Lato Light"/>
                <w:color w:val="000000"/>
                <w:sz w:val="20"/>
                <w:szCs w:val="20"/>
              </w:rPr>
              <w:t>[17 - 49]</w:t>
            </w:r>
          </w:p>
        </w:tc>
        <w:tc>
          <w:tcPr>
            <w:tcW w:w="1984" w:type="dxa"/>
            <w:tcBorders>
              <w:right w:val="single" w:sz="20" w:space="0" w:color="60A3BC"/>
            </w:tcBorders>
            <w:shd w:val="clear" w:color="auto" w:fill="FFFFFF"/>
            <w:tcMar>
              <w:top w:w="0" w:type="dxa"/>
              <w:left w:w="0" w:type="dxa"/>
              <w:bottom w:w="0" w:type="dxa"/>
              <w:right w:w="0" w:type="dxa"/>
            </w:tcMar>
            <w:vAlign w:val="center"/>
          </w:tcPr>
          <w:p w14:paraId="4D514FC1" w14:textId="77777777" w:rsidR="005D13AA" w:rsidRDefault="00095D23">
            <w:pPr>
              <w:keepNext/>
              <w:spacing w:before="100" w:after="100" w:line="240" w:lineRule="auto"/>
              <w:ind w:left="100" w:right="100"/>
              <w:jc w:val="center"/>
            </w:pPr>
            <w:r>
              <w:rPr>
                <w:rFonts w:ascii="Lato Light" w:eastAsia="Lato Light" w:hAnsi="Lato Light" w:cs="Lato Light"/>
                <w:color w:val="000000"/>
                <w:sz w:val="20"/>
                <w:szCs w:val="20"/>
              </w:rPr>
              <w:t>[18 - 32]</w:t>
            </w:r>
          </w:p>
        </w:tc>
      </w:tr>
      <w:tr w:rsidR="005D13AA" w14:paraId="4D514FC8"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4D514FC3" w14:textId="77777777" w:rsidR="005D13AA" w:rsidRDefault="00095D23">
            <w:pPr>
              <w:keepNext/>
              <w:spacing w:before="100" w:after="100" w:line="240" w:lineRule="auto"/>
              <w:ind w:left="100" w:right="100"/>
              <w:jc w:val="left"/>
            </w:pPr>
            <w:r>
              <w:rPr>
                <w:rFonts w:ascii="Lato Light" w:eastAsia="Lato Light" w:hAnsi="Lato Light" w:cs="Lato Light"/>
                <w:b/>
                <w:color w:val="000000"/>
                <w:sz w:val="20"/>
                <w:szCs w:val="20"/>
              </w:rPr>
              <w:t>Province</w:t>
            </w:r>
          </w:p>
        </w:tc>
        <w:tc>
          <w:tcPr>
            <w:tcW w:w="1701" w:type="dxa"/>
            <w:shd w:val="clear" w:color="auto" w:fill="FFFFFF"/>
            <w:tcMar>
              <w:top w:w="0" w:type="dxa"/>
              <w:left w:w="0" w:type="dxa"/>
              <w:bottom w:w="0" w:type="dxa"/>
              <w:right w:w="0" w:type="dxa"/>
            </w:tcMar>
            <w:vAlign w:val="center"/>
          </w:tcPr>
          <w:p w14:paraId="4D514FC4" w14:textId="77777777" w:rsidR="005D13AA" w:rsidRDefault="005D13AA">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4D514FC5" w14:textId="77777777" w:rsidR="005D13AA" w:rsidRDefault="005D13AA">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4D514FC6" w14:textId="77777777" w:rsidR="005D13AA" w:rsidRDefault="005D13AA">
            <w:pPr>
              <w:keepNext/>
              <w:spacing w:before="100" w:after="100" w:line="240" w:lineRule="auto"/>
              <w:ind w:left="100" w:right="100"/>
              <w:jc w:val="center"/>
            </w:pPr>
          </w:p>
        </w:tc>
        <w:tc>
          <w:tcPr>
            <w:tcW w:w="1984" w:type="dxa"/>
            <w:tcBorders>
              <w:right w:val="single" w:sz="20" w:space="0" w:color="60A3BC"/>
            </w:tcBorders>
            <w:shd w:val="clear" w:color="auto" w:fill="FFFFFF"/>
            <w:tcMar>
              <w:top w:w="0" w:type="dxa"/>
              <w:left w:w="0" w:type="dxa"/>
              <w:bottom w:w="0" w:type="dxa"/>
              <w:right w:w="0" w:type="dxa"/>
            </w:tcMar>
            <w:vAlign w:val="center"/>
          </w:tcPr>
          <w:p w14:paraId="4D514FC7" w14:textId="77777777" w:rsidR="005D13AA" w:rsidRDefault="005D13AA">
            <w:pPr>
              <w:keepNext/>
              <w:spacing w:before="100" w:after="100" w:line="240" w:lineRule="auto"/>
              <w:ind w:left="100" w:right="100"/>
              <w:jc w:val="center"/>
            </w:pPr>
          </w:p>
        </w:tc>
      </w:tr>
      <w:tr w:rsidR="005D13AA" w14:paraId="4D514FCE"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4D514FC9" w14:textId="77777777" w:rsidR="005D13AA" w:rsidRDefault="00095D23">
            <w:pPr>
              <w:keepNext/>
              <w:spacing w:before="100" w:after="100" w:line="240" w:lineRule="auto"/>
              <w:ind w:left="300" w:right="100"/>
              <w:jc w:val="left"/>
            </w:pPr>
            <w:r>
              <w:rPr>
                <w:rFonts w:ascii="Lato Light" w:eastAsia="Lato Light" w:hAnsi="Lato Light" w:cs="Lato Light"/>
                <w:color w:val="000000"/>
                <w:sz w:val="20"/>
                <w:szCs w:val="20"/>
              </w:rPr>
              <w:t>Liège</w:t>
            </w:r>
          </w:p>
        </w:tc>
        <w:tc>
          <w:tcPr>
            <w:tcW w:w="1701" w:type="dxa"/>
            <w:shd w:val="clear" w:color="auto" w:fill="FFFFFF"/>
            <w:tcMar>
              <w:top w:w="0" w:type="dxa"/>
              <w:left w:w="0" w:type="dxa"/>
              <w:bottom w:w="0" w:type="dxa"/>
              <w:right w:w="0" w:type="dxa"/>
            </w:tcMar>
            <w:vAlign w:val="center"/>
          </w:tcPr>
          <w:p w14:paraId="4D514FCA" w14:textId="77777777" w:rsidR="005D13AA" w:rsidRDefault="00095D23">
            <w:pPr>
              <w:keepNext/>
              <w:spacing w:before="100" w:after="100" w:line="240" w:lineRule="auto"/>
              <w:ind w:left="100" w:right="100"/>
              <w:jc w:val="center"/>
            </w:pPr>
            <w:r>
              <w:rPr>
                <w:rFonts w:ascii="Lato Light" w:eastAsia="Lato Light" w:hAnsi="Lato Light" w:cs="Lato Light"/>
                <w:b/>
                <w:color w:val="000000"/>
                <w:sz w:val="20"/>
                <w:szCs w:val="20"/>
              </w:rPr>
              <w:t>14 (56%)</w:t>
            </w:r>
          </w:p>
        </w:tc>
        <w:tc>
          <w:tcPr>
            <w:tcW w:w="1701" w:type="dxa"/>
            <w:shd w:val="clear" w:color="auto" w:fill="FFFFFF"/>
            <w:tcMar>
              <w:top w:w="0" w:type="dxa"/>
              <w:left w:w="0" w:type="dxa"/>
              <w:bottom w:w="0" w:type="dxa"/>
              <w:right w:w="0" w:type="dxa"/>
            </w:tcMar>
            <w:vAlign w:val="center"/>
          </w:tcPr>
          <w:p w14:paraId="4D514FCB" w14:textId="77777777" w:rsidR="005D13AA" w:rsidRDefault="00095D23">
            <w:pPr>
              <w:keepNext/>
              <w:spacing w:before="100" w:after="100" w:line="240" w:lineRule="auto"/>
              <w:ind w:left="100" w:right="100"/>
              <w:jc w:val="center"/>
            </w:pPr>
            <w:r>
              <w:rPr>
                <w:rFonts w:ascii="Lato Light" w:eastAsia="Lato Light" w:hAnsi="Lato Light" w:cs="Lato Light"/>
                <w:color w:val="000000"/>
                <w:sz w:val="20"/>
                <w:szCs w:val="20"/>
              </w:rPr>
              <w:t>5 (42%)</w:t>
            </w:r>
          </w:p>
        </w:tc>
        <w:tc>
          <w:tcPr>
            <w:tcW w:w="1701" w:type="dxa"/>
            <w:shd w:val="clear" w:color="auto" w:fill="FFFFFF"/>
            <w:tcMar>
              <w:top w:w="0" w:type="dxa"/>
              <w:left w:w="0" w:type="dxa"/>
              <w:bottom w:w="0" w:type="dxa"/>
              <w:right w:w="0" w:type="dxa"/>
            </w:tcMar>
            <w:vAlign w:val="center"/>
          </w:tcPr>
          <w:p w14:paraId="4D514FCC" w14:textId="77777777" w:rsidR="005D13AA" w:rsidRDefault="00095D23">
            <w:pPr>
              <w:keepNext/>
              <w:spacing w:before="100" w:after="100" w:line="240" w:lineRule="auto"/>
              <w:ind w:left="100" w:right="100"/>
              <w:jc w:val="center"/>
            </w:pPr>
            <w:r>
              <w:rPr>
                <w:rFonts w:ascii="Lato Light" w:eastAsia="Lato Light" w:hAnsi="Lato Light" w:cs="Lato Light"/>
                <w:color w:val="000000"/>
                <w:sz w:val="20"/>
                <w:szCs w:val="20"/>
              </w:rPr>
              <w:t>5 (62%)</w:t>
            </w:r>
          </w:p>
        </w:tc>
        <w:tc>
          <w:tcPr>
            <w:tcW w:w="1984" w:type="dxa"/>
            <w:tcBorders>
              <w:right w:val="single" w:sz="20" w:space="0" w:color="60A3BC"/>
            </w:tcBorders>
            <w:shd w:val="clear" w:color="auto" w:fill="FFFFFF"/>
            <w:tcMar>
              <w:top w:w="0" w:type="dxa"/>
              <w:left w:w="0" w:type="dxa"/>
              <w:bottom w:w="0" w:type="dxa"/>
              <w:right w:w="0" w:type="dxa"/>
            </w:tcMar>
            <w:vAlign w:val="center"/>
          </w:tcPr>
          <w:p w14:paraId="4D514FCD" w14:textId="77777777" w:rsidR="005D13AA" w:rsidRDefault="00095D23">
            <w:pPr>
              <w:keepNext/>
              <w:spacing w:before="100" w:after="100" w:line="240" w:lineRule="auto"/>
              <w:ind w:left="100" w:right="100"/>
              <w:jc w:val="center"/>
            </w:pPr>
            <w:r>
              <w:rPr>
                <w:rFonts w:ascii="Lato Light" w:eastAsia="Lato Light" w:hAnsi="Lato Light" w:cs="Lato Light"/>
                <w:color w:val="000000"/>
                <w:sz w:val="20"/>
                <w:szCs w:val="20"/>
              </w:rPr>
              <w:t>4 (80%)</w:t>
            </w:r>
          </w:p>
        </w:tc>
      </w:tr>
      <w:tr w:rsidR="005D13AA" w14:paraId="4D514FD4"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4D514FCF" w14:textId="77777777" w:rsidR="005D13AA" w:rsidRDefault="00095D23">
            <w:pPr>
              <w:keepNext/>
              <w:spacing w:before="100" w:after="100" w:line="240" w:lineRule="auto"/>
              <w:ind w:left="300" w:right="100"/>
              <w:jc w:val="left"/>
            </w:pPr>
            <w:r>
              <w:rPr>
                <w:rFonts w:ascii="Lato Light" w:eastAsia="Lato Light" w:hAnsi="Lato Light" w:cs="Lato Light"/>
                <w:color w:val="000000"/>
                <w:sz w:val="20"/>
                <w:szCs w:val="20"/>
              </w:rPr>
              <w:t>Autre</w:t>
            </w:r>
          </w:p>
        </w:tc>
        <w:tc>
          <w:tcPr>
            <w:tcW w:w="1701" w:type="dxa"/>
            <w:shd w:val="clear" w:color="auto" w:fill="FFFFFF"/>
            <w:tcMar>
              <w:top w:w="0" w:type="dxa"/>
              <w:left w:w="0" w:type="dxa"/>
              <w:bottom w:w="0" w:type="dxa"/>
              <w:right w:w="0" w:type="dxa"/>
            </w:tcMar>
            <w:vAlign w:val="center"/>
          </w:tcPr>
          <w:p w14:paraId="4D514FD0" w14:textId="77777777" w:rsidR="005D13AA" w:rsidRDefault="00095D23">
            <w:pPr>
              <w:keepNext/>
              <w:spacing w:before="100" w:after="100" w:line="240" w:lineRule="auto"/>
              <w:ind w:left="100" w:right="100"/>
              <w:jc w:val="center"/>
            </w:pPr>
            <w:r>
              <w:rPr>
                <w:rFonts w:ascii="Lato Light" w:eastAsia="Lato Light" w:hAnsi="Lato Light" w:cs="Lato Light"/>
                <w:b/>
                <w:color w:val="000000"/>
                <w:sz w:val="20"/>
                <w:szCs w:val="20"/>
              </w:rPr>
              <w:t>11 (44%)</w:t>
            </w:r>
          </w:p>
        </w:tc>
        <w:tc>
          <w:tcPr>
            <w:tcW w:w="1701" w:type="dxa"/>
            <w:shd w:val="clear" w:color="auto" w:fill="FFFFFF"/>
            <w:tcMar>
              <w:top w:w="0" w:type="dxa"/>
              <w:left w:w="0" w:type="dxa"/>
              <w:bottom w:w="0" w:type="dxa"/>
              <w:right w:w="0" w:type="dxa"/>
            </w:tcMar>
            <w:vAlign w:val="center"/>
          </w:tcPr>
          <w:p w14:paraId="4D514FD1" w14:textId="77777777" w:rsidR="005D13AA" w:rsidRDefault="00095D23">
            <w:pPr>
              <w:keepNext/>
              <w:spacing w:before="100" w:after="100" w:line="240" w:lineRule="auto"/>
              <w:ind w:left="100" w:right="100"/>
              <w:jc w:val="center"/>
            </w:pPr>
            <w:r>
              <w:rPr>
                <w:rFonts w:ascii="Lato Light" w:eastAsia="Lato Light" w:hAnsi="Lato Light" w:cs="Lato Light"/>
                <w:color w:val="000000"/>
                <w:sz w:val="20"/>
                <w:szCs w:val="20"/>
              </w:rPr>
              <w:t>7 (58%)</w:t>
            </w:r>
          </w:p>
        </w:tc>
        <w:tc>
          <w:tcPr>
            <w:tcW w:w="1701" w:type="dxa"/>
            <w:shd w:val="clear" w:color="auto" w:fill="FFFFFF"/>
            <w:tcMar>
              <w:top w:w="0" w:type="dxa"/>
              <w:left w:w="0" w:type="dxa"/>
              <w:bottom w:w="0" w:type="dxa"/>
              <w:right w:w="0" w:type="dxa"/>
            </w:tcMar>
            <w:vAlign w:val="center"/>
          </w:tcPr>
          <w:p w14:paraId="4D514FD2" w14:textId="77777777" w:rsidR="005D13AA" w:rsidRDefault="00095D23">
            <w:pPr>
              <w:keepNext/>
              <w:spacing w:before="100" w:after="100" w:line="240" w:lineRule="auto"/>
              <w:ind w:left="100" w:right="100"/>
              <w:jc w:val="center"/>
            </w:pPr>
            <w:r>
              <w:rPr>
                <w:rFonts w:ascii="Lato Light" w:eastAsia="Lato Light" w:hAnsi="Lato Light" w:cs="Lato Light"/>
                <w:color w:val="000000"/>
                <w:sz w:val="20"/>
                <w:szCs w:val="20"/>
              </w:rPr>
              <w:t>3 (38%)</w:t>
            </w:r>
          </w:p>
        </w:tc>
        <w:tc>
          <w:tcPr>
            <w:tcW w:w="1984" w:type="dxa"/>
            <w:tcBorders>
              <w:right w:val="single" w:sz="20" w:space="0" w:color="60A3BC"/>
            </w:tcBorders>
            <w:shd w:val="clear" w:color="auto" w:fill="FFFFFF"/>
            <w:tcMar>
              <w:top w:w="0" w:type="dxa"/>
              <w:left w:w="0" w:type="dxa"/>
              <w:bottom w:w="0" w:type="dxa"/>
              <w:right w:w="0" w:type="dxa"/>
            </w:tcMar>
            <w:vAlign w:val="center"/>
          </w:tcPr>
          <w:p w14:paraId="4D514FD3" w14:textId="77777777" w:rsidR="005D13AA" w:rsidRDefault="00095D23">
            <w:pPr>
              <w:keepNext/>
              <w:spacing w:before="100" w:after="100" w:line="240" w:lineRule="auto"/>
              <w:ind w:left="100" w:right="100"/>
              <w:jc w:val="center"/>
            </w:pPr>
            <w:r>
              <w:rPr>
                <w:rFonts w:ascii="Lato Light" w:eastAsia="Lato Light" w:hAnsi="Lato Light" w:cs="Lato Light"/>
                <w:color w:val="000000"/>
                <w:sz w:val="20"/>
                <w:szCs w:val="20"/>
              </w:rPr>
              <w:t>1 (20%)</w:t>
            </w:r>
          </w:p>
        </w:tc>
      </w:tr>
      <w:tr w:rsidR="005D13AA" w14:paraId="4D514FDA"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4D514FD5" w14:textId="77777777" w:rsidR="005D13AA" w:rsidRDefault="00095D23">
            <w:pPr>
              <w:keepNext/>
              <w:spacing w:before="100" w:after="100" w:line="240" w:lineRule="auto"/>
              <w:ind w:left="100" w:right="100"/>
              <w:jc w:val="left"/>
            </w:pPr>
            <w:r>
              <w:rPr>
                <w:rFonts w:ascii="Lato Light" w:eastAsia="Lato Light" w:hAnsi="Lato Light" w:cs="Lato Light"/>
                <w:b/>
                <w:color w:val="000000"/>
                <w:sz w:val="20"/>
                <w:szCs w:val="20"/>
              </w:rPr>
              <w:t>Sexes</w:t>
            </w:r>
          </w:p>
        </w:tc>
        <w:tc>
          <w:tcPr>
            <w:tcW w:w="1701" w:type="dxa"/>
            <w:shd w:val="clear" w:color="auto" w:fill="FFFFFF"/>
            <w:tcMar>
              <w:top w:w="0" w:type="dxa"/>
              <w:left w:w="0" w:type="dxa"/>
              <w:bottom w:w="0" w:type="dxa"/>
              <w:right w:w="0" w:type="dxa"/>
            </w:tcMar>
            <w:vAlign w:val="center"/>
          </w:tcPr>
          <w:p w14:paraId="4D514FD6" w14:textId="77777777" w:rsidR="005D13AA" w:rsidRDefault="005D13AA">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4D514FD7" w14:textId="77777777" w:rsidR="005D13AA" w:rsidRDefault="005D13AA">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4D514FD8" w14:textId="77777777" w:rsidR="005D13AA" w:rsidRDefault="005D13AA">
            <w:pPr>
              <w:keepNext/>
              <w:spacing w:before="100" w:after="100" w:line="240" w:lineRule="auto"/>
              <w:ind w:left="100" w:right="100"/>
              <w:jc w:val="center"/>
            </w:pPr>
          </w:p>
        </w:tc>
        <w:tc>
          <w:tcPr>
            <w:tcW w:w="1984" w:type="dxa"/>
            <w:tcBorders>
              <w:right w:val="single" w:sz="20" w:space="0" w:color="60A3BC"/>
            </w:tcBorders>
            <w:shd w:val="clear" w:color="auto" w:fill="FFFFFF"/>
            <w:tcMar>
              <w:top w:w="0" w:type="dxa"/>
              <w:left w:w="0" w:type="dxa"/>
              <w:bottom w:w="0" w:type="dxa"/>
              <w:right w:w="0" w:type="dxa"/>
            </w:tcMar>
            <w:vAlign w:val="center"/>
          </w:tcPr>
          <w:p w14:paraId="4D514FD9" w14:textId="77777777" w:rsidR="005D13AA" w:rsidRDefault="005D13AA">
            <w:pPr>
              <w:keepNext/>
              <w:spacing w:before="100" w:after="100" w:line="240" w:lineRule="auto"/>
              <w:ind w:left="100" w:right="100"/>
              <w:jc w:val="center"/>
            </w:pPr>
          </w:p>
        </w:tc>
      </w:tr>
      <w:tr w:rsidR="005D13AA" w14:paraId="4D514FE0"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4D514FDB" w14:textId="77777777" w:rsidR="005D13AA" w:rsidRDefault="00095D23">
            <w:pPr>
              <w:keepNext/>
              <w:spacing w:before="100" w:after="100" w:line="240" w:lineRule="auto"/>
              <w:ind w:left="300" w:right="100"/>
              <w:jc w:val="left"/>
            </w:pPr>
            <w:r>
              <w:rPr>
                <w:rFonts w:ascii="Lato Light" w:eastAsia="Lato Light" w:hAnsi="Lato Light" w:cs="Lato Light"/>
                <w:color w:val="000000"/>
                <w:sz w:val="20"/>
                <w:szCs w:val="20"/>
              </w:rPr>
              <w:t>Femelle</w:t>
            </w:r>
          </w:p>
        </w:tc>
        <w:tc>
          <w:tcPr>
            <w:tcW w:w="1701" w:type="dxa"/>
            <w:shd w:val="clear" w:color="auto" w:fill="FFFFFF"/>
            <w:tcMar>
              <w:top w:w="0" w:type="dxa"/>
              <w:left w:w="0" w:type="dxa"/>
              <w:bottom w:w="0" w:type="dxa"/>
              <w:right w:w="0" w:type="dxa"/>
            </w:tcMar>
            <w:vAlign w:val="center"/>
          </w:tcPr>
          <w:p w14:paraId="4D514FDC" w14:textId="77777777" w:rsidR="005D13AA" w:rsidRDefault="00095D23">
            <w:pPr>
              <w:keepNext/>
              <w:spacing w:before="100" w:after="100" w:line="240" w:lineRule="auto"/>
              <w:ind w:left="100" w:right="100"/>
              <w:jc w:val="center"/>
            </w:pPr>
            <w:r>
              <w:rPr>
                <w:rFonts w:ascii="Lato Light" w:eastAsia="Lato Light" w:hAnsi="Lato Light" w:cs="Lato Light"/>
                <w:b/>
                <w:color w:val="000000"/>
                <w:sz w:val="20"/>
                <w:szCs w:val="20"/>
              </w:rPr>
              <w:t>12 (48%)</w:t>
            </w:r>
          </w:p>
        </w:tc>
        <w:tc>
          <w:tcPr>
            <w:tcW w:w="1701" w:type="dxa"/>
            <w:shd w:val="clear" w:color="auto" w:fill="FFFFFF"/>
            <w:tcMar>
              <w:top w:w="0" w:type="dxa"/>
              <w:left w:w="0" w:type="dxa"/>
              <w:bottom w:w="0" w:type="dxa"/>
              <w:right w:w="0" w:type="dxa"/>
            </w:tcMar>
            <w:vAlign w:val="center"/>
          </w:tcPr>
          <w:p w14:paraId="4D514FDD" w14:textId="77777777" w:rsidR="005D13AA" w:rsidRDefault="00095D23">
            <w:pPr>
              <w:keepNext/>
              <w:spacing w:before="100" w:after="100" w:line="240" w:lineRule="auto"/>
              <w:ind w:left="100" w:right="100"/>
              <w:jc w:val="center"/>
            </w:pPr>
            <w:r>
              <w:rPr>
                <w:rFonts w:ascii="Lato Light" w:eastAsia="Lato Light" w:hAnsi="Lato Light" w:cs="Lato Light"/>
                <w:color w:val="000000"/>
                <w:sz w:val="20"/>
                <w:szCs w:val="20"/>
              </w:rPr>
              <w:t>0 (0%)</w:t>
            </w:r>
          </w:p>
        </w:tc>
        <w:tc>
          <w:tcPr>
            <w:tcW w:w="1701" w:type="dxa"/>
            <w:shd w:val="clear" w:color="auto" w:fill="FFFFFF"/>
            <w:tcMar>
              <w:top w:w="0" w:type="dxa"/>
              <w:left w:w="0" w:type="dxa"/>
              <w:bottom w:w="0" w:type="dxa"/>
              <w:right w:w="0" w:type="dxa"/>
            </w:tcMar>
            <w:vAlign w:val="center"/>
          </w:tcPr>
          <w:p w14:paraId="4D514FDE" w14:textId="77777777" w:rsidR="005D13AA" w:rsidRDefault="00095D23">
            <w:pPr>
              <w:keepNext/>
              <w:spacing w:before="100" w:after="100" w:line="240" w:lineRule="auto"/>
              <w:ind w:left="100" w:right="100"/>
              <w:jc w:val="center"/>
            </w:pPr>
            <w:r>
              <w:rPr>
                <w:rFonts w:ascii="Lato Light" w:eastAsia="Lato Light" w:hAnsi="Lato Light" w:cs="Lato Light"/>
                <w:color w:val="000000"/>
                <w:sz w:val="20"/>
                <w:szCs w:val="20"/>
              </w:rPr>
              <w:t>8 (100%)</w:t>
            </w:r>
          </w:p>
        </w:tc>
        <w:tc>
          <w:tcPr>
            <w:tcW w:w="1984" w:type="dxa"/>
            <w:tcBorders>
              <w:right w:val="single" w:sz="20" w:space="0" w:color="60A3BC"/>
            </w:tcBorders>
            <w:shd w:val="clear" w:color="auto" w:fill="FFFFFF"/>
            <w:tcMar>
              <w:top w:w="0" w:type="dxa"/>
              <w:left w:w="0" w:type="dxa"/>
              <w:bottom w:w="0" w:type="dxa"/>
              <w:right w:w="0" w:type="dxa"/>
            </w:tcMar>
            <w:vAlign w:val="center"/>
          </w:tcPr>
          <w:p w14:paraId="4D514FDF" w14:textId="77777777" w:rsidR="005D13AA" w:rsidRDefault="00095D23">
            <w:pPr>
              <w:keepNext/>
              <w:spacing w:before="100" w:after="100" w:line="240" w:lineRule="auto"/>
              <w:ind w:left="100" w:right="100"/>
              <w:jc w:val="center"/>
            </w:pPr>
            <w:r>
              <w:rPr>
                <w:rFonts w:ascii="Lato Light" w:eastAsia="Lato Light" w:hAnsi="Lato Light" w:cs="Lato Light"/>
                <w:color w:val="000000"/>
                <w:sz w:val="20"/>
                <w:szCs w:val="20"/>
              </w:rPr>
              <w:t>4 (80%)</w:t>
            </w:r>
          </w:p>
        </w:tc>
      </w:tr>
      <w:tr w:rsidR="005D13AA" w14:paraId="4D514FE6"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4D514FE1" w14:textId="77777777" w:rsidR="005D13AA" w:rsidRDefault="00095D23">
            <w:pPr>
              <w:keepNext/>
              <w:spacing w:before="100" w:after="100" w:line="240" w:lineRule="auto"/>
              <w:ind w:left="300" w:right="100"/>
              <w:jc w:val="left"/>
            </w:pPr>
            <w:r>
              <w:rPr>
                <w:rFonts w:ascii="Lato Light" w:eastAsia="Lato Light" w:hAnsi="Lato Light" w:cs="Lato Light"/>
                <w:color w:val="000000"/>
                <w:sz w:val="20"/>
                <w:szCs w:val="20"/>
              </w:rPr>
              <w:t>Mâle</w:t>
            </w:r>
          </w:p>
        </w:tc>
        <w:tc>
          <w:tcPr>
            <w:tcW w:w="1701" w:type="dxa"/>
            <w:shd w:val="clear" w:color="auto" w:fill="FFFFFF"/>
            <w:tcMar>
              <w:top w:w="0" w:type="dxa"/>
              <w:left w:w="0" w:type="dxa"/>
              <w:bottom w:w="0" w:type="dxa"/>
              <w:right w:w="0" w:type="dxa"/>
            </w:tcMar>
            <w:vAlign w:val="center"/>
          </w:tcPr>
          <w:p w14:paraId="4D514FE2" w14:textId="77777777" w:rsidR="005D13AA" w:rsidRDefault="00095D23">
            <w:pPr>
              <w:keepNext/>
              <w:spacing w:before="100" w:after="100" w:line="240" w:lineRule="auto"/>
              <w:ind w:left="100" w:right="100"/>
              <w:jc w:val="center"/>
            </w:pPr>
            <w:r>
              <w:rPr>
                <w:rFonts w:ascii="Lato Light" w:eastAsia="Lato Light" w:hAnsi="Lato Light" w:cs="Lato Light"/>
                <w:b/>
                <w:color w:val="000000"/>
                <w:sz w:val="20"/>
                <w:szCs w:val="20"/>
              </w:rPr>
              <w:t>12 (48%)</w:t>
            </w:r>
          </w:p>
        </w:tc>
        <w:tc>
          <w:tcPr>
            <w:tcW w:w="1701" w:type="dxa"/>
            <w:shd w:val="clear" w:color="auto" w:fill="FFFFFF"/>
            <w:tcMar>
              <w:top w:w="0" w:type="dxa"/>
              <w:left w:w="0" w:type="dxa"/>
              <w:bottom w:w="0" w:type="dxa"/>
              <w:right w:w="0" w:type="dxa"/>
            </w:tcMar>
            <w:vAlign w:val="center"/>
          </w:tcPr>
          <w:p w14:paraId="4D514FE3" w14:textId="77777777" w:rsidR="005D13AA" w:rsidRDefault="00095D23">
            <w:pPr>
              <w:keepNext/>
              <w:spacing w:before="100" w:after="100" w:line="240" w:lineRule="auto"/>
              <w:ind w:left="100" w:right="100"/>
              <w:jc w:val="center"/>
            </w:pPr>
            <w:r>
              <w:rPr>
                <w:rFonts w:ascii="Lato Light" w:eastAsia="Lato Light" w:hAnsi="Lato Light" w:cs="Lato Light"/>
                <w:color w:val="000000"/>
                <w:sz w:val="20"/>
                <w:szCs w:val="20"/>
              </w:rPr>
              <w:t>11 (92%)</w:t>
            </w:r>
          </w:p>
        </w:tc>
        <w:tc>
          <w:tcPr>
            <w:tcW w:w="1701" w:type="dxa"/>
            <w:shd w:val="clear" w:color="auto" w:fill="FFFFFF"/>
            <w:tcMar>
              <w:top w:w="0" w:type="dxa"/>
              <w:left w:w="0" w:type="dxa"/>
              <w:bottom w:w="0" w:type="dxa"/>
              <w:right w:w="0" w:type="dxa"/>
            </w:tcMar>
            <w:vAlign w:val="center"/>
          </w:tcPr>
          <w:p w14:paraId="4D514FE4" w14:textId="77777777" w:rsidR="005D13AA" w:rsidRDefault="00095D23">
            <w:pPr>
              <w:keepNext/>
              <w:spacing w:before="100" w:after="100" w:line="240" w:lineRule="auto"/>
              <w:ind w:left="100" w:right="100"/>
              <w:jc w:val="center"/>
            </w:pPr>
            <w:r>
              <w:rPr>
                <w:rFonts w:ascii="Lato Light" w:eastAsia="Lato Light" w:hAnsi="Lato Light" w:cs="Lato Light"/>
                <w:color w:val="000000"/>
                <w:sz w:val="20"/>
                <w:szCs w:val="20"/>
              </w:rPr>
              <w:t>0 (0%)</w:t>
            </w:r>
          </w:p>
        </w:tc>
        <w:tc>
          <w:tcPr>
            <w:tcW w:w="1984" w:type="dxa"/>
            <w:tcBorders>
              <w:right w:val="single" w:sz="20" w:space="0" w:color="60A3BC"/>
            </w:tcBorders>
            <w:shd w:val="clear" w:color="auto" w:fill="FFFFFF"/>
            <w:tcMar>
              <w:top w:w="0" w:type="dxa"/>
              <w:left w:w="0" w:type="dxa"/>
              <w:bottom w:w="0" w:type="dxa"/>
              <w:right w:w="0" w:type="dxa"/>
            </w:tcMar>
            <w:vAlign w:val="center"/>
          </w:tcPr>
          <w:p w14:paraId="4D514FE5" w14:textId="77777777" w:rsidR="005D13AA" w:rsidRDefault="00095D23">
            <w:pPr>
              <w:keepNext/>
              <w:spacing w:before="100" w:after="100" w:line="240" w:lineRule="auto"/>
              <w:ind w:left="100" w:right="100"/>
              <w:jc w:val="center"/>
            </w:pPr>
            <w:r>
              <w:rPr>
                <w:rFonts w:ascii="Lato Light" w:eastAsia="Lato Light" w:hAnsi="Lato Light" w:cs="Lato Light"/>
                <w:color w:val="000000"/>
                <w:sz w:val="20"/>
                <w:szCs w:val="20"/>
              </w:rPr>
              <w:t>1 (20%)</w:t>
            </w:r>
          </w:p>
        </w:tc>
      </w:tr>
      <w:tr w:rsidR="005D13AA" w14:paraId="4D514FEC"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4D514FE7" w14:textId="77777777" w:rsidR="005D13AA" w:rsidRDefault="00095D23">
            <w:pPr>
              <w:keepNext/>
              <w:spacing w:before="100" w:after="100" w:line="240" w:lineRule="auto"/>
              <w:ind w:left="300" w:right="100"/>
              <w:jc w:val="left"/>
            </w:pPr>
            <w:r>
              <w:rPr>
                <w:rFonts w:ascii="Lato Light" w:eastAsia="Lato Light" w:hAnsi="Lato Light" w:cs="Lato Light"/>
                <w:color w:val="000000"/>
                <w:sz w:val="20"/>
                <w:szCs w:val="20"/>
              </w:rPr>
              <w:t>Intersexe</w:t>
            </w:r>
          </w:p>
        </w:tc>
        <w:tc>
          <w:tcPr>
            <w:tcW w:w="1701" w:type="dxa"/>
            <w:shd w:val="clear" w:color="auto" w:fill="FFFFFF"/>
            <w:tcMar>
              <w:top w:w="0" w:type="dxa"/>
              <w:left w:w="0" w:type="dxa"/>
              <w:bottom w:w="0" w:type="dxa"/>
              <w:right w:w="0" w:type="dxa"/>
            </w:tcMar>
            <w:vAlign w:val="center"/>
          </w:tcPr>
          <w:p w14:paraId="4D514FE8" w14:textId="77777777" w:rsidR="005D13AA" w:rsidRDefault="00095D23">
            <w:pPr>
              <w:keepNext/>
              <w:spacing w:before="100" w:after="100" w:line="240" w:lineRule="auto"/>
              <w:ind w:left="100" w:right="100"/>
              <w:jc w:val="center"/>
            </w:pPr>
            <w:r>
              <w:rPr>
                <w:rFonts w:ascii="Lato Light" w:eastAsia="Lato Light" w:hAnsi="Lato Light" w:cs="Lato Light"/>
                <w:b/>
                <w:color w:val="000000"/>
                <w:sz w:val="20"/>
                <w:szCs w:val="20"/>
              </w:rPr>
              <w:t>1 (4.0%)</w:t>
            </w:r>
          </w:p>
        </w:tc>
        <w:tc>
          <w:tcPr>
            <w:tcW w:w="1701" w:type="dxa"/>
            <w:shd w:val="clear" w:color="auto" w:fill="FFFFFF"/>
            <w:tcMar>
              <w:top w:w="0" w:type="dxa"/>
              <w:left w:w="0" w:type="dxa"/>
              <w:bottom w:w="0" w:type="dxa"/>
              <w:right w:w="0" w:type="dxa"/>
            </w:tcMar>
            <w:vAlign w:val="center"/>
          </w:tcPr>
          <w:p w14:paraId="4D514FE9" w14:textId="77777777" w:rsidR="005D13AA" w:rsidRDefault="00095D23">
            <w:pPr>
              <w:keepNext/>
              <w:spacing w:before="100" w:after="100" w:line="240" w:lineRule="auto"/>
              <w:ind w:left="100" w:right="100"/>
              <w:jc w:val="center"/>
            </w:pPr>
            <w:r>
              <w:rPr>
                <w:rFonts w:ascii="Lato Light" w:eastAsia="Lato Light" w:hAnsi="Lato Light" w:cs="Lato Light"/>
                <w:color w:val="000000"/>
                <w:sz w:val="20"/>
                <w:szCs w:val="20"/>
              </w:rPr>
              <w:t>1 (8.3%)</w:t>
            </w:r>
          </w:p>
        </w:tc>
        <w:tc>
          <w:tcPr>
            <w:tcW w:w="1701" w:type="dxa"/>
            <w:shd w:val="clear" w:color="auto" w:fill="FFFFFF"/>
            <w:tcMar>
              <w:top w:w="0" w:type="dxa"/>
              <w:left w:w="0" w:type="dxa"/>
              <w:bottom w:w="0" w:type="dxa"/>
              <w:right w:w="0" w:type="dxa"/>
            </w:tcMar>
            <w:vAlign w:val="center"/>
          </w:tcPr>
          <w:p w14:paraId="4D514FEA" w14:textId="77777777" w:rsidR="005D13AA" w:rsidRDefault="00095D23">
            <w:pPr>
              <w:keepNext/>
              <w:spacing w:before="100" w:after="100" w:line="240" w:lineRule="auto"/>
              <w:ind w:left="100" w:right="100"/>
              <w:jc w:val="center"/>
            </w:pPr>
            <w:r>
              <w:rPr>
                <w:rFonts w:ascii="Lato Light" w:eastAsia="Lato Light" w:hAnsi="Lato Light" w:cs="Lato Light"/>
                <w:color w:val="000000"/>
                <w:sz w:val="20"/>
                <w:szCs w:val="20"/>
              </w:rPr>
              <w:t>0 (0%)</w:t>
            </w:r>
          </w:p>
        </w:tc>
        <w:tc>
          <w:tcPr>
            <w:tcW w:w="1984" w:type="dxa"/>
            <w:tcBorders>
              <w:right w:val="single" w:sz="20" w:space="0" w:color="60A3BC"/>
            </w:tcBorders>
            <w:shd w:val="clear" w:color="auto" w:fill="FFFFFF"/>
            <w:tcMar>
              <w:top w:w="0" w:type="dxa"/>
              <w:left w:w="0" w:type="dxa"/>
              <w:bottom w:w="0" w:type="dxa"/>
              <w:right w:w="0" w:type="dxa"/>
            </w:tcMar>
            <w:vAlign w:val="center"/>
          </w:tcPr>
          <w:p w14:paraId="4D514FEB" w14:textId="77777777" w:rsidR="005D13AA" w:rsidRDefault="00095D23">
            <w:pPr>
              <w:keepNext/>
              <w:spacing w:before="100" w:after="100" w:line="240" w:lineRule="auto"/>
              <w:ind w:left="100" w:right="100"/>
              <w:jc w:val="center"/>
            </w:pPr>
            <w:r>
              <w:rPr>
                <w:rFonts w:ascii="Lato Light" w:eastAsia="Lato Light" w:hAnsi="Lato Light" w:cs="Lato Light"/>
                <w:color w:val="000000"/>
                <w:sz w:val="20"/>
                <w:szCs w:val="20"/>
              </w:rPr>
              <w:t>0 (0%)</w:t>
            </w:r>
          </w:p>
        </w:tc>
      </w:tr>
      <w:tr w:rsidR="005D13AA" w14:paraId="4D514FF2"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4D514FED" w14:textId="77777777" w:rsidR="005D13AA" w:rsidRDefault="00095D23">
            <w:pPr>
              <w:keepNext/>
              <w:spacing w:before="100" w:after="100" w:line="240" w:lineRule="auto"/>
              <w:ind w:left="100" w:right="100"/>
              <w:jc w:val="left"/>
            </w:pPr>
            <w:r>
              <w:rPr>
                <w:rFonts w:ascii="Lato Light" w:eastAsia="Lato Light" w:hAnsi="Lato Light" w:cs="Lato Light"/>
                <w:b/>
                <w:color w:val="000000"/>
                <w:sz w:val="20"/>
                <w:szCs w:val="20"/>
              </w:rPr>
              <w:t>Statut mutuelle</w:t>
            </w:r>
          </w:p>
        </w:tc>
        <w:tc>
          <w:tcPr>
            <w:tcW w:w="1701" w:type="dxa"/>
            <w:shd w:val="clear" w:color="auto" w:fill="FFFFFF"/>
            <w:tcMar>
              <w:top w:w="0" w:type="dxa"/>
              <w:left w:w="0" w:type="dxa"/>
              <w:bottom w:w="0" w:type="dxa"/>
              <w:right w:w="0" w:type="dxa"/>
            </w:tcMar>
            <w:vAlign w:val="center"/>
          </w:tcPr>
          <w:p w14:paraId="4D514FEE" w14:textId="77777777" w:rsidR="005D13AA" w:rsidRDefault="005D13AA">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4D514FEF" w14:textId="77777777" w:rsidR="005D13AA" w:rsidRDefault="005D13AA">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4D514FF0" w14:textId="77777777" w:rsidR="005D13AA" w:rsidRDefault="005D13AA">
            <w:pPr>
              <w:keepNext/>
              <w:spacing w:before="100" w:after="100" w:line="240" w:lineRule="auto"/>
              <w:ind w:left="100" w:right="100"/>
              <w:jc w:val="center"/>
            </w:pPr>
          </w:p>
        </w:tc>
        <w:tc>
          <w:tcPr>
            <w:tcW w:w="1984" w:type="dxa"/>
            <w:tcBorders>
              <w:right w:val="single" w:sz="20" w:space="0" w:color="60A3BC"/>
            </w:tcBorders>
            <w:shd w:val="clear" w:color="auto" w:fill="FFFFFF"/>
            <w:tcMar>
              <w:top w:w="0" w:type="dxa"/>
              <w:left w:w="0" w:type="dxa"/>
              <w:bottom w:w="0" w:type="dxa"/>
              <w:right w:w="0" w:type="dxa"/>
            </w:tcMar>
            <w:vAlign w:val="center"/>
          </w:tcPr>
          <w:p w14:paraId="4D514FF1" w14:textId="77777777" w:rsidR="005D13AA" w:rsidRDefault="005D13AA">
            <w:pPr>
              <w:keepNext/>
              <w:spacing w:before="100" w:after="100" w:line="240" w:lineRule="auto"/>
              <w:ind w:left="100" w:right="100"/>
              <w:jc w:val="center"/>
            </w:pPr>
          </w:p>
        </w:tc>
      </w:tr>
      <w:tr w:rsidR="005D13AA" w14:paraId="4D514FF8"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4D514FF3" w14:textId="77777777" w:rsidR="005D13AA" w:rsidRDefault="00095D23">
            <w:pPr>
              <w:keepNext/>
              <w:spacing w:before="100" w:after="100" w:line="240" w:lineRule="auto"/>
              <w:ind w:left="300" w:right="100"/>
              <w:jc w:val="left"/>
            </w:pPr>
            <w:r>
              <w:rPr>
                <w:rFonts w:ascii="Lato Light" w:eastAsia="Lato Light" w:hAnsi="Lato Light" w:cs="Lato Light"/>
                <w:color w:val="000000"/>
                <w:sz w:val="20"/>
                <w:szCs w:val="20"/>
              </w:rPr>
              <w:t>BIM</w:t>
            </w:r>
          </w:p>
        </w:tc>
        <w:tc>
          <w:tcPr>
            <w:tcW w:w="1701" w:type="dxa"/>
            <w:shd w:val="clear" w:color="auto" w:fill="FFFFFF"/>
            <w:tcMar>
              <w:top w:w="0" w:type="dxa"/>
              <w:left w:w="0" w:type="dxa"/>
              <w:bottom w:w="0" w:type="dxa"/>
              <w:right w:w="0" w:type="dxa"/>
            </w:tcMar>
            <w:vAlign w:val="center"/>
          </w:tcPr>
          <w:p w14:paraId="4D514FF4" w14:textId="77777777" w:rsidR="005D13AA" w:rsidRDefault="00095D23">
            <w:pPr>
              <w:keepNext/>
              <w:spacing w:before="100" w:after="100" w:line="240" w:lineRule="auto"/>
              <w:ind w:left="100" w:right="100"/>
              <w:jc w:val="center"/>
            </w:pPr>
            <w:r>
              <w:rPr>
                <w:rFonts w:ascii="Lato Light" w:eastAsia="Lato Light" w:hAnsi="Lato Light" w:cs="Lato Light"/>
                <w:b/>
                <w:color w:val="000000"/>
                <w:sz w:val="20"/>
                <w:szCs w:val="20"/>
              </w:rPr>
              <w:t>11 (44%)</w:t>
            </w:r>
          </w:p>
        </w:tc>
        <w:tc>
          <w:tcPr>
            <w:tcW w:w="1701" w:type="dxa"/>
            <w:shd w:val="clear" w:color="auto" w:fill="FFFFFF"/>
            <w:tcMar>
              <w:top w:w="0" w:type="dxa"/>
              <w:left w:w="0" w:type="dxa"/>
              <w:bottom w:w="0" w:type="dxa"/>
              <w:right w:w="0" w:type="dxa"/>
            </w:tcMar>
            <w:vAlign w:val="center"/>
          </w:tcPr>
          <w:p w14:paraId="4D514FF5" w14:textId="77777777" w:rsidR="005D13AA" w:rsidRDefault="00095D23">
            <w:pPr>
              <w:keepNext/>
              <w:spacing w:before="100" w:after="100" w:line="240" w:lineRule="auto"/>
              <w:ind w:left="100" w:right="100"/>
              <w:jc w:val="center"/>
            </w:pPr>
            <w:r>
              <w:rPr>
                <w:rFonts w:ascii="Lato Light" w:eastAsia="Lato Light" w:hAnsi="Lato Light" w:cs="Lato Light"/>
                <w:color w:val="000000"/>
                <w:sz w:val="20"/>
                <w:szCs w:val="20"/>
              </w:rPr>
              <w:t>5 (42%)</w:t>
            </w:r>
          </w:p>
        </w:tc>
        <w:tc>
          <w:tcPr>
            <w:tcW w:w="1701" w:type="dxa"/>
            <w:shd w:val="clear" w:color="auto" w:fill="FFFFFF"/>
            <w:tcMar>
              <w:top w:w="0" w:type="dxa"/>
              <w:left w:w="0" w:type="dxa"/>
              <w:bottom w:w="0" w:type="dxa"/>
              <w:right w:w="0" w:type="dxa"/>
            </w:tcMar>
            <w:vAlign w:val="center"/>
          </w:tcPr>
          <w:p w14:paraId="4D514FF6" w14:textId="77777777" w:rsidR="005D13AA" w:rsidRDefault="00095D23">
            <w:pPr>
              <w:keepNext/>
              <w:spacing w:before="100" w:after="100" w:line="240" w:lineRule="auto"/>
              <w:ind w:left="100" w:right="100"/>
              <w:jc w:val="center"/>
            </w:pPr>
            <w:r>
              <w:rPr>
                <w:rFonts w:ascii="Lato Light" w:eastAsia="Lato Light" w:hAnsi="Lato Light" w:cs="Lato Light"/>
                <w:color w:val="000000"/>
                <w:sz w:val="20"/>
                <w:szCs w:val="20"/>
              </w:rPr>
              <w:t>3 (38%)</w:t>
            </w:r>
          </w:p>
        </w:tc>
        <w:tc>
          <w:tcPr>
            <w:tcW w:w="1984" w:type="dxa"/>
            <w:tcBorders>
              <w:right w:val="single" w:sz="20" w:space="0" w:color="60A3BC"/>
            </w:tcBorders>
            <w:shd w:val="clear" w:color="auto" w:fill="FFFFFF"/>
            <w:tcMar>
              <w:top w:w="0" w:type="dxa"/>
              <w:left w:w="0" w:type="dxa"/>
              <w:bottom w:w="0" w:type="dxa"/>
              <w:right w:w="0" w:type="dxa"/>
            </w:tcMar>
            <w:vAlign w:val="center"/>
          </w:tcPr>
          <w:p w14:paraId="4D514FF7" w14:textId="77777777" w:rsidR="005D13AA" w:rsidRDefault="00095D23">
            <w:pPr>
              <w:keepNext/>
              <w:spacing w:before="100" w:after="100" w:line="240" w:lineRule="auto"/>
              <w:ind w:left="100" w:right="100"/>
              <w:jc w:val="center"/>
            </w:pPr>
            <w:r>
              <w:rPr>
                <w:rFonts w:ascii="Lato Light" w:eastAsia="Lato Light" w:hAnsi="Lato Light" w:cs="Lato Light"/>
                <w:color w:val="000000"/>
                <w:sz w:val="20"/>
                <w:szCs w:val="20"/>
              </w:rPr>
              <w:t>3 (60%)</w:t>
            </w:r>
          </w:p>
        </w:tc>
      </w:tr>
      <w:tr w:rsidR="005D13AA" w14:paraId="4D514FFE"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4D514FF9" w14:textId="77777777" w:rsidR="005D13AA" w:rsidRDefault="00095D23">
            <w:pPr>
              <w:keepNext/>
              <w:spacing w:before="100" w:after="100" w:line="240" w:lineRule="auto"/>
              <w:ind w:left="300" w:right="100"/>
              <w:jc w:val="left"/>
            </w:pPr>
            <w:r>
              <w:rPr>
                <w:rFonts w:ascii="Lato Light" w:eastAsia="Lato Light" w:hAnsi="Lato Light" w:cs="Lato Light"/>
                <w:color w:val="000000"/>
                <w:sz w:val="20"/>
                <w:szCs w:val="20"/>
              </w:rPr>
              <w:t>Assuré·e ordinaire</w:t>
            </w:r>
          </w:p>
        </w:tc>
        <w:tc>
          <w:tcPr>
            <w:tcW w:w="1701" w:type="dxa"/>
            <w:shd w:val="clear" w:color="auto" w:fill="FFFFFF"/>
            <w:tcMar>
              <w:top w:w="0" w:type="dxa"/>
              <w:left w:w="0" w:type="dxa"/>
              <w:bottom w:w="0" w:type="dxa"/>
              <w:right w:w="0" w:type="dxa"/>
            </w:tcMar>
            <w:vAlign w:val="center"/>
          </w:tcPr>
          <w:p w14:paraId="4D514FFA" w14:textId="77777777" w:rsidR="005D13AA" w:rsidRDefault="00095D23">
            <w:pPr>
              <w:keepNext/>
              <w:spacing w:before="100" w:after="100" w:line="240" w:lineRule="auto"/>
              <w:ind w:left="100" w:right="100"/>
              <w:jc w:val="center"/>
            </w:pPr>
            <w:r>
              <w:rPr>
                <w:rFonts w:ascii="Lato Light" w:eastAsia="Lato Light" w:hAnsi="Lato Light" w:cs="Lato Light"/>
                <w:b/>
                <w:color w:val="000000"/>
                <w:sz w:val="20"/>
                <w:szCs w:val="20"/>
              </w:rPr>
              <w:t>12 (48%)</w:t>
            </w:r>
          </w:p>
        </w:tc>
        <w:tc>
          <w:tcPr>
            <w:tcW w:w="1701" w:type="dxa"/>
            <w:shd w:val="clear" w:color="auto" w:fill="FFFFFF"/>
            <w:tcMar>
              <w:top w:w="0" w:type="dxa"/>
              <w:left w:w="0" w:type="dxa"/>
              <w:bottom w:w="0" w:type="dxa"/>
              <w:right w:w="0" w:type="dxa"/>
            </w:tcMar>
            <w:vAlign w:val="center"/>
          </w:tcPr>
          <w:p w14:paraId="4D514FFB" w14:textId="77777777" w:rsidR="005D13AA" w:rsidRDefault="00095D23">
            <w:pPr>
              <w:keepNext/>
              <w:spacing w:before="100" w:after="100" w:line="240" w:lineRule="auto"/>
              <w:ind w:left="100" w:right="100"/>
              <w:jc w:val="center"/>
            </w:pPr>
            <w:r>
              <w:rPr>
                <w:rFonts w:ascii="Lato Light" w:eastAsia="Lato Light" w:hAnsi="Lato Light" w:cs="Lato Light"/>
                <w:color w:val="000000"/>
                <w:sz w:val="20"/>
                <w:szCs w:val="20"/>
              </w:rPr>
              <w:t>7 (58%)</w:t>
            </w:r>
          </w:p>
        </w:tc>
        <w:tc>
          <w:tcPr>
            <w:tcW w:w="1701" w:type="dxa"/>
            <w:shd w:val="clear" w:color="auto" w:fill="FFFFFF"/>
            <w:tcMar>
              <w:top w:w="0" w:type="dxa"/>
              <w:left w:w="0" w:type="dxa"/>
              <w:bottom w:w="0" w:type="dxa"/>
              <w:right w:w="0" w:type="dxa"/>
            </w:tcMar>
            <w:vAlign w:val="center"/>
          </w:tcPr>
          <w:p w14:paraId="4D514FFC" w14:textId="77777777" w:rsidR="005D13AA" w:rsidRDefault="00095D23">
            <w:pPr>
              <w:keepNext/>
              <w:spacing w:before="100" w:after="100" w:line="240" w:lineRule="auto"/>
              <w:ind w:left="100" w:right="100"/>
              <w:jc w:val="center"/>
            </w:pPr>
            <w:r>
              <w:rPr>
                <w:rFonts w:ascii="Lato Light" w:eastAsia="Lato Light" w:hAnsi="Lato Light" w:cs="Lato Light"/>
                <w:color w:val="000000"/>
                <w:sz w:val="20"/>
                <w:szCs w:val="20"/>
              </w:rPr>
              <w:t>3 (38%)</w:t>
            </w:r>
          </w:p>
        </w:tc>
        <w:tc>
          <w:tcPr>
            <w:tcW w:w="1984" w:type="dxa"/>
            <w:tcBorders>
              <w:right w:val="single" w:sz="20" w:space="0" w:color="60A3BC"/>
            </w:tcBorders>
            <w:shd w:val="clear" w:color="auto" w:fill="FFFFFF"/>
            <w:tcMar>
              <w:top w:w="0" w:type="dxa"/>
              <w:left w:w="0" w:type="dxa"/>
              <w:bottom w:w="0" w:type="dxa"/>
              <w:right w:w="0" w:type="dxa"/>
            </w:tcMar>
            <w:vAlign w:val="center"/>
          </w:tcPr>
          <w:p w14:paraId="4D514FFD" w14:textId="77777777" w:rsidR="005D13AA" w:rsidRDefault="00095D23">
            <w:pPr>
              <w:keepNext/>
              <w:spacing w:before="100" w:after="100" w:line="240" w:lineRule="auto"/>
              <w:ind w:left="100" w:right="100"/>
              <w:jc w:val="center"/>
            </w:pPr>
            <w:r>
              <w:rPr>
                <w:rFonts w:ascii="Lato Light" w:eastAsia="Lato Light" w:hAnsi="Lato Light" w:cs="Lato Light"/>
                <w:color w:val="000000"/>
                <w:sz w:val="20"/>
                <w:szCs w:val="20"/>
              </w:rPr>
              <w:t>2 (40%)</w:t>
            </w:r>
          </w:p>
        </w:tc>
      </w:tr>
      <w:tr w:rsidR="005D13AA" w14:paraId="4D515004"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4D514FFF" w14:textId="77777777" w:rsidR="005D13AA" w:rsidRDefault="00095D23">
            <w:pPr>
              <w:keepNext/>
              <w:spacing w:before="100" w:after="100" w:line="240" w:lineRule="auto"/>
              <w:ind w:left="300" w:right="100"/>
              <w:jc w:val="left"/>
            </w:pPr>
            <w:r>
              <w:rPr>
                <w:rFonts w:ascii="Lato Light" w:eastAsia="Lato Light" w:hAnsi="Lato Light" w:cs="Lato Light"/>
                <w:color w:val="000000"/>
                <w:sz w:val="20"/>
                <w:szCs w:val="20"/>
              </w:rPr>
              <w:t>Non-inscrit·e</w:t>
            </w:r>
          </w:p>
        </w:tc>
        <w:tc>
          <w:tcPr>
            <w:tcW w:w="1701" w:type="dxa"/>
            <w:shd w:val="clear" w:color="auto" w:fill="FFFFFF"/>
            <w:tcMar>
              <w:top w:w="0" w:type="dxa"/>
              <w:left w:w="0" w:type="dxa"/>
              <w:bottom w:w="0" w:type="dxa"/>
              <w:right w:w="0" w:type="dxa"/>
            </w:tcMar>
            <w:vAlign w:val="center"/>
          </w:tcPr>
          <w:p w14:paraId="4D515000" w14:textId="77777777" w:rsidR="005D13AA" w:rsidRDefault="00095D23">
            <w:pPr>
              <w:keepNext/>
              <w:spacing w:before="100" w:after="100" w:line="240" w:lineRule="auto"/>
              <w:ind w:left="100" w:right="100"/>
              <w:jc w:val="center"/>
            </w:pPr>
            <w:r>
              <w:rPr>
                <w:rFonts w:ascii="Lato Light" w:eastAsia="Lato Light" w:hAnsi="Lato Light" w:cs="Lato Light"/>
                <w:b/>
                <w:color w:val="000000"/>
                <w:sz w:val="20"/>
                <w:szCs w:val="20"/>
              </w:rPr>
              <w:t>2 (8.0%)</w:t>
            </w:r>
          </w:p>
        </w:tc>
        <w:tc>
          <w:tcPr>
            <w:tcW w:w="1701" w:type="dxa"/>
            <w:shd w:val="clear" w:color="auto" w:fill="FFFFFF"/>
            <w:tcMar>
              <w:top w:w="0" w:type="dxa"/>
              <w:left w:w="0" w:type="dxa"/>
              <w:bottom w:w="0" w:type="dxa"/>
              <w:right w:w="0" w:type="dxa"/>
            </w:tcMar>
            <w:vAlign w:val="center"/>
          </w:tcPr>
          <w:p w14:paraId="4D515001" w14:textId="77777777" w:rsidR="005D13AA" w:rsidRDefault="00095D23">
            <w:pPr>
              <w:keepNext/>
              <w:spacing w:before="100" w:after="100" w:line="240" w:lineRule="auto"/>
              <w:ind w:left="100" w:right="100"/>
              <w:jc w:val="center"/>
            </w:pPr>
            <w:r>
              <w:rPr>
                <w:rFonts w:ascii="Lato Light" w:eastAsia="Lato Light" w:hAnsi="Lato Light" w:cs="Lato Light"/>
                <w:color w:val="000000"/>
                <w:sz w:val="20"/>
                <w:szCs w:val="20"/>
              </w:rPr>
              <w:t>0 (0%)</w:t>
            </w:r>
          </w:p>
        </w:tc>
        <w:tc>
          <w:tcPr>
            <w:tcW w:w="1701" w:type="dxa"/>
            <w:shd w:val="clear" w:color="auto" w:fill="FFFFFF"/>
            <w:tcMar>
              <w:top w:w="0" w:type="dxa"/>
              <w:left w:w="0" w:type="dxa"/>
              <w:bottom w:w="0" w:type="dxa"/>
              <w:right w:w="0" w:type="dxa"/>
            </w:tcMar>
            <w:vAlign w:val="center"/>
          </w:tcPr>
          <w:p w14:paraId="4D515002" w14:textId="77777777" w:rsidR="005D13AA" w:rsidRDefault="00095D23">
            <w:pPr>
              <w:keepNext/>
              <w:spacing w:before="100" w:after="100" w:line="240" w:lineRule="auto"/>
              <w:ind w:left="100" w:right="100"/>
              <w:jc w:val="center"/>
            </w:pPr>
            <w:r>
              <w:rPr>
                <w:rFonts w:ascii="Lato Light" w:eastAsia="Lato Light" w:hAnsi="Lato Light" w:cs="Lato Light"/>
                <w:color w:val="000000"/>
                <w:sz w:val="20"/>
                <w:szCs w:val="20"/>
              </w:rPr>
              <w:t>2 (25%)</w:t>
            </w:r>
          </w:p>
        </w:tc>
        <w:tc>
          <w:tcPr>
            <w:tcW w:w="1984" w:type="dxa"/>
            <w:tcBorders>
              <w:right w:val="single" w:sz="20" w:space="0" w:color="60A3BC"/>
            </w:tcBorders>
            <w:shd w:val="clear" w:color="auto" w:fill="FFFFFF"/>
            <w:tcMar>
              <w:top w:w="0" w:type="dxa"/>
              <w:left w:w="0" w:type="dxa"/>
              <w:bottom w:w="0" w:type="dxa"/>
              <w:right w:w="0" w:type="dxa"/>
            </w:tcMar>
            <w:vAlign w:val="center"/>
          </w:tcPr>
          <w:p w14:paraId="4D515003" w14:textId="77777777" w:rsidR="005D13AA" w:rsidRDefault="00095D23">
            <w:pPr>
              <w:keepNext/>
              <w:spacing w:before="100" w:after="100" w:line="240" w:lineRule="auto"/>
              <w:ind w:left="100" w:right="100"/>
              <w:jc w:val="center"/>
            </w:pPr>
            <w:r>
              <w:rPr>
                <w:rFonts w:ascii="Lato Light" w:eastAsia="Lato Light" w:hAnsi="Lato Light" w:cs="Lato Light"/>
                <w:color w:val="000000"/>
                <w:sz w:val="20"/>
                <w:szCs w:val="20"/>
              </w:rPr>
              <w:t>0 (0%)</w:t>
            </w:r>
          </w:p>
        </w:tc>
      </w:tr>
      <w:tr w:rsidR="005D13AA" w14:paraId="4D51500A"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4D515005" w14:textId="77777777" w:rsidR="005D13AA" w:rsidRDefault="00095D23">
            <w:pPr>
              <w:keepNext/>
              <w:spacing w:before="100" w:after="100" w:line="240" w:lineRule="auto"/>
              <w:ind w:left="100" w:right="100"/>
              <w:jc w:val="left"/>
            </w:pPr>
            <w:r>
              <w:rPr>
                <w:rFonts w:ascii="Lato Light" w:eastAsia="Lato Light" w:hAnsi="Lato Light" w:cs="Lato Light"/>
                <w:b/>
                <w:color w:val="000000"/>
                <w:sz w:val="20"/>
                <w:szCs w:val="20"/>
              </w:rPr>
              <w:t>Changement de prénom</w:t>
            </w:r>
          </w:p>
        </w:tc>
        <w:tc>
          <w:tcPr>
            <w:tcW w:w="1701" w:type="dxa"/>
            <w:shd w:val="clear" w:color="auto" w:fill="FFFFFF"/>
            <w:tcMar>
              <w:top w:w="0" w:type="dxa"/>
              <w:left w:w="0" w:type="dxa"/>
              <w:bottom w:w="0" w:type="dxa"/>
              <w:right w:w="0" w:type="dxa"/>
            </w:tcMar>
            <w:vAlign w:val="center"/>
          </w:tcPr>
          <w:p w14:paraId="4D515006" w14:textId="77777777" w:rsidR="005D13AA" w:rsidRDefault="00095D23">
            <w:pPr>
              <w:keepNext/>
              <w:spacing w:before="100" w:after="100" w:line="240" w:lineRule="auto"/>
              <w:ind w:left="100" w:right="100"/>
              <w:jc w:val="center"/>
            </w:pPr>
            <w:r>
              <w:rPr>
                <w:rFonts w:ascii="Lato Light" w:eastAsia="Lato Light" w:hAnsi="Lato Light" w:cs="Lato Light"/>
                <w:b/>
                <w:color w:val="000000"/>
                <w:sz w:val="20"/>
                <w:szCs w:val="20"/>
              </w:rPr>
              <w:t>14 (56%)</w:t>
            </w:r>
          </w:p>
        </w:tc>
        <w:tc>
          <w:tcPr>
            <w:tcW w:w="1701" w:type="dxa"/>
            <w:shd w:val="clear" w:color="auto" w:fill="FFFFFF"/>
            <w:tcMar>
              <w:top w:w="0" w:type="dxa"/>
              <w:left w:w="0" w:type="dxa"/>
              <w:bottom w:w="0" w:type="dxa"/>
              <w:right w:w="0" w:type="dxa"/>
            </w:tcMar>
            <w:vAlign w:val="center"/>
          </w:tcPr>
          <w:p w14:paraId="4D515007" w14:textId="77777777" w:rsidR="005D13AA" w:rsidRDefault="00095D23">
            <w:pPr>
              <w:keepNext/>
              <w:spacing w:before="100" w:after="100" w:line="240" w:lineRule="auto"/>
              <w:ind w:left="100" w:right="100"/>
              <w:jc w:val="center"/>
            </w:pPr>
            <w:r>
              <w:rPr>
                <w:rFonts w:ascii="Lato Light" w:eastAsia="Lato Light" w:hAnsi="Lato Light" w:cs="Lato Light"/>
                <w:color w:val="000000"/>
                <w:sz w:val="20"/>
                <w:szCs w:val="20"/>
              </w:rPr>
              <w:t>5 (42%)</w:t>
            </w:r>
          </w:p>
        </w:tc>
        <w:tc>
          <w:tcPr>
            <w:tcW w:w="1701" w:type="dxa"/>
            <w:shd w:val="clear" w:color="auto" w:fill="FFFFFF"/>
            <w:tcMar>
              <w:top w:w="0" w:type="dxa"/>
              <w:left w:w="0" w:type="dxa"/>
              <w:bottom w:w="0" w:type="dxa"/>
              <w:right w:w="0" w:type="dxa"/>
            </w:tcMar>
            <w:vAlign w:val="center"/>
          </w:tcPr>
          <w:p w14:paraId="4D515008" w14:textId="77777777" w:rsidR="005D13AA" w:rsidRDefault="00095D23">
            <w:pPr>
              <w:keepNext/>
              <w:spacing w:before="100" w:after="100" w:line="240" w:lineRule="auto"/>
              <w:ind w:left="100" w:right="100"/>
              <w:jc w:val="center"/>
            </w:pPr>
            <w:r>
              <w:rPr>
                <w:rFonts w:ascii="Lato Light" w:eastAsia="Lato Light" w:hAnsi="Lato Light" w:cs="Lato Light"/>
                <w:color w:val="000000"/>
                <w:sz w:val="20"/>
                <w:szCs w:val="20"/>
              </w:rPr>
              <w:t>6 (75%)</w:t>
            </w:r>
          </w:p>
        </w:tc>
        <w:tc>
          <w:tcPr>
            <w:tcW w:w="1984" w:type="dxa"/>
            <w:tcBorders>
              <w:right w:val="single" w:sz="20" w:space="0" w:color="60A3BC"/>
            </w:tcBorders>
            <w:shd w:val="clear" w:color="auto" w:fill="FFFFFF"/>
            <w:tcMar>
              <w:top w:w="0" w:type="dxa"/>
              <w:left w:w="0" w:type="dxa"/>
              <w:bottom w:w="0" w:type="dxa"/>
              <w:right w:w="0" w:type="dxa"/>
            </w:tcMar>
            <w:vAlign w:val="center"/>
          </w:tcPr>
          <w:p w14:paraId="4D515009" w14:textId="77777777" w:rsidR="005D13AA" w:rsidRDefault="00095D23">
            <w:pPr>
              <w:keepNext/>
              <w:spacing w:before="100" w:after="100" w:line="240" w:lineRule="auto"/>
              <w:ind w:left="100" w:right="100"/>
              <w:jc w:val="center"/>
            </w:pPr>
            <w:r>
              <w:rPr>
                <w:rFonts w:ascii="Lato Light" w:eastAsia="Lato Light" w:hAnsi="Lato Light" w:cs="Lato Light"/>
                <w:color w:val="000000"/>
                <w:sz w:val="20"/>
                <w:szCs w:val="20"/>
              </w:rPr>
              <w:t>3 (60%)</w:t>
            </w:r>
          </w:p>
        </w:tc>
      </w:tr>
      <w:tr w:rsidR="005D13AA" w14:paraId="4D515010" w14:textId="77777777">
        <w:trPr>
          <w:cantSplit/>
          <w:jc w:val="center"/>
        </w:trPr>
        <w:tc>
          <w:tcPr>
            <w:tcW w:w="2835" w:type="dxa"/>
            <w:tcBorders>
              <w:left w:val="single" w:sz="20" w:space="0" w:color="60A3BC"/>
              <w:bottom w:val="single" w:sz="20" w:space="0" w:color="60A3BC"/>
            </w:tcBorders>
            <w:shd w:val="clear" w:color="auto" w:fill="FFFFFF"/>
            <w:tcMar>
              <w:top w:w="0" w:type="dxa"/>
              <w:left w:w="0" w:type="dxa"/>
              <w:bottom w:w="0" w:type="dxa"/>
              <w:right w:w="0" w:type="dxa"/>
            </w:tcMar>
          </w:tcPr>
          <w:p w14:paraId="4D51500B" w14:textId="77777777" w:rsidR="005D13AA" w:rsidRDefault="00095D23">
            <w:pPr>
              <w:keepNext/>
              <w:spacing w:before="100" w:after="100" w:line="240" w:lineRule="auto"/>
              <w:ind w:left="100" w:right="100"/>
              <w:jc w:val="left"/>
            </w:pPr>
            <w:r>
              <w:rPr>
                <w:rFonts w:ascii="Lato Light" w:eastAsia="Lato Light" w:hAnsi="Lato Light" w:cs="Lato Light"/>
                <w:b/>
                <w:color w:val="000000"/>
                <w:sz w:val="20"/>
                <w:szCs w:val="20"/>
              </w:rPr>
              <w:t>Changement de genre à l'état-civil</w:t>
            </w:r>
          </w:p>
        </w:tc>
        <w:tc>
          <w:tcPr>
            <w:tcW w:w="1701" w:type="dxa"/>
            <w:tcBorders>
              <w:bottom w:val="single" w:sz="20" w:space="0" w:color="60A3BC"/>
            </w:tcBorders>
            <w:shd w:val="clear" w:color="auto" w:fill="FFFFFF"/>
            <w:tcMar>
              <w:top w:w="0" w:type="dxa"/>
              <w:left w:w="0" w:type="dxa"/>
              <w:bottom w:w="0" w:type="dxa"/>
              <w:right w:w="0" w:type="dxa"/>
            </w:tcMar>
            <w:vAlign w:val="center"/>
          </w:tcPr>
          <w:p w14:paraId="4D51500C" w14:textId="77777777" w:rsidR="005D13AA" w:rsidRDefault="00095D23">
            <w:pPr>
              <w:keepNext/>
              <w:spacing w:before="100" w:after="100" w:line="240" w:lineRule="auto"/>
              <w:ind w:left="100" w:right="100"/>
              <w:jc w:val="center"/>
            </w:pPr>
            <w:r>
              <w:rPr>
                <w:rFonts w:ascii="Lato Light" w:eastAsia="Lato Light" w:hAnsi="Lato Light" w:cs="Lato Light"/>
                <w:b/>
                <w:color w:val="000000"/>
                <w:sz w:val="20"/>
                <w:szCs w:val="20"/>
              </w:rPr>
              <w:t>9 (36%)</w:t>
            </w:r>
          </w:p>
        </w:tc>
        <w:tc>
          <w:tcPr>
            <w:tcW w:w="1701" w:type="dxa"/>
            <w:tcBorders>
              <w:bottom w:val="single" w:sz="20" w:space="0" w:color="60A3BC"/>
            </w:tcBorders>
            <w:shd w:val="clear" w:color="auto" w:fill="FFFFFF"/>
            <w:tcMar>
              <w:top w:w="0" w:type="dxa"/>
              <w:left w:w="0" w:type="dxa"/>
              <w:bottom w:w="0" w:type="dxa"/>
              <w:right w:w="0" w:type="dxa"/>
            </w:tcMar>
            <w:vAlign w:val="center"/>
          </w:tcPr>
          <w:p w14:paraId="4D51500D" w14:textId="77777777" w:rsidR="005D13AA" w:rsidRDefault="00095D23">
            <w:pPr>
              <w:keepNext/>
              <w:spacing w:before="100" w:after="100" w:line="240" w:lineRule="auto"/>
              <w:ind w:left="100" w:right="100"/>
              <w:jc w:val="center"/>
            </w:pPr>
            <w:r>
              <w:rPr>
                <w:rFonts w:ascii="Lato Light" w:eastAsia="Lato Light" w:hAnsi="Lato Light" w:cs="Lato Light"/>
                <w:color w:val="000000"/>
                <w:sz w:val="20"/>
                <w:szCs w:val="20"/>
              </w:rPr>
              <w:t>5 (42%)</w:t>
            </w:r>
          </w:p>
        </w:tc>
        <w:tc>
          <w:tcPr>
            <w:tcW w:w="1701" w:type="dxa"/>
            <w:tcBorders>
              <w:bottom w:val="single" w:sz="20" w:space="0" w:color="60A3BC"/>
            </w:tcBorders>
            <w:shd w:val="clear" w:color="auto" w:fill="FFFFFF"/>
            <w:tcMar>
              <w:top w:w="0" w:type="dxa"/>
              <w:left w:w="0" w:type="dxa"/>
              <w:bottom w:w="0" w:type="dxa"/>
              <w:right w:w="0" w:type="dxa"/>
            </w:tcMar>
            <w:vAlign w:val="center"/>
          </w:tcPr>
          <w:p w14:paraId="4D51500E" w14:textId="77777777" w:rsidR="005D13AA" w:rsidRDefault="00095D23">
            <w:pPr>
              <w:keepNext/>
              <w:spacing w:before="100" w:after="100" w:line="240" w:lineRule="auto"/>
              <w:ind w:left="100" w:right="100"/>
              <w:jc w:val="center"/>
            </w:pPr>
            <w:r>
              <w:rPr>
                <w:rFonts w:ascii="Lato Light" w:eastAsia="Lato Light" w:hAnsi="Lato Light" w:cs="Lato Light"/>
                <w:color w:val="000000"/>
                <w:sz w:val="20"/>
                <w:szCs w:val="20"/>
              </w:rPr>
              <w:t>2 (25%)</w:t>
            </w:r>
          </w:p>
        </w:tc>
        <w:tc>
          <w:tcPr>
            <w:tcW w:w="1984" w:type="dxa"/>
            <w:tcBorders>
              <w:bottom w:val="single" w:sz="20" w:space="0" w:color="60A3BC"/>
              <w:right w:val="single" w:sz="20" w:space="0" w:color="60A3BC"/>
            </w:tcBorders>
            <w:shd w:val="clear" w:color="auto" w:fill="FFFFFF"/>
            <w:tcMar>
              <w:top w:w="0" w:type="dxa"/>
              <w:left w:w="0" w:type="dxa"/>
              <w:bottom w:w="0" w:type="dxa"/>
              <w:right w:w="0" w:type="dxa"/>
            </w:tcMar>
            <w:vAlign w:val="center"/>
          </w:tcPr>
          <w:p w14:paraId="4D51500F" w14:textId="77777777" w:rsidR="005D13AA" w:rsidRDefault="00095D23">
            <w:pPr>
              <w:keepNext/>
              <w:spacing w:before="100" w:after="100" w:line="240" w:lineRule="auto"/>
              <w:ind w:left="100" w:right="100"/>
              <w:jc w:val="center"/>
            </w:pPr>
            <w:r>
              <w:rPr>
                <w:rFonts w:ascii="Lato Light" w:eastAsia="Lato Light" w:hAnsi="Lato Light" w:cs="Lato Light"/>
                <w:color w:val="000000"/>
                <w:sz w:val="20"/>
                <w:szCs w:val="20"/>
              </w:rPr>
              <w:t>2 (40%)</w:t>
            </w:r>
          </w:p>
        </w:tc>
      </w:tr>
      <w:tr w:rsidR="005D13AA" w14:paraId="4D515012" w14:textId="77777777">
        <w:trPr>
          <w:cantSplit/>
          <w:jc w:val="center"/>
        </w:trPr>
        <w:tc>
          <w:tcPr>
            <w:tcW w:w="9922" w:type="dxa"/>
            <w:gridSpan w:val="5"/>
            <w:shd w:val="clear" w:color="auto" w:fill="FFFFFF"/>
            <w:tcMar>
              <w:top w:w="0" w:type="dxa"/>
              <w:left w:w="0" w:type="dxa"/>
              <w:bottom w:w="0" w:type="dxa"/>
              <w:right w:w="0" w:type="dxa"/>
            </w:tcMar>
            <w:vAlign w:val="center"/>
          </w:tcPr>
          <w:p w14:paraId="4D515011" w14:textId="77777777" w:rsidR="005D13AA" w:rsidRDefault="00095D23">
            <w:pPr>
              <w:keepNext/>
              <w:spacing w:before="100" w:after="100" w:line="240" w:lineRule="auto"/>
              <w:ind w:left="100" w:right="100"/>
              <w:jc w:val="left"/>
            </w:pPr>
            <w:r>
              <w:rPr>
                <w:rFonts w:ascii="Arial" w:eastAsia="Arial" w:hAnsi="Arial" w:cs="Arial"/>
                <w:color w:val="000000"/>
                <w:sz w:val="20"/>
                <w:szCs w:val="20"/>
                <w:vertAlign w:val="superscript"/>
              </w:rPr>
              <w:t>1</w:t>
            </w:r>
            <w:r>
              <w:rPr>
                <w:rFonts w:ascii="Arial" w:eastAsia="Arial" w:hAnsi="Arial" w:cs="Arial"/>
                <w:color w:val="000000"/>
                <w:sz w:val="20"/>
                <w:szCs w:val="20"/>
              </w:rPr>
              <w:t>n (%)</w:t>
            </w:r>
          </w:p>
        </w:tc>
      </w:tr>
    </w:tbl>
    <w:p w14:paraId="4D515013" w14:textId="77777777" w:rsidR="005D13AA" w:rsidRDefault="00095D23">
      <w:pPr>
        <w:pStyle w:val="Corpsdetexte"/>
      </w:pPr>
      <w:r>
        <w:t xml:space="preserve">Pour le reste des résultats de ce TFE, les hommes transgenres et personnes non-binaires transmasculines ont été fusionnées dans la catégorie “personnes transmasculines” tandis que les femmes transgenres et les personnes non-binaires transféminines ont été </w:t>
      </w:r>
      <w:r>
        <w:t>réunies dans la catégories “personnes transféminines” afin d’obtenir suffisamment de cas dans chaque case.</w:t>
      </w:r>
    </w:p>
    <w:p w14:paraId="4D515014" w14:textId="77777777" w:rsidR="005D13AA" w:rsidRDefault="00095D23">
      <w:pPr>
        <w:pStyle w:val="Titre3"/>
      </w:pPr>
      <w:bookmarkStart w:id="20" w:name="problèmes-de-santé"/>
      <w:bookmarkEnd w:id="18"/>
      <w:r>
        <w:t>Problèmes de santé</w:t>
      </w:r>
    </w:p>
    <w:p w14:paraId="4D515015" w14:textId="77777777" w:rsidR="005D13AA" w:rsidRDefault="00095D23">
      <w:pPr>
        <w:pStyle w:val="FirstParagraph"/>
      </w:pPr>
      <w:r>
        <w:t>Les problèmes de santé les plus représentés dans l’échantillon étaient des problèmes de santé mentale, avec 6 patient·e·s présentant un trouble dépressif majeur (soit 24% de l’échantillon), 1 patient présentant un trouble anxieux et 1 patiente présentant u</w:t>
      </w:r>
      <w:r>
        <w:t xml:space="preserve">n mésusage d’alcool. Les autres problèmes de santé retrouvés dans l’échantillon n’étaient présents qu’une fois : anémie ferriprive, asthme, BPCO, eczéma, syndrome de Fanconi, syndrome des ovaires micropolykystiques, rhinite chronique, et thrombophilie. En </w:t>
      </w:r>
      <w:r>
        <w:t>outre, 2 patientes se situaient sur le spectre autistique.</w:t>
      </w:r>
    </w:p>
    <w:p w14:paraId="4D515016" w14:textId="77777777" w:rsidR="005D13AA" w:rsidRDefault="00095D23">
      <w:pPr>
        <w:pStyle w:val="Titre3"/>
      </w:pPr>
      <w:bookmarkStart w:id="21" w:name="durée-du-suivi"/>
      <w:bookmarkEnd w:id="20"/>
      <w:r>
        <w:t>Durée du suivi</w:t>
      </w:r>
    </w:p>
    <w:p w14:paraId="4D515017" w14:textId="0C275303" w:rsidR="005D13AA" w:rsidRDefault="00095D23">
      <w:pPr>
        <w:pStyle w:val="FirstParagraph"/>
      </w:pPr>
      <w:r>
        <w:t>Les participants·e·s de l’étude ont été suivis entre 91 et 469 jours avec une durée médiane de 182 jours. En termes de consultation de suivi, 25 patient·e·s ont été suivi·e·s au moin</w:t>
      </w:r>
      <w:r>
        <w:t xml:space="preserve">s jusqu’à la première consultation trimestrielle (T1), 19 patient·e·s, jusqu’à la deuxième (T2), 9, jusqu’à la troisième (T3), et 5, jusqu’à la quatrième (T4). Un·e seul·e patient·e a été perdu·e de vue, suite à sa décision d’interrompre le THAG. Comme le </w:t>
      </w:r>
      <w:r>
        <w:t xml:space="preserve">montre la figure </w:t>
      </w:r>
      <w:hyperlink w:anchor="FollowPlot">
        <w:r>
          <w:fldChar w:fldCharType="begin"/>
        </w:r>
        <w:r>
          <w:instrText xml:space="preserve"> REF FollowPlot \h</w:instrText>
        </w:r>
        <w:r w:rsidR="00ED32C4">
          <w:fldChar w:fldCharType="separate"/>
        </w:r>
        <w:r w:rsidR="00ED32C4">
          <w:rPr>
            <w:b/>
            <w:noProof/>
          </w:rPr>
          <w:t>2</w:t>
        </w:r>
        <w:r>
          <w:fldChar w:fldCharType="end"/>
        </w:r>
      </w:hyperlink>
      <w:r>
        <w:t>, la répartition par genres reste globalement équilibrée. On constate davantage de personnes transféminines jusqu’à T3 inclus</w:t>
      </w:r>
      <w:r>
        <w:t>. Cela est dû au fait que j’avais un peu plus de patient·e·s transmasculin·e·s quand j’ai commencé à faire des suivis hormonaux, ce qui fut vite contrebalancé.</w:t>
      </w:r>
    </w:p>
    <w:p w14:paraId="4D515018" w14:textId="77777777" w:rsidR="005D13AA" w:rsidRDefault="00095D23">
      <w:pPr>
        <w:pStyle w:val="Figure"/>
        <w:jc w:val="center"/>
      </w:pPr>
      <w:r>
        <w:rPr>
          <w:noProof/>
        </w:rPr>
        <w:drawing>
          <wp:inline distT="0" distB="0" distL="0" distR="0" wp14:anchorId="4D515054" wp14:editId="4D515055">
            <wp:extent cx="6126480" cy="3657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85090" cy="50800"/>
                    </a:xfrm>
                    <a:prstGeom prst="rect">
                      <a:avLst/>
                    </a:prstGeom>
                    <a:noFill/>
                  </pic:spPr>
                </pic:pic>
              </a:graphicData>
            </a:graphic>
          </wp:inline>
        </w:drawing>
      </w:r>
    </w:p>
    <w:p w14:paraId="4D515019" w14:textId="6765F935" w:rsidR="005D13AA" w:rsidRDefault="00095D23">
      <w:pPr>
        <w:pStyle w:val="Lgende1"/>
      </w:pPr>
      <w:r>
        <w:rPr>
          <w:b/>
        </w:rPr>
        <w:t xml:space="preserve">Figure </w:t>
      </w:r>
      <w:bookmarkStart w:id="22" w:name="FollowPlot"/>
      <w:r>
        <w:rPr>
          <w:b/>
        </w:rPr>
        <w:fldChar w:fldCharType="begin"/>
      </w:r>
      <w:r>
        <w:rPr>
          <w:b/>
        </w:rPr>
        <w:instrText>SEQ fig \* Arabic</w:instrText>
      </w:r>
      <w:r w:rsidR="00ED32C4">
        <w:rPr>
          <w:b/>
        </w:rPr>
        <w:fldChar w:fldCharType="separate"/>
      </w:r>
      <w:r w:rsidR="00ED32C4">
        <w:rPr>
          <w:b/>
          <w:noProof/>
        </w:rPr>
        <w:t>2</w:t>
      </w:r>
      <w:r>
        <w:rPr>
          <w:b/>
        </w:rPr>
        <w:fldChar w:fldCharType="end"/>
      </w:r>
      <w:bookmarkEnd w:id="22"/>
      <w:r>
        <w:t xml:space="preserve">: </w:t>
      </w:r>
      <w:r>
        <w:t>Nombre de patient·e·s par consultation trimestrielle et par genre</w:t>
      </w:r>
    </w:p>
    <w:p w14:paraId="4D51501A" w14:textId="77777777" w:rsidR="005D13AA" w:rsidRDefault="00095D23">
      <w:pPr>
        <w:pStyle w:val="Titre2"/>
      </w:pPr>
      <w:bookmarkStart w:id="23" w:name="données-subjectives"/>
      <w:bookmarkStart w:id="24" w:name="_Toc101328784"/>
      <w:bookmarkEnd w:id="14"/>
      <w:bookmarkEnd w:id="21"/>
      <w:r>
        <w:t>Données subjectives</w:t>
      </w:r>
      <w:bookmarkEnd w:id="24"/>
    </w:p>
    <w:p w14:paraId="4D51501B" w14:textId="77777777" w:rsidR="005D13AA" w:rsidRDefault="00095D23">
      <w:pPr>
        <w:pStyle w:val="Titre3"/>
      </w:pPr>
      <w:bookmarkStart w:id="25" w:name="contexte-social"/>
      <w:r>
        <w:t>Contexte social</w:t>
      </w:r>
    </w:p>
    <w:p w14:paraId="4D51501C" w14:textId="3CE5D5C6" w:rsidR="005D13AA" w:rsidRDefault="00095D23">
      <w:pPr>
        <w:pStyle w:val="FirstParagraph"/>
      </w:pPr>
      <w:r>
        <w:t xml:space="preserve">Une des questions que je pose à l’anamnèse de la première consultation est de savoir si un </w:t>
      </w:r>
      <w:r>
        <w:rPr>
          <w:i/>
          <w:iCs/>
        </w:rPr>
        <w:t>coming out</w:t>
      </w:r>
      <w:r>
        <w:t xml:space="preserve"> a été fait et, si oui, auprès de quelles personnes e</w:t>
      </w:r>
      <w:r>
        <w:t xml:space="preserve">t avec quelles réactions. L’objectif de cette question est d’évaluer le degré de soutien social dans le processus de transition. La figure </w:t>
      </w:r>
      <w:hyperlink w:anchor="FamPlot">
        <w:r>
          <w:fldChar w:fldCharType="begin"/>
        </w:r>
        <w:r>
          <w:instrText xml:space="preserve"> REF FamPlot \h</w:instrText>
        </w:r>
        <w:r w:rsidR="00ED32C4">
          <w:fldChar w:fldCharType="separate"/>
        </w:r>
        <w:r w:rsidR="00ED32C4">
          <w:rPr>
            <w:b/>
            <w:noProof/>
          </w:rPr>
          <w:t>3</w:t>
        </w:r>
        <w:r>
          <w:fldChar w:fldCharType="end"/>
        </w:r>
      </w:hyperlink>
      <w:r>
        <w:t xml:space="preserve"> montre une </w:t>
      </w:r>
      <w:r>
        <w:t>représentation graphique du coming out familial des patient·e·s de l’échantillon. Les patient·s· transmasculin·e·s de l’échantillon avaient tous au moins fait leur coming out à leurs deux parents tandis que 5 patient·e·s transféminines sur 13 n’avaient fai</w:t>
      </w:r>
      <w:r>
        <w:t>t leur coming out qu’à une partie de leur famille, voire à personne pour l’une d’entre elles. A noter que l’information étaient absente du dossier pour 3 patient·e·s transmasculin·e·s.</w:t>
      </w:r>
    </w:p>
    <w:p w14:paraId="4D51501D" w14:textId="77777777" w:rsidR="005D13AA" w:rsidRDefault="00095D23">
      <w:pPr>
        <w:pStyle w:val="Corpsdetexte"/>
      </w:pPr>
      <w:r>
        <w:t>Parmi les patient·e·s ayant fait un coming out à leur famille, 25% n’on</w:t>
      </w:r>
      <w:r>
        <w:t>t pas eu une réaction positive de cette dernière.</w:t>
      </w:r>
    </w:p>
    <w:p w14:paraId="4D51501E" w14:textId="77777777" w:rsidR="005D13AA" w:rsidRDefault="00095D23">
      <w:pPr>
        <w:pStyle w:val="Figure"/>
        <w:jc w:val="center"/>
      </w:pPr>
      <w:r>
        <w:rPr>
          <w:noProof/>
        </w:rPr>
        <w:drawing>
          <wp:inline distT="0" distB="0" distL="0" distR="0" wp14:anchorId="4D515056" wp14:editId="4D515057">
            <wp:extent cx="6126480" cy="36576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a:srcRect/>
                    <a:stretch>
                      <a:fillRect/>
                    </a:stretch>
                  </pic:blipFill>
                  <pic:spPr bwMode="auto">
                    <a:xfrm>
                      <a:off x="0" y="0"/>
                      <a:ext cx="85090" cy="50800"/>
                    </a:xfrm>
                    <a:prstGeom prst="rect">
                      <a:avLst/>
                    </a:prstGeom>
                    <a:noFill/>
                  </pic:spPr>
                </pic:pic>
              </a:graphicData>
            </a:graphic>
          </wp:inline>
        </w:drawing>
      </w:r>
    </w:p>
    <w:p w14:paraId="4D51501F" w14:textId="5823DC9B" w:rsidR="005D13AA" w:rsidRDefault="00095D23">
      <w:pPr>
        <w:pStyle w:val="Lgende1"/>
      </w:pPr>
      <w:r>
        <w:rPr>
          <w:b/>
        </w:rPr>
        <w:t xml:space="preserve">Figure </w:t>
      </w:r>
      <w:bookmarkStart w:id="26" w:name="FamPlot"/>
      <w:r>
        <w:rPr>
          <w:b/>
        </w:rPr>
        <w:fldChar w:fldCharType="begin"/>
      </w:r>
      <w:r>
        <w:rPr>
          <w:b/>
        </w:rPr>
        <w:instrText>SEQ fig \* Arabic</w:instrText>
      </w:r>
      <w:r w:rsidR="00ED32C4">
        <w:rPr>
          <w:b/>
        </w:rPr>
        <w:fldChar w:fldCharType="separate"/>
      </w:r>
      <w:r w:rsidR="00ED32C4">
        <w:rPr>
          <w:b/>
          <w:noProof/>
        </w:rPr>
        <w:t>3</w:t>
      </w:r>
      <w:r>
        <w:rPr>
          <w:b/>
        </w:rPr>
        <w:fldChar w:fldCharType="end"/>
      </w:r>
      <w:bookmarkEnd w:id="26"/>
      <w:r>
        <w:t>: Membres de la famille auxquel·le·s les participant·e·s ont annoncé leur transidentité, par genre</w:t>
      </w:r>
    </w:p>
    <w:p w14:paraId="4D515020" w14:textId="1C2727D5" w:rsidR="005D13AA" w:rsidRDefault="00095D23">
      <w:pPr>
        <w:pStyle w:val="Corpsdetexte"/>
      </w:pPr>
      <w:r>
        <w:t xml:space="preserve">Au niveau amical, la figure </w:t>
      </w:r>
      <w:hyperlink w:anchor="AmisPlot">
        <w:r>
          <w:fldChar w:fldCharType="begin"/>
        </w:r>
        <w:r>
          <w:instrText xml:space="preserve"> REF AmisPlot \h</w:instrText>
        </w:r>
        <w:r w:rsidR="00ED32C4">
          <w:fldChar w:fldCharType="separate"/>
        </w:r>
        <w:r w:rsidR="00ED32C4">
          <w:rPr>
            <w:b/>
            <w:noProof/>
          </w:rPr>
          <w:t>4</w:t>
        </w:r>
        <w:r>
          <w:fldChar w:fldCharType="end"/>
        </w:r>
      </w:hyperlink>
      <w:r>
        <w:t xml:space="preserve"> montre un pattern similaire à ce qui a été décrit pour le </w:t>
      </w:r>
      <w:r>
        <w:rPr>
          <w:i/>
          <w:iCs/>
        </w:rPr>
        <w:t>coming out</w:t>
      </w:r>
      <w:r>
        <w:t xml:space="preserve"> familial avec une moins grande tendance des personnes transféminines à révéler leur transidentité à leurs proches. Ces résultats </w:t>
      </w:r>
      <w:r>
        <w:t>doivent toutefois être interprétés prudemment dans la mesure où il manque des données pour 9 participant·e·s (5 personnes transféminines et 4 transmasculines). Toutefois, puisque les valeurs manquantes ne touchaient pas disproportionnent un groupe et que l</w:t>
      </w:r>
      <w:r>
        <w:t xml:space="preserve">es résultats étaient cohérents avec ceux de la figure </w:t>
      </w:r>
      <w:hyperlink w:anchor="FamPlot">
        <w:r>
          <w:fldChar w:fldCharType="begin"/>
        </w:r>
        <w:r>
          <w:instrText xml:space="preserve"> REF FamPlot \h</w:instrText>
        </w:r>
        <w:r w:rsidR="00ED32C4">
          <w:fldChar w:fldCharType="separate"/>
        </w:r>
        <w:r w:rsidR="00ED32C4">
          <w:rPr>
            <w:b/>
            <w:noProof/>
          </w:rPr>
          <w:t>3</w:t>
        </w:r>
        <w:r>
          <w:fldChar w:fldCharType="end"/>
        </w:r>
      </w:hyperlink>
      <w:r>
        <w:t xml:space="preserve">, j’ai choisi de présenter ce graphique. En ce qui concerne la réaction des ami·e·s, celle-ci a </w:t>
      </w:r>
      <w:r>
        <w:t>été positive pour la totalité de l’échantillon.</w:t>
      </w:r>
    </w:p>
    <w:p w14:paraId="4D515021" w14:textId="77777777" w:rsidR="005D13AA" w:rsidRDefault="00095D23">
      <w:pPr>
        <w:pStyle w:val="Figure"/>
        <w:jc w:val="center"/>
      </w:pPr>
      <w:r>
        <w:rPr>
          <w:noProof/>
        </w:rPr>
        <w:drawing>
          <wp:inline distT="0" distB="0" distL="0" distR="0" wp14:anchorId="4D515058" wp14:editId="4D515059">
            <wp:extent cx="6126480" cy="36576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0"/>
                    <a:srcRect/>
                    <a:stretch>
                      <a:fillRect/>
                    </a:stretch>
                  </pic:blipFill>
                  <pic:spPr bwMode="auto">
                    <a:xfrm>
                      <a:off x="0" y="0"/>
                      <a:ext cx="85090" cy="50800"/>
                    </a:xfrm>
                    <a:prstGeom prst="rect">
                      <a:avLst/>
                    </a:prstGeom>
                    <a:noFill/>
                  </pic:spPr>
                </pic:pic>
              </a:graphicData>
            </a:graphic>
          </wp:inline>
        </w:drawing>
      </w:r>
    </w:p>
    <w:p w14:paraId="4D515022" w14:textId="496059C9" w:rsidR="005D13AA" w:rsidRDefault="00095D23">
      <w:pPr>
        <w:pStyle w:val="Lgende1"/>
      </w:pPr>
      <w:r>
        <w:rPr>
          <w:b/>
        </w:rPr>
        <w:t xml:space="preserve">Figure </w:t>
      </w:r>
      <w:bookmarkStart w:id="27" w:name="AmisPlot"/>
      <w:r>
        <w:rPr>
          <w:b/>
        </w:rPr>
        <w:fldChar w:fldCharType="begin"/>
      </w:r>
      <w:r>
        <w:rPr>
          <w:b/>
        </w:rPr>
        <w:instrText>SEQ fig \* Arabic</w:instrText>
      </w:r>
      <w:r w:rsidR="00ED32C4">
        <w:rPr>
          <w:b/>
        </w:rPr>
        <w:fldChar w:fldCharType="separate"/>
      </w:r>
      <w:r w:rsidR="00ED32C4">
        <w:rPr>
          <w:b/>
          <w:noProof/>
        </w:rPr>
        <w:t>4</w:t>
      </w:r>
      <w:r>
        <w:rPr>
          <w:b/>
        </w:rPr>
        <w:fldChar w:fldCharType="end"/>
      </w:r>
      <w:bookmarkEnd w:id="27"/>
      <w:r>
        <w:t>: Ami·e·s auxquel·le·s les participant·e·s ont annoncé leur transidentité, par genre</w:t>
      </w:r>
    </w:p>
    <w:p w14:paraId="4D515023" w14:textId="77777777" w:rsidR="005D13AA" w:rsidRDefault="00095D23">
      <w:pPr>
        <w:pStyle w:val="Titre3"/>
      </w:pPr>
      <w:bookmarkStart w:id="28" w:name="attentes-vis-à-vis-du-thag"/>
      <w:bookmarkEnd w:id="25"/>
      <w:r>
        <w:t>Attentes vis-à-vis du THAG</w:t>
      </w:r>
    </w:p>
    <w:p w14:paraId="4D515024" w14:textId="77777777" w:rsidR="005D13AA" w:rsidRDefault="00095D23">
      <w:pPr>
        <w:pStyle w:val="FirstParagraph"/>
      </w:pPr>
      <w:r>
        <w:t>Afin de mieux cerner les attentes des patient·e·s et de leur propose</w:t>
      </w:r>
      <w:r>
        <w:t>r un traitement le plus adapté à ces dernières, je leur demande ensuite s’iels connaissent les effets du THAG et, si oui, s’iels identifient des effets particulièrement importants pour leur point de confort actuel.</w:t>
      </w:r>
    </w:p>
    <w:p w14:paraId="4D515025" w14:textId="77777777" w:rsidR="005D13AA" w:rsidRDefault="00095D23">
      <w:pPr>
        <w:pStyle w:val="Corpsdetexte"/>
      </w:pPr>
      <w:r>
        <w:t>Pour les personnes transféminines, les ef</w:t>
      </w:r>
      <w:r>
        <w:t>fets les plus souvent mentionnés comme prioritaires étaient : une majoration de la poitrine ( 69% des patientes), une répartition plus féminine des graisses (46%), une diminution de la pilosité (46%), et un arrêt de la progression de l’alopécie androgéniqu</w:t>
      </w:r>
      <w:r>
        <w:t>e (23%). Un·e patient·e avait mentionné l’adoucissement de la peau tandis qu’aucun·e patient·e n’avait explicitement évoqué la diminution des érections spontanées ou la diminution de la masse musculaire comme étant une priorité.</w:t>
      </w:r>
    </w:p>
    <w:p w14:paraId="4D515026" w14:textId="77777777" w:rsidR="005D13AA" w:rsidRDefault="00095D23">
      <w:pPr>
        <w:pStyle w:val="Corpsdetexte"/>
      </w:pPr>
      <w:r>
        <w:t>Pour les personnes transmas</w:t>
      </w:r>
      <w:r>
        <w:t>culines, l’aggravation de la voix était l’effet le plus souvent recherché. Il s’agissait d’une priorité pour 91% des patient·e·s. Une répartition plus masculine des graisses et une majoration de la musculature étaient une priorité pour 45% des patient·e·s.</w:t>
      </w:r>
      <w:r>
        <w:t xml:space="preserve"> 27% des patient·e·s considéraient la majoration de leur pilosité comme une priorité tandis qu’un·e des patient·e·s avait mentionné l’accroissement du dickclit. Aucun·e n’avait cité l’aménorrhée comme étant sa priorité à l’initiation du THAG.</w:t>
      </w:r>
    </w:p>
    <w:p w14:paraId="4D515027" w14:textId="77777777" w:rsidR="005D13AA" w:rsidRDefault="00095D23">
      <w:pPr>
        <w:pStyle w:val="Corpsdetexte"/>
      </w:pPr>
      <w:r>
        <w:t>Au niveau des inquiétudes vis-à-vis de l’instauration du THAG, deux patient·e·s ont mentionné l’alopécie, un·e patient·e a évoqué l’acné, et un·e patient·e avait peur d’avoir une humeur plus instable à l’instauration du traitement.</w:t>
      </w:r>
    </w:p>
    <w:p w14:paraId="4D515028" w14:textId="77777777" w:rsidR="005D13AA" w:rsidRDefault="00095D23">
      <w:pPr>
        <w:pStyle w:val="Corpsdetexte"/>
      </w:pPr>
      <w:r>
        <w:t>Vu les impacts du THAG s</w:t>
      </w:r>
      <w:r>
        <w:t>ur la fertilité mentionnés dans l’introduction, je demande aux patient·e·s s’iels sont intéressé·e·s par la cryopréservation de leurs gamètes avant d’instaurer le THAG. Aucun patient transmasculin de l’échantillon n’a choisi de congeler ses gamètes avant T</w:t>
      </w:r>
      <w:r>
        <w:t>HAG tandis que 5 patientes transféminines ont préféré entamer les démarches de cryopréservation avant de commencer le THAG.</w:t>
      </w:r>
    </w:p>
    <w:p w14:paraId="4D515029" w14:textId="77777777" w:rsidR="005D13AA" w:rsidRDefault="00095D23">
      <w:pPr>
        <w:pStyle w:val="Titre3"/>
      </w:pPr>
      <w:bookmarkStart w:id="29" w:name="besoins-chirurgicaux"/>
      <w:bookmarkEnd w:id="28"/>
      <w:r>
        <w:t>Besoins chirurgicaux</w:t>
      </w:r>
    </w:p>
    <w:p w14:paraId="4D51502A" w14:textId="77777777" w:rsidR="005D13AA" w:rsidRDefault="00095D23">
      <w:pPr>
        <w:pStyle w:val="FirstParagraph"/>
      </w:pPr>
      <w:r>
        <w:t>Toujours dans le but d’appréhender au mieux les besoins des patient·e·s, de les informer au mieux, et de les ré</w:t>
      </w:r>
      <w:r>
        <w:t>férer vers les spécialistes adéquat·e·s, je leur ai demandé s’iels identifient déjà à ce stade des chirurgies nécessaires pour les rapprocher de leurs points de confort.</w:t>
      </w:r>
    </w:p>
    <w:p w14:paraId="4D51502B" w14:textId="77777777" w:rsidR="005D13AA" w:rsidRDefault="00095D23">
      <w:pPr>
        <w:pStyle w:val="Corpsdetexte"/>
      </w:pPr>
      <w:r>
        <w:t>Pour les patientes transféminines, la chirurgie la plus souvent identifiée comme néces</w:t>
      </w:r>
      <w:r>
        <w:t>saire était la vaginoplastie (42% des patient·e·s), suivie par les FFS (25%). Une patiente avait mentionné l’augmentation mammaire et aucun·e n’avait considéré les chirurgies vocales. En plus des patient·e·s ayant déjà une idée précise des chirurgies qui l</w:t>
      </w:r>
      <w:r>
        <w:t>eur semblent nécessaires, 2 patient·e·s hésitaient sur la FFS et une, sur la vaginoplastie. Dans l’ensemble, en ne comptant pas les patient·e·s qui hésitaient, 4 patient·e·s n’envisageaient aucune chirurgie, 7 patient·e·s en envisageaient une et 1 en envis</w:t>
      </w:r>
      <w:r>
        <w:t>ageait deux.</w:t>
      </w:r>
    </w:p>
    <w:p w14:paraId="4D51502C" w14:textId="77777777" w:rsidR="005D13AA" w:rsidRDefault="00095D23">
      <w:pPr>
        <w:pStyle w:val="Corpsdetexte"/>
      </w:pPr>
      <w:r>
        <w:t>La torsoplastie était considérée comme nécessaire par 82% des patient·e·s transmasculin·e·s tandis que les 18% restant·e·s y réfléchissaient encore lors de la première consultation. L’hystérectomie était envisagée par 18% des patient·e·s. Aucu</w:t>
      </w:r>
      <w:r>
        <w:t>n·e patient·e n’envisageait de chirurgie génitale. Dans l’ensemble, en ne prenant en compte que les patient·e·s qui étaient sûrs de leur choix, 2 patients n’envisageaient aucune chirurgie, 7 en envisageaient une, et 2 en envisageaient deux.</w:t>
      </w:r>
    </w:p>
    <w:p w14:paraId="4D51502D" w14:textId="77777777" w:rsidR="005D13AA" w:rsidRDefault="00095D23">
      <w:pPr>
        <w:pStyle w:val="Corpsdetexte"/>
      </w:pPr>
      <w:r>
        <w:t xml:space="preserve">A la rédaction </w:t>
      </w:r>
      <w:r>
        <w:t>de ce TFE, aucune patiente transféminine n’avait réalisé de chirurgie. Dans le même temps, 2 patient·e·s transmasculin·e·s ont bénéficié d’une torsoplastie après l’initiation du THAG tandis que 2 patient·e·s avaient réalisé leur torsoplastie avant la premi</w:t>
      </w:r>
      <w:r>
        <w:t>ère consultation. Enfin, 1 patient·e a réalisé une hystérectomie afin de se rapprocher de son point de confort.</w:t>
      </w:r>
    </w:p>
    <w:p w14:paraId="4D51502E" w14:textId="77777777" w:rsidR="005D13AA" w:rsidRDefault="00095D23">
      <w:pPr>
        <w:pStyle w:val="Titre2"/>
      </w:pPr>
      <w:bookmarkStart w:id="30" w:name="données-objectives"/>
      <w:bookmarkStart w:id="31" w:name="_Toc101328785"/>
      <w:bookmarkEnd w:id="23"/>
      <w:bookmarkEnd w:id="29"/>
      <w:r>
        <w:t>Données objectives</w:t>
      </w:r>
      <w:bookmarkEnd w:id="31"/>
    </w:p>
    <w:p w14:paraId="4D51502F" w14:textId="77777777" w:rsidR="005D13AA" w:rsidRDefault="00095D23">
      <w:pPr>
        <w:pStyle w:val="Titre3"/>
      </w:pPr>
      <w:bookmarkStart w:id="32" w:name="paramètres"/>
      <w:r>
        <w:t>Paramètres</w:t>
      </w:r>
    </w:p>
    <w:p w14:paraId="4D515030" w14:textId="77777777" w:rsidR="005D13AA" w:rsidRDefault="00095D23">
      <w:pPr>
        <w:pStyle w:val="Titre1"/>
      </w:pPr>
      <w:bookmarkStart w:id="33" w:name="discussion"/>
      <w:bookmarkStart w:id="34" w:name="_Toc101328786"/>
      <w:bookmarkEnd w:id="12"/>
      <w:bookmarkEnd w:id="30"/>
      <w:bookmarkEnd w:id="32"/>
      <w:r>
        <w:t>Discussion</w:t>
      </w:r>
      <w:bookmarkEnd w:id="34"/>
    </w:p>
    <w:p w14:paraId="4D515031" w14:textId="77777777" w:rsidR="005D13AA" w:rsidRDefault="00095D23">
      <w:r>
        <w:br w:type="page"/>
      </w:r>
    </w:p>
    <w:p w14:paraId="4D515032" w14:textId="77777777" w:rsidR="005D13AA" w:rsidRDefault="00095D23">
      <w:pPr>
        <w:pStyle w:val="Titre1"/>
      </w:pPr>
      <w:bookmarkStart w:id="35" w:name="conclusion"/>
      <w:bookmarkStart w:id="36" w:name="_Toc101328787"/>
      <w:bookmarkEnd w:id="33"/>
      <w:r>
        <w:t>Conclusion</w:t>
      </w:r>
      <w:bookmarkEnd w:id="36"/>
    </w:p>
    <w:p w14:paraId="4D515033" w14:textId="77777777" w:rsidR="005D13AA" w:rsidRDefault="00095D23">
      <w:r>
        <w:br w:type="page"/>
      </w:r>
    </w:p>
    <w:p w14:paraId="4D515034" w14:textId="77777777" w:rsidR="005D13AA" w:rsidRDefault="00095D23">
      <w:pPr>
        <w:pStyle w:val="Titre1"/>
      </w:pPr>
      <w:bookmarkStart w:id="37" w:name="bibliographie"/>
      <w:bookmarkStart w:id="38" w:name="_Toc101328788"/>
      <w:bookmarkEnd w:id="35"/>
      <w:r>
        <w:t>Bibliographie</w:t>
      </w:r>
      <w:bookmarkEnd w:id="38"/>
    </w:p>
    <w:p w14:paraId="4D515035" w14:textId="77777777" w:rsidR="005D13AA" w:rsidRDefault="00095D23">
      <w:bookmarkStart w:id="39" w:name="refs"/>
      <w:bookmarkEnd w:id="39"/>
      <w:r>
        <w:br w:type="page"/>
      </w:r>
    </w:p>
    <w:p w14:paraId="4D515036" w14:textId="77777777" w:rsidR="005D13AA" w:rsidRDefault="00095D23">
      <w:pPr>
        <w:pStyle w:val="Titre1"/>
      </w:pPr>
      <w:bookmarkStart w:id="40" w:name="part-annexes"/>
      <w:bookmarkStart w:id="41" w:name="_Toc101328789"/>
      <w:bookmarkEnd w:id="37"/>
      <w:r>
        <w:t>(PART) Annexes</w:t>
      </w:r>
      <w:bookmarkEnd w:id="41"/>
    </w:p>
    <w:p w14:paraId="4D515037" w14:textId="77777777" w:rsidR="005D13AA" w:rsidRDefault="00095D23">
      <w:pPr>
        <w:pStyle w:val="Titre1"/>
      </w:pPr>
      <w:bookmarkStart w:id="42" w:name="guide-de-codage-des-données-subjectives"/>
      <w:bookmarkStart w:id="43" w:name="_Toc101328790"/>
      <w:bookmarkEnd w:id="40"/>
      <w:r>
        <w:t>Guide de codage des données subjectives</w:t>
      </w:r>
      <w:bookmarkEnd w:id="43"/>
    </w:p>
    <w:p w14:paraId="4D515038" w14:textId="77777777" w:rsidR="005D13AA" w:rsidRDefault="00095D23">
      <w:pPr>
        <w:pStyle w:val="FirstParagraph"/>
      </w:pPr>
      <w:r>
        <w:t xml:space="preserve">Afin d’extraire les données subjectives des notes médicales, un guide d’extraction et de codages des variables a été développé au préalable. Ce guide a ensuite été testé et affiné jusqu’à sa version définitive ayant </w:t>
      </w:r>
      <w:r>
        <w:t>permis la réalisation de ce TFE.</w:t>
      </w:r>
    </w:p>
    <w:p w14:paraId="4D515039" w14:textId="77777777" w:rsidR="005D13AA" w:rsidRDefault="00095D23">
      <w:pPr>
        <w:pStyle w:val="Corpsdetexte"/>
      </w:pPr>
      <w:r>
        <w:t>Les données collectées correspondent aux thématiques abordées lors de l’anamnèse du premier rendez-vous ainsi que des rendez-vous de suivi et peuvent être divisées en 3 grandes catégories :</w:t>
      </w:r>
    </w:p>
    <w:p w14:paraId="4D51503A" w14:textId="77777777" w:rsidR="005D13AA" w:rsidRDefault="00095D23">
      <w:pPr>
        <w:numPr>
          <w:ilvl w:val="0"/>
          <w:numId w:val="15"/>
        </w:numPr>
      </w:pPr>
      <w:r>
        <w:t>Les aspects sociaux</w:t>
      </w:r>
    </w:p>
    <w:p w14:paraId="4D51503B" w14:textId="77777777" w:rsidR="005D13AA" w:rsidRDefault="00095D23">
      <w:pPr>
        <w:numPr>
          <w:ilvl w:val="0"/>
          <w:numId w:val="15"/>
        </w:numPr>
      </w:pPr>
      <w:r>
        <w:t>Les aspects h</w:t>
      </w:r>
      <w:r>
        <w:t>ormonaux</w:t>
      </w:r>
    </w:p>
    <w:p w14:paraId="4D51503C" w14:textId="77777777" w:rsidR="005D13AA" w:rsidRDefault="00095D23">
      <w:pPr>
        <w:numPr>
          <w:ilvl w:val="0"/>
          <w:numId w:val="15"/>
        </w:numPr>
      </w:pPr>
      <w:r>
        <w:t>Les aspects chirurgicaux</w:t>
      </w:r>
    </w:p>
    <w:p w14:paraId="4D51503D" w14:textId="77777777" w:rsidR="005D13AA" w:rsidRDefault="00095D23">
      <w:pPr>
        <w:pStyle w:val="Titre2"/>
      </w:pPr>
      <w:bookmarkStart w:id="44" w:name="aspects-sociaux"/>
      <w:bookmarkStart w:id="45" w:name="_Toc101328791"/>
      <w:r>
        <w:t>Aspects sociaux</w:t>
      </w:r>
      <w:bookmarkEnd w:id="45"/>
    </w:p>
    <w:p w14:paraId="4D51503E" w14:textId="77777777" w:rsidR="005D13AA" w:rsidRDefault="00095D23">
      <w:pPr>
        <w:pStyle w:val="Titre3"/>
      </w:pPr>
      <w:bookmarkStart w:id="46" w:name="famille"/>
      <w:r>
        <w:t>Famille</w:t>
      </w:r>
    </w:p>
    <w:p w14:paraId="4D51503F" w14:textId="77777777" w:rsidR="005D13AA" w:rsidRDefault="00095D23">
      <w:pPr>
        <w:numPr>
          <w:ilvl w:val="0"/>
          <w:numId w:val="16"/>
        </w:numPr>
      </w:pPr>
      <w:r>
        <w:rPr>
          <w:i/>
          <w:iCs/>
        </w:rPr>
        <w:t>Personnes au courant :</w:t>
      </w:r>
      <w:r>
        <w:t xml:space="preserve"> personne (0) ; mère seulement (1) ; père seulement (2) ; les deux parents ou le seul parent en vie (3) ; les parents et la majorité de la famille (4) ; quelques membres de la </w:t>
      </w:r>
      <w:r>
        <w:t>famille mais pas les parents (5) ; toute la famille (6)</w:t>
      </w:r>
    </w:p>
    <w:p w14:paraId="4D515040" w14:textId="77777777" w:rsidR="005D13AA" w:rsidRDefault="00095D23">
      <w:pPr>
        <w:numPr>
          <w:ilvl w:val="0"/>
          <w:numId w:val="16"/>
        </w:numPr>
      </w:pPr>
      <w:r>
        <w:rPr>
          <w:i/>
          <w:iCs/>
        </w:rPr>
        <w:t>Réaction initiale :</w:t>
      </w:r>
      <w:r>
        <w:t xml:space="preserve"> réaction négative (0) ; quelques difficultés (1) ; réaction neutre (2) ; réaction globalement positive (3)</w:t>
      </w:r>
    </w:p>
    <w:p w14:paraId="4D515041" w14:textId="77777777" w:rsidR="005D13AA" w:rsidRDefault="00095D23">
      <w:pPr>
        <w:pStyle w:val="Titre3"/>
      </w:pPr>
      <w:bookmarkStart w:id="47" w:name="amis"/>
      <w:bookmarkEnd w:id="46"/>
      <w:r>
        <w:t>Amis</w:t>
      </w:r>
    </w:p>
    <w:p w14:paraId="4D515042" w14:textId="77777777" w:rsidR="005D13AA" w:rsidRDefault="00095D23">
      <w:pPr>
        <w:numPr>
          <w:ilvl w:val="0"/>
          <w:numId w:val="17"/>
        </w:numPr>
      </w:pPr>
      <w:r>
        <w:rPr>
          <w:i/>
          <w:iCs/>
        </w:rPr>
        <w:t>Personnes au courant :</w:t>
      </w:r>
      <w:r>
        <w:t xml:space="preserve"> personne (0) ; uniquement les amis proches (1</w:t>
      </w:r>
      <w:r>
        <w:t>) ; la plupart des amis (2) ; tous ou presque (3)</w:t>
      </w:r>
    </w:p>
    <w:p w14:paraId="4D515043" w14:textId="77777777" w:rsidR="005D13AA" w:rsidRDefault="00095D23">
      <w:pPr>
        <w:numPr>
          <w:ilvl w:val="0"/>
          <w:numId w:val="17"/>
        </w:numPr>
      </w:pPr>
      <w:r>
        <w:rPr>
          <w:i/>
          <w:iCs/>
        </w:rPr>
        <w:t>Réaction initiale :</w:t>
      </w:r>
      <w:r>
        <w:t xml:space="preserve"> réaction hostile (0) ; quelques difficultés (1) ; réaction neutre (2) ; réaction globalement positive (3)</w:t>
      </w:r>
    </w:p>
    <w:p w14:paraId="4D515044" w14:textId="77777777" w:rsidR="005D13AA" w:rsidRDefault="00095D23">
      <w:pPr>
        <w:pStyle w:val="Titre2"/>
      </w:pPr>
      <w:bookmarkStart w:id="48" w:name="aspects-hormonaux"/>
      <w:bookmarkStart w:id="49" w:name="_Toc101328792"/>
      <w:bookmarkEnd w:id="44"/>
      <w:bookmarkEnd w:id="47"/>
      <w:r>
        <w:t>Aspects hormonaux</w:t>
      </w:r>
      <w:bookmarkEnd w:id="49"/>
    </w:p>
    <w:p w14:paraId="4D515045" w14:textId="77777777" w:rsidR="005D13AA" w:rsidRDefault="00095D23">
      <w:pPr>
        <w:pStyle w:val="Titre3"/>
      </w:pPr>
      <w:bookmarkStart w:id="50" w:name="effets-les-plus-attendus"/>
      <w:r>
        <w:t>Effets les plus attendus</w:t>
      </w:r>
    </w:p>
    <w:p w14:paraId="4D515046" w14:textId="77777777" w:rsidR="005D13AA" w:rsidRDefault="00095D23">
      <w:pPr>
        <w:pStyle w:val="FirstParagraph"/>
      </w:pPr>
      <w:r>
        <w:t>Variables binaires codée (1) si l’eff</w:t>
      </w:r>
      <w:r>
        <w:t>et a été mentionné explicitement comme une priorité pour le point de confort du/de la patient(e) et (0) dans le cas contraire. Chaque variable correspond à un des effets principaux du THAG soit :</w:t>
      </w:r>
    </w:p>
    <w:p w14:paraId="4D515047" w14:textId="77777777" w:rsidR="005D13AA" w:rsidRDefault="00095D23">
      <w:pPr>
        <w:numPr>
          <w:ilvl w:val="0"/>
          <w:numId w:val="18"/>
        </w:numPr>
      </w:pPr>
      <w:r>
        <w:t>Pour les femmes transgenres et autres personnes transféminin</w:t>
      </w:r>
      <w:r>
        <w:t>es, le développement de la poitrine, l’adoucissement de la peau, la diminution de la pilosité, la répartition plus féminine des graisses, la diminution de la musculature, la disparitions des érections spontanées et un arrêt de l’alopécie.</w:t>
      </w:r>
    </w:p>
    <w:p w14:paraId="4D515048" w14:textId="77777777" w:rsidR="005D13AA" w:rsidRDefault="00095D23">
      <w:pPr>
        <w:numPr>
          <w:ilvl w:val="0"/>
          <w:numId w:val="18"/>
        </w:numPr>
      </w:pPr>
      <w:r>
        <w:t>Pour les hommes t</w:t>
      </w:r>
      <w:r>
        <w:t>ransgenres et autres personnes transmasculines, l’aggravation de la voix, l’aménorrhée, la majoration de la pilosité, la répartition plus masculine des graisses, le développement de la musculature, et le développement d’un dickclit.</w:t>
      </w:r>
    </w:p>
    <w:p w14:paraId="4D515049" w14:textId="77777777" w:rsidR="005D13AA" w:rsidRDefault="00095D23">
      <w:pPr>
        <w:pStyle w:val="Titre3"/>
      </w:pPr>
      <w:bookmarkStart w:id="51" w:name="inquiétudes-vis-à-vis-du-traitement"/>
      <w:bookmarkEnd w:id="50"/>
      <w:r>
        <w:t>Inquiétudes vis-à-vis d</w:t>
      </w:r>
      <w:r>
        <w:t>u traitement</w:t>
      </w:r>
    </w:p>
    <w:p w14:paraId="4D51504A" w14:textId="77777777" w:rsidR="005D13AA" w:rsidRDefault="00095D23">
      <w:pPr>
        <w:pStyle w:val="FirstParagraph"/>
      </w:pPr>
      <w:r>
        <w:t>Variables binaires codées (1) si cet effet inquiète le patient ou (0) dans le cas contraire.</w:t>
      </w:r>
    </w:p>
    <w:p w14:paraId="4D51504B" w14:textId="77777777" w:rsidR="005D13AA" w:rsidRDefault="00095D23">
      <w:pPr>
        <w:pStyle w:val="Titre3"/>
      </w:pPr>
      <w:bookmarkStart w:id="52" w:name="cryopréservation-des-gamètes"/>
      <w:bookmarkEnd w:id="51"/>
      <w:r>
        <w:t>Cryopréservation des gamètes</w:t>
      </w:r>
    </w:p>
    <w:p w14:paraId="4D51504C" w14:textId="77777777" w:rsidR="005D13AA" w:rsidRDefault="00095D23">
      <w:pPr>
        <w:pStyle w:val="FirstParagraph"/>
      </w:pPr>
      <w:r>
        <w:t>Variable correspondant à la réalisation d’une cryopréservation des gamètes avant l’introduction du THAG : non-réalisée (0</w:t>
      </w:r>
      <w:r>
        <w:t>) démarches effectuées (1)</w:t>
      </w:r>
    </w:p>
    <w:p w14:paraId="4D51504D" w14:textId="77777777" w:rsidR="005D13AA" w:rsidRDefault="00095D23">
      <w:pPr>
        <w:pStyle w:val="Titre2"/>
      </w:pPr>
      <w:bookmarkStart w:id="53" w:name="aspects-chirurgicaux"/>
      <w:bookmarkStart w:id="54" w:name="_Toc101328793"/>
      <w:bookmarkEnd w:id="48"/>
      <w:bookmarkEnd w:id="52"/>
      <w:r>
        <w:t>Aspects chirurgicaux</w:t>
      </w:r>
      <w:bookmarkEnd w:id="54"/>
    </w:p>
    <w:p w14:paraId="4D51504E" w14:textId="77777777" w:rsidR="005D13AA" w:rsidRDefault="00095D23">
      <w:pPr>
        <w:pStyle w:val="FirstParagraph"/>
      </w:pPr>
      <w:r>
        <w:t>Pour chaque chirurgie couramment envisagée : n’a pas exprimé de réaliser l’opération (0) ; ne sait pas (1) ; besoin identifié (2).</w:t>
      </w:r>
    </w:p>
    <w:p w14:paraId="4D51504F" w14:textId="77777777" w:rsidR="005D13AA" w:rsidRDefault="00095D23">
      <w:pPr>
        <w:pStyle w:val="Corpsdetexte"/>
      </w:pPr>
      <w:r>
        <w:t>Ces chirurgies sont :</w:t>
      </w:r>
    </w:p>
    <w:p w14:paraId="4D515050" w14:textId="77777777" w:rsidR="005D13AA" w:rsidRDefault="00095D23">
      <w:pPr>
        <w:numPr>
          <w:ilvl w:val="0"/>
          <w:numId w:val="19"/>
        </w:numPr>
      </w:pPr>
      <w:r>
        <w:t>Pour les femmes transgenres et autres personnes transféminines : l’augmentation mammaire, la vaginoplas</w:t>
      </w:r>
      <w:r>
        <w:t>tie, les chirurgies de féminisation du visage et de féminisation vocale</w:t>
      </w:r>
    </w:p>
    <w:p w14:paraId="4D515051" w14:textId="77777777" w:rsidR="005D13AA" w:rsidRDefault="00095D23">
      <w:pPr>
        <w:numPr>
          <w:ilvl w:val="0"/>
          <w:numId w:val="19"/>
        </w:numPr>
      </w:pPr>
      <w:r>
        <w:t>Pour les hommes transgenres et autres personnes transmasculines : la torsoplastie, l’hystérectomie, la phalloplastie, et la métaidoïoplastie</w:t>
      </w:r>
      <w:bookmarkEnd w:id="42"/>
      <w:bookmarkEnd w:id="53"/>
    </w:p>
    <w:sectPr w:rsidR="005D13AA">
      <w:headerReference w:type="even" r:id="rId11"/>
      <w:headerReference w:type="default" r:id="rId12"/>
      <w:footerReference w:type="even" r:id="rId13"/>
      <w:footerReference w:type="default" r:id="rId14"/>
      <w:headerReference w:type="first" r:id="rId15"/>
      <w:footerReference w:type="first" r:id="rId16"/>
      <w:type w:val="continuous"/>
      <w:pgSz w:w="11952" w:h="16848"/>
      <w:pgMar w:top="1296" w:right="1296" w:bottom="1296" w:left="1296" w:header="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90928" w14:textId="77777777" w:rsidR="00095D23" w:rsidRDefault="00095D23">
      <w:pPr>
        <w:spacing w:before="0" w:after="0" w:line="240" w:lineRule="auto"/>
      </w:pPr>
      <w:r>
        <w:separator/>
      </w:r>
    </w:p>
  </w:endnote>
  <w:endnote w:type="continuationSeparator" w:id="0">
    <w:p w14:paraId="2D9B5E3A" w14:textId="77777777" w:rsidR="00095D23" w:rsidRDefault="00095D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altName w:val="Lato"/>
    <w:panose1 w:val="020F0502020204030203"/>
    <w:charset w:val="00"/>
    <w:family w:val="swiss"/>
    <w:pitch w:val="variable"/>
    <w:sig w:usb0="E10002FF" w:usb1="5000ECFF" w:usb2="00000021" w:usb3="00000000" w:csb0="0000019F" w:csb1="00000000"/>
  </w:font>
  <w:font w:name="Lato SemiBold">
    <w:altName w:val="Lato SemiBold"/>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PT Serif Caption">
    <w:charset w:val="00"/>
    <w:family w:val="roman"/>
    <w:pitch w:val="variable"/>
    <w:sig w:usb0="A00002EF" w:usb1="5000204B" w:usb2="00000000" w:usb3="00000000" w:csb0="00000097" w:csb1="00000000"/>
  </w:font>
  <w:font w:name="Consolas">
    <w:panose1 w:val="020B0609020204030204"/>
    <w:charset w:val="00"/>
    <w:family w:val="modern"/>
    <w:pitch w:val="fixed"/>
    <w:sig w:usb0="E00006FF" w:usb1="0000FCFF" w:usb2="00000001" w:usb3="00000000" w:csb0="0000019F" w:csb1="00000000"/>
  </w:font>
  <w:font w:name="Lato Light">
    <w:panose1 w:val="020F0302020204030203"/>
    <w:charset w:val="00"/>
    <w:family w:val="swiss"/>
    <w:pitch w:val="variable"/>
    <w:sig w:usb0="E10002FF" w:usb1="5000ECFF" w:usb2="00000021" w:usb3="00000000" w:csb0="0000019F" w:csb1="00000000"/>
  </w:font>
  <w:font w:name="Lato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1505E" w14:textId="77777777" w:rsidR="00AD79DD" w:rsidRDefault="00095D2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6370124"/>
      <w:docPartObj>
        <w:docPartGallery w:val="Page Numbers (Bottom of Page)"/>
        <w:docPartUnique/>
      </w:docPartObj>
    </w:sdtPr>
    <w:sdtEndPr/>
    <w:sdtContent>
      <w:p w14:paraId="4D51505F" w14:textId="77777777" w:rsidR="00143F93" w:rsidRDefault="00095D23">
        <w:pPr>
          <w:pStyle w:val="Pieddepage"/>
          <w:jc w:val="right"/>
        </w:pPr>
        <w:r>
          <w:fldChar w:fldCharType="begin"/>
        </w:r>
        <w:r>
          <w:instrText xml:space="preserve">PAGE   \* </w:instrText>
        </w:r>
        <w:r>
          <w:instrText>MERGEFORMAT</w:instrText>
        </w:r>
        <w:r>
          <w:fldChar w:fldCharType="separate"/>
        </w:r>
        <w:r>
          <w:rPr>
            <w:lang w:val="fr-FR"/>
          </w:rPr>
          <w:t>2</w:t>
        </w:r>
        <w:r>
          <w:fldChar w:fldCharType="end"/>
        </w:r>
      </w:p>
    </w:sdtContent>
  </w:sdt>
  <w:p w14:paraId="4D515060" w14:textId="77777777" w:rsidR="00AD79DD" w:rsidRDefault="00095D2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15062" w14:textId="77777777" w:rsidR="00AD79DD" w:rsidRDefault="00095D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52856" w14:textId="77777777" w:rsidR="00095D23" w:rsidRDefault="00095D23">
      <w:r>
        <w:separator/>
      </w:r>
    </w:p>
  </w:footnote>
  <w:footnote w:type="continuationSeparator" w:id="0">
    <w:p w14:paraId="29B56AC2" w14:textId="77777777" w:rsidR="00095D23" w:rsidRDefault="00095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1505C" w14:textId="77777777" w:rsidR="00AD79DD" w:rsidRDefault="00095D2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1505D" w14:textId="77777777" w:rsidR="00AD79DD" w:rsidRDefault="00095D2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15061" w14:textId="77777777" w:rsidR="00AD79DD" w:rsidRDefault="00095D2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2C2AA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06E605E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686EA4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3A6990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3723AF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908519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DAC9E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CA4D7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1D8030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B22C1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5AE9D0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58423A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E1C2694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0A99411"/>
    <w:multiLevelType w:val="multilevel"/>
    <w:tmpl w:val="205CD27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2C1AE401"/>
    <w:multiLevelType w:val="multilevel"/>
    <w:tmpl w:val="6A5019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909880733">
    <w:abstractNumId w:val="14"/>
  </w:num>
  <w:num w:numId="2" w16cid:durableId="80495473">
    <w:abstractNumId w:val="9"/>
  </w:num>
  <w:num w:numId="3" w16cid:durableId="1809467414">
    <w:abstractNumId w:val="4"/>
  </w:num>
  <w:num w:numId="4" w16cid:durableId="478765833">
    <w:abstractNumId w:val="3"/>
  </w:num>
  <w:num w:numId="5" w16cid:durableId="894049350">
    <w:abstractNumId w:val="2"/>
  </w:num>
  <w:num w:numId="6" w16cid:durableId="1413115395">
    <w:abstractNumId w:val="1"/>
  </w:num>
  <w:num w:numId="7" w16cid:durableId="1614703523">
    <w:abstractNumId w:val="10"/>
  </w:num>
  <w:num w:numId="8" w16cid:durableId="1354069118">
    <w:abstractNumId w:val="8"/>
  </w:num>
  <w:num w:numId="9" w16cid:durableId="932740517">
    <w:abstractNumId w:val="7"/>
  </w:num>
  <w:num w:numId="10" w16cid:durableId="596013972">
    <w:abstractNumId w:val="6"/>
  </w:num>
  <w:num w:numId="11" w16cid:durableId="277568673">
    <w:abstractNumId w:val="5"/>
  </w:num>
  <w:num w:numId="12" w16cid:durableId="547962148">
    <w:abstractNumId w:val="14"/>
  </w:num>
  <w:num w:numId="13" w16cid:durableId="17051356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36857891">
    <w:abstractNumId w:val="11"/>
  </w:num>
  <w:num w:numId="15" w16cid:durableId="1476773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03800342">
    <w:abstractNumId w:val="12"/>
  </w:num>
  <w:num w:numId="17" w16cid:durableId="1851331847">
    <w:abstractNumId w:val="12"/>
  </w:num>
  <w:num w:numId="18" w16cid:durableId="623272959">
    <w:abstractNumId w:val="12"/>
  </w:num>
  <w:num w:numId="19" w16cid:durableId="78287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3AA"/>
    <w:rsid w:val="00095D23"/>
    <w:rsid w:val="005D13AA"/>
    <w:rsid w:val="00ED32C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14F93"/>
  <w15:docId w15:val="{D47E8F52-3C0B-4EC3-8DBF-3D621AAF3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F0C"/>
    <w:pPr>
      <w:spacing w:before="120" w:line="360" w:lineRule="auto"/>
      <w:jc w:val="both"/>
    </w:pPr>
    <w:rPr>
      <w:rFonts w:ascii="Lato" w:hAnsi="Lato"/>
    </w:rPr>
  </w:style>
  <w:style w:type="paragraph" w:styleId="Titre1">
    <w:name w:val="heading 1"/>
    <w:basedOn w:val="Normal"/>
    <w:next w:val="Corpsdetexte"/>
    <w:uiPriority w:val="9"/>
    <w:qFormat/>
    <w:rsid w:val="00A87505"/>
    <w:pPr>
      <w:keepNext/>
      <w:keepLines/>
      <w:spacing w:before="480" w:after="0"/>
      <w:outlineLvl w:val="0"/>
    </w:pPr>
    <w:rPr>
      <w:rFonts w:ascii="Lato SemiBold" w:eastAsiaTheme="majorEastAsia" w:hAnsi="Lato SemiBold" w:cstheme="majorBidi"/>
      <w:b/>
      <w:bCs/>
      <w:color w:val="0A3D62"/>
      <w:sz w:val="34"/>
      <w:szCs w:val="32"/>
    </w:rPr>
  </w:style>
  <w:style w:type="paragraph" w:styleId="Titre2">
    <w:name w:val="heading 2"/>
    <w:basedOn w:val="Normal"/>
    <w:next w:val="Corpsdetexte"/>
    <w:uiPriority w:val="9"/>
    <w:unhideWhenUsed/>
    <w:qFormat/>
    <w:rsid w:val="00A87505"/>
    <w:pPr>
      <w:keepNext/>
      <w:keepLines/>
      <w:spacing w:before="200" w:after="0"/>
      <w:outlineLvl w:val="1"/>
    </w:pPr>
    <w:rPr>
      <w:rFonts w:ascii="Lato SemiBold" w:eastAsiaTheme="majorEastAsia" w:hAnsi="Lato SemiBold" w:cstheme="majorBidi"/>
      <w:b/>
      <w:bCs/>
      <w:color w:val="3C6382"/>
      <w:sz w:val="32"/>
      <w:szCs w:val="32"/>
    </w:rPr>
  </w:style>
  <w:style w:type="paragraph" w:styleId="Titre3">
    <w:name w:val="heading 3"/>
    <w:basedOn w:val="Normal"/>
    <w:next w:val="Corpsdetexte"/>
    <w:uiPriority w:val="9"/>
    <w:unhideWhenUsed/>
    <w:qFormat/>
    <w:rsid w:val="00A87505"/>
    <w:pPr>
      <w:keepNext/>
      <w:keepLines/>
      <w:spacing w:before="200" w:after="0"/>
      <w:outlineLvl w:val="2"/>
    </w:pPr>
    <w:rPr>
      <w:rFonts w:ascii="Lato SemiBold" w:eastAsiaTheme="majorEastAsia" w:hAnsi="Lato SemiBold" w:cstheme="majorBidi"/>
      <w:b/>
      <w:bCs/>
      <w:color w:val="60A3BC"/>
      <w:sz w:val="30"/>
      <w:szCs w:val="28"/>
    </w:rPr>
  </w:style>
  <w:style w:type="paragraph" w:styleId="Titre4">
    <w:name w:val="heading 4"/>
    <w:basedOn w:val="Normal"/>
    <w:next w:val="Corpsdetexte"/>
    <w:uiPriority w:val="9"/>
    <w:unhideWhenUsed/>
    <w:qFormat/>
    <w:rsid w:val="00A87505"/>
    <w:pPr>
      <w:keepNext/>
      <w:keepLines/>
      <w:spacing w:before="200" w:after="0"/>
      <w:outlineLvl w:val="3"/>
    </w:pPr>
    <w:rPr>
      <w:rFonts w:ascii="Lato SemiBold" w:eastAsiaTheme="majorEastAsia" w:hAnsi="Lato SemiBold" w:cstheme="majorBidi"/>
      <w:b/>
      <w:bCs/>
      <w:color w:val="82CCDD"/>
      <w:sz w:val="28"/>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A87505"/>
    <w:pPr>
      <w:keepNext/>
      <w:keepLines/>
      <w:spacing w:before="480" w:after="240"/>
    </w:pPr>
    <w:rPr>
      <w:rFonts w:ascii="Lato SemiBold" w:eastAsiaTheme="majorEastAsia" w:hAnsi="Lato SemiBold" w:cstheme="majorBidi"/>
      <w:b/>
      <w:bCs/>
      <w:smallCaps/>
      <w:color w:val="0A3D62"/>
      <w:sz w:val="36"/>
      <w:szCs w:val="36"/>
    </w:rPr>
  </w:style>
  <w:style w:type="paragraph" w:styleId="Sous-titre">
    <w:name w:val="Subtitle"/>
    <w:basedOn w:val="Titre"/>
    <w:next w:val="Corpsdetexte"/>
    <w:qFormat/>
    <w:rsid w:val="00A87505"/>
    <w:pPr>
      <w:spacing w:before="240"/>
      <w:jc w:val="center"/>
    </w:pPr>
    <w:rPr>
      <w:sz w:val="30"/>
      <w:szCs w:val="30"/>
    </w:rPr>
  </w:style>
  <w:style w:type="paragraph" w:customStyle="1" w:styleId="Author">
    <w:name w:val="Author"/>
    <w:next w:val="Corpsdetexte"/>
    <w:qFormat/>
    <w:rsid w:val="004B309E"/>
    <w:pPr>
      <w:keepNext/>
      <w:keepLines/>
    </w:pPr>
    <w:rPr>
      <w:rFonts w:ascii="PT Serif Caption" w:hAnsi="PT Serif Caption"/>
      <w:color w:val="594F4F"/>
      <w:sz w:val="20"/>
    </w:rPr>
  </w:style>
  <w:style w:type="paragraph" w:styleId="Date">
    <w:name w:val="Date"/>
    <w:next w:val="Corpsdetexte"/>
    <w:qFormat/>
    <w:rsid w:val="0060691F"/>
    <w:pPr>
      <w:keepNext/>
      <w:keepLines/>
    </w:pPr>
    <w:rPr>
      <w:sz w:val="22"/>
    </w:rPr>
  </w:style>
  <w:style w:type="paragraph" w:customStyle="1" w:styleId="Abstract">
    <w:name w:val="Abstract"/>
    <w:basedOn w:val="Normal"/>
    <w:next w:val="Corpsdetexte"/>
    <w:qFormat/>
    <w:rsid w:val="000942E3"/>
    <w:pPr>
      <w:keepNext/>
      <w:keepLines/>
      <w:pBdr>
        <w:top w:val="single" w:sz="12" w:space="1" w:color="594F4F"/>
        <w:left w:val="single" w:sz="12" w:space="4" w:color="594F4F"/>
        <w:bottom w:val="single" w:sz="12" w:space="1" w:color="594F4F"/>
        <w:right w:val="single" w:sz="12" w:space="4" w:color="594F4F"/>
      </w:pBdr>
      <w:spacing w:before="300" w:after="300"/>
    </w:pPr>
    <w:rPr>
      <w:i/>
      <w:color w:val="808080" w:themeColor="background1" w:themeShade="80"/>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rsid w:val="006A7BF7"/>
    <w:pPr>
      <w:spacing w:before="0" w:after="0" w:line="240" w:lineRule="auto"/>
      <w:jc w:val="center"/>
    </w:pPr>
    <w:rPr>
      <w:rFonts w:eastAsiaTheme="majorEastAsia"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284F6F"/>
  </w:style>
  <w:style w:type="paragraph" w:styleId="En-tte">
    <w:name w:val="header"/>
    <w:basedOn w:val="Normal"/>
    <w:link w:val="En-tteCar"/>
    <w:unhideWhenUsed/>
    <w:rsid w:val="00AD79DD"/>
    <w:pPr>
      <w:tabs>
        <w:tab w:val="center" w:pos="4536"/>
        <w:tab w:val="right" w:pos="9072"/>
      </w:tabs>
      <w:spacing w:before="0" w:after="0" w:line="240" w:lineRule="auto"/>
    </w:pPr>
  </w:style>
  <w:style w:type="character" w:customStyle="1" w:styleId="En-tteCar">
    <w:name w:val="En-tête Car"/>
    <w:basedOn w:val="Policepardfaut"/>
    <w:link w:val="En-tte"/>
    <w:rsid w:val="00AD79DD"/>
    <w:rPr>
      <w:rFonts w:ascii="Lato" w:hAnsi="Lato"/>
    </w:rPr>
  </w:style>
  <w:style w:type="paragraph" w:styleId="Pieddepage">
    <w:name w:val="footer"/>
    <w:basedOn w:val="Normal"/>
    <w:link w:val="PieddepageCar"/>
    <w:uiPriority w:val="99"/>
    <w:unhideWhenUsed/>
    <w:rsid w:val="00AD79DD"/>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AD79DD"/>
    <w:rPr>
      <w:rFonts w:ascii="Lato" w:hAnsi="Lato"/>
    </w:rPr>
  </w:style>
  <w:style w:type="paragraph" w:customStyle="1" w:styleId="Lgende1">
    <w:name w:val="Légende1"/>
    <w:basedOn w:val="Normal"/>
    <w:link w:val="CaptionCar"/>
    <w:qFormat/>
    <w:rsid w:val="00031FA8"/>
    <w:pPr>
      <w:spacing w:line="240" w:lineRule="auto"/>
      <w:jc w:val="center"/>
    </w:pPr>
    <w:rPr>
      <w:rFonts w:ascii="Lato Light" w:hAnsi="Lato Light"/>
      <w:sz w:val="20"/>
      <w:lang w:val="fr-BE"/>
    </w:rPr>
  </w:style>
  <w:style w:type="character" w:customStyle="1" w:styleId="CaptionCar">
    <w:name w:val="Caption Car"/>
    <w:basedOn w:val="Policepardfaut"/>
    <w:link w:val="Lgende1"/>
    <w:rsid w:val="00031FA8"/>
    <w:rPr>
      <w:rFonts w:ascii="Lato Light" w:hAnsi="Lato Light"/>
      <w:sz w:val="20"/>
      <w:lang w:val="fr-BE"/>
    </w:rPr>
  </w:style>
  <w:style w:type="paragraph" w:customStyle="1" w:styleId="Lgende10">
    <w:name w:val="Légende1"/>
    <w:qFormat/>
  </w:style>
  <w:style w:type="paragraph" w:styleId="TM1">
    <w:name w:val="toc 1"/>
    <w:basedOn w:val="Normal"/>
    <w:next w:val="Normal"/>
    <w:autoRedefine/>
    <w:uiPriority w:val="39"/>
    <w:unhideWhenUsed/>
    <w:rsid w:val="00ED32C4"/>
    <w:pPr>
      <w:spacing w:after="100"/>
    </w:pPr>
  </w:style>
  <w:style w:type="paragraph" w:styleId="TM2">
    <w:name w:val="toc 2"/>
    <w:basedOn w:val="Normal"/>
    <w:next w:val="Normal"/>
    <w:autoRedefine/>
    <w:uiPriority w:val="39"/>
    <w:unhideWhenUsed/>
    <w:rsid w:val="00ED32C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2287</Words>
  <Characters>12584</Characters>
  <Application>Microsoft Office Word</Application>
  <DocSecurity>0</DocSecurity>
  <Lines>104</Lines>
  <Paragraphs>29</Paragraphs>
  <ScaleCrop>false</ScaleCrop>
  <Company/>
  <LinksUpToDate>false</LinksUpToDate>
  <CharactersWithSpaces>14842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L’initiation et le suivi du traitement hormonal d’affirmation de genre en médecine générale</dc:title>
  <dc:creator>Dr. Maxence Ouafik</dc:creator>
  <cp:keywords/>
  <dc:description>Travail de fin d’études sur l’initiation du THAG en médecine générale</dc:description>
  <cp:lastModifiedBy>Maxence Ouafik</cp:lastModifiedBy>
  <cp:revision>2</cp:revision>
  <dcterms:created xsi:type="dcterms:W3CDTF">2022-04-20T04:32:00Z</dcterms:created>
  <dcterms:modified xsi:type="dcterms:W3CDTF">2022-04-20T04:32:00Z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references.json</vt:lpwstr>
  </property>
  <property fmtid="{D5CDD505-2E9C-101B-9397-08002B2CF9AE}" pid="3" name="bookdown">
    <vt:lpwstr/>
  </property>
  <property fmtid="{D5CDD505-2E9C-101B-9397-08002B2CF9AE}" pid="4" name="cover-image">
    <vt:lpwstr/>
  </property>
  <property fmtid="{D5CDD505-2E9C-101B-9397-08002B2CF9AE}" pid="5" name="csl">
    <vt:lpwstr/>
  </property>
  <property fmtid="{D5CDD505-2E9C-101B-9397-08002B2CF9AE}" pid="6" name="favicon">
    <vt:lpwstr/>
  </property>
  <property fmtid="{D5CDD505-2E9C-101B-9397-08002B2CF9AE}" pid="7" name="link-citations">
    <vt:lpwstr>True</vt:lpwstr>
  </property>
  <property fmtid="{D5CDD505-2E9C-101B-9397-08002B2CF9AE}" pid="8" name="rmd_files">
    <vt:lpwstr>(“index.Rmd”, “01-abstract.Rmd”, “02-introduction.Rmd”, “03-methodology.Rmd”, “04-results.Rmd”, “05-discussion.Rmd”, “06-conclusion.Rmd”, “07-references.Rmd”, “08-appendix.Rmd”)</vt:lpwstr>
  </property>
  <property fmtid="{D5CDD505-2E9C-101B-9397-08002B2CF9AE}" pid="9" name="subtitle">
    <vt:lpwstr>Analyse mixte d’une cohorte de patient·e·s et recommandations pour la pratique clinique</vt:lpwstr>
  </property>
</Properties>
</file>