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1228" w14:textId="77777777" w:rsidR="00C9593D" w:rsidRPr="00311189" w:rsidRDefault="0069723F">
      <w:pPr>
        <w:pStyle w:val="Titre"/>
        <w:rPr>
          <w:lang w:val="fr-BE"/>
        </w:rPr>
      </w:pPr>
      <w:r w:rsidRPr="00311189">
        <w:rPr>
          <w:lang w:val="fr-BE"/>
        </w:rPr>
        <w:t>L’initiation et le suivi du traitement hormonal d’affirmation de genre en médecine générale</w:t>
      </w:r>
    </w:p>
    <w:p w14:paraId="42801229" w14:textId="77777777" w:rsidR="00C9593D" w:rsidRPr="00311189" w:rsidRDefault="0069723F">
      <w:pPr>
        <w:pStyle w:val="Author"/>
        <w:rPr>
          <w:lang w:val="fr-BE"/>
        </w:rPr>
      </w:pPr>
      <w:r w:rsidRPr="00311189">
        <w:rPr>
          <w:lang w:val="fr-BE"/>
        </w:rPr>
        <w:t>Dr. Maxence Ouafik</w:t>
      </w:r>
    </w:p>
    <w:p w14:paraId="42801437" w14:textId="77777777" w:rsidR="00441379" w:rsidRPr="00FC4043" w:rsidRDefault="0069723F" w:rsidP="00386AAC">
      <w:pPr>
        <w:pStyle w:val="Lgende1"/>
      </w:pPr>
      <w:r>
        <w:rPr>
          <w:noProof/>
        </w:rPr>
        <mc:AlternateContent>
          <mc:Choice Requires="wpg">
            <w:drawing>
              <wp:anchor distT="0" distB="0" distL="114300" distR="114300" simplePos="0" relativeHeight="251659264" behindDoc="0" locked="0" layoutInCell="1" allowOverlap="1" wp14:anchorId="42801437" wp14:editId="42801438">
                <wp:simplePos x="0" y="0"/>
                <wp:positionH relativeFrom="column">
                  <wp:posOffset>1864360</wp:posOffset>
                </wp:positionH>
                <wp:positionV relativeFrom="page">
                  <wp:posOffset>-14605</wp:posOffset>
                </wp:positionV>
                <wp:extent cx="4975200" cy="10706400"/>
                <wp:effectExtent l="0" t="0" r="0" b="0"/>
                <wp:wrapNone/>
                <wp:docPr id="7" name="Group 7"/>
                <wp:cNvGraphicFramePr/>
                <a:graphic xmlns:a="http://schemas.openxmlformats.org/drawingml/2006/main">
                  <a:graphicData uri="http://schemas.microsoft.com/office/word/2010/wordprocessingGroup">
                    <wpg:wgp>
                      <wpg:cNvGrpSpPr/>
                      <wpg:grpSpPr>
                        <a:xfrm rot="10800000">
                          <a:off x="0" y="0"/>
                          <a:ext cx="4975200" cy="10706400"/>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solidFill>
                            <a:srgbClr val="0A3D6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solidFill>
                            <a:srgbClr val="60A3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38B9F1" id="Group 7" o:spid="_x0000_s1026" style="position:absolute;margin-left:146.8pt;margin-top:-1.15pt;width:391.75pt;height:843pt;rotation:180;z-index:251659264;mso-position-vertical-relative:page;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" path="m4019803,c16236,5359087,1226441,7401660,2695970,10017456r-2606723,c-388671,6146024,1071596,3079837,4019803,xe" fillcolor="#0a3d62" stroked="f" strokeweight="2pt">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" path="m3888511,1c1226377,4227325,1313913,8314592,1584196,10541895r-1584195,c234674,5245225,1653003,2639676,3888511,1xe" fillcolor="#60a3bc" stroked="f" strokeweight="2pt">
                  <v:path arrowok="t" o:connecttype="custom" o:connectlocs="2532096,1;1031587,6864810;1,6864810;2532096,1" o:connectangles="0,0,0,0"/>
                </v:shape>
                <w10:wrap anchory="page"/>
              </v:group>
            </w:pict>
          </mc:Fallback>
        </mc:AlternateContent>
      </w:r>
      <w:r>
        <w:rPr>
          <w:noProof/>
        </w:rPr>
        <w:drawing>
          <wp:anchor distT="0" distB="0" distL="114300" distR="114300" simplePos="0" relativeHeight="251662336" behindDoc="0" locked="0" layoutInCell="1" allowOverlap="1" wp14:anchorId="42801439" wp14:editId="4280143A">
            <wp:simplePos x="0" y="0"/>
            <wp:positionH relativeFrom="column">
              <wp:posOffset>-559435</wp:posOffset>
            </wp:positionH>
            <wp:positionV relativeFrom="page">
              <wp:posOffset>147320</wp:posOffset>
            </wp:positionV>
            <wp:extent cx="2426400" cy="106200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6400" cy="1062000"/>
                    </a:xfrm>
                    <a:prstGeom prst="rect">
                      <a:avLst/>
                    </a:prstGeom>
                  </pic:spPr>
                </pic:pic>
              </a:graphicData>
            </a:graphic>
            <wp14:sizeRelH relativeFrom="margin">
              <wp14:pctWidth>0</wp14:pctWidth>
            </wp14:sizeRelH>
            <wp14:sizeRelV relativeFrom="margin">
              <wp14:pctHeight>0</wp14:pctHeight>
            </wp14:sizeRelV>
          </wp:anchor>
        </w:drawing>
      </w:r>
    </w:p>
    <w:p w14:paraId="42801438" w14:textId="77777777" w:rsidR="00143F93" w:rsidRPr="00311189" w:rsidRDefault="00586D2A" w:rsidP="003F6934">
      <w:pPr>
        <w:rPr>
          <w:lang w:val="fr-BE"/>
        </w:rPr>
      </w:pPr>
    </w:p>
    <w:p w14:paraId="42801439" w14:textId="77777777" w:rsidR="00441379" w:rsidRPr="00311189" w:rsidRDefault="00586D2A" w:rsidP="00441379">
      <w:pPr>
        <w:rPr>
          <w:lang w:val="fr-BE"/>
        </w:rPr>
      </w:pPr>
    </w:p>
    <w:p w14:paraId="4280143A" w14:textId="77777777" w:rsidR="00441379" w:rsidRPr="00311189" w:rsidRDefault="00586D2A" w:rsidP="00441379">
      <w:pPr>
        <w:rPr>
          <w:lang w:val="fr-BE"/>
        </w:rPr>
      </w:pPr>
    </w:p>
    <w:p w14:paraId="4280143B" w14:textId="77777777" w:rsidR="00441379" w:rsidRPr="00311189" w:rsidRDefault="00586D2A" w:rsidP="00441379">
      <w:pPr>
        <w:rPr>
          <w:lang w:val="fr-BE"/>
        </w:rPr>
      </w:pPr>
    </w:p>
    <w:p w14:paraId="4280143C" w14:textId="77777777" w:rsidR="00441379" w:rsidRPr="00311189" w:rsidRDefault="0069723F" w:rsidP="00441379">
      <w:pPr>
        <w:rPr>
          <w:lang w:val="fr-BE"/>
        </w:rPr>
      </w:pPr>
      <w:r>
        <w:rPr>
          <w:noProof/>
        </w:rPr>
        <mc:AlternateContent>
          <mc:Choice Requires="wps">
            <w:drawing>
              <wp:anchor distT="0" distB="0" distL="114300" distR="114300" simplePos="0" relativeHeight="251660288" behindDoc="0" locked="0" layoutInCell="1" allowOverlap="1" wp14:anchorId="4280143B" wp14:editId="4280143C">
                <wp:simplePos x="0" y="0"/>
                <wp:positionH relativeFrom="margin">
                  <wp:posOffset>-511810</wp:posOffset>
                </wp:positionH>
                <wp:positionV relativeFrom="page">
                  <wp:posOffset>2768600</wp:posOffset>
                </wp:positionV>
                <wp:extent cx="4935600" cy="393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935600" cy="3934800"/>
                        </a:xfrm>
                        <a:prstGeom prst="rect">
                          <a:avLst/>
                        </a:prstGeom>
                        <a:noFill/>
                        <a:ln w="6350">
                          <a:noFill/>
                        </a:ln>
                      </wps:spPr>
                      <wps:txbx>
                        <w:txbxContent>
                          <w:p w14:paraId="42801464" w14:textId="77777777" w:rsidR="00441379" w:rsidRDefault="0069723F"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42801465" w14:textId="77777777" w:rsidR="00441379" w:rsidRPr="00395EE5" w:rsidRDefault="0069723F"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42801466" w14:textId="77777777" w:rsidR="00441379" w:rsidRDefault="00586D2A" w:rsidP="00441379">
                            <w:pPr>
                              <w:spacing w:after="0" w:line="240" w:lineRule="auto"/>
                              <w:jc w:val="center"/>
                              <w:rPr>
                                <w:noProof/>
                                <w:color w:val="3C6382"/>
                                <w:sz w:val="28"/>
                                <w:szCs w:val="28"/>
                                <w:lang w:val="fr-BE"/>
                              </w:rPr>
                            </w:pPr>
                          </w:p>
                          <w:p w14:paraId="42801467" w14:textId="77777777" w:rsidR="00441379" w:rsidRDefault="0069723F"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tudes dans le cadre du master de spécialisation en médecine générale</w:t>
                            </w:r>
                          </w:p>
                          <w:p w14:paraId="42801468" w14:textId="77777777" w:rsidR="00441379" w:rsidRPr="00C253BF" w:rsidRDefault="0069723F"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42801469" w14:textId="77777777" w:rsidR="00441379" w:rsidRPr="00C253BF" w:rsidRDefault="00586D2A" w:rsidP="00441379">
                            <w:pPr>
                              <w:spacing w:after="0"/>
                              <w:jc w:val="center"/>
                              <w:rPr>
                                <w:color w:val="60A3BC"/>
                                <w:lang w:val="fr-BE"/>
                              </w:rPr>
                            </w:pPr>
                          </w:p>
                          <w:p w14:paraId="4280146A" w14:textId="77777777" w:rsidR="00441379" w:rsidRPr="00C253BF" w:rsidRDefault="00586D2A" w:rsidP="00441379">
                            <w:pPr>
                              <w:spacing w:after="0"/>
                              <w:jc w:val="center"/>
                              <w:rPr>
                                <w:color w:val="3C6382"/>
                                <w:sz w:val="28"/>
                                <w:szCs w:val="28"/>
                                <w:lang w:val="fr-BE"/>
                              </w:rPr>
                            </w:pPr>
                          </w:p>
                          <w:p w14:paraId="4280146B" w14:textId="77777777" w:rsidR="00441379" w:rsidRPr="00C253BF" w:rsidRDefault="00586D2A" w:rsidP="00441379">
                            <w:pPr>
                              <w:spacing w:line="168" w:lineRule="auto"/>
                              <w:jc w:val="center"/>
                              <w:rPr>
                                <w:rFonts w:ascii="Lato SemiBold" w:eastAsia="Adobe Gothic Std B" w:hAnsi="Lato SemiBold"/>
                                <w:color w:val="3C6382"/>
                                <w:spacing w:val="-20"/>
                                <w:sz w:val="48"/>
                                <w:szCs w:val="48"/>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80143B" id="_x0000_t202" coordsize="21600,21600" o:spt="202" path="m,l,21600r21600,l21600,xe">
                <v:stroke joinstyle="miter"/>
                <v:path gradientshapeok="t" o:connecttype="rect"/>
              </v:shapetype>
              <v:shape id="Text Box 29" o:spid="_x0000_s1026" type="#_x0000_t202" style="position:absolute;left:0;text-align:left;margin-left:-40.3pt;margin-top:218pt;width:388.65pt;height:309.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" filled="f" stroked="f" strokeweight=".5pt">
                <v:textbox>
                  <w:txbxContent>
                    <w:p w14:paraId="42801464" w14:textId="77777777" w:rsidR="00441379" w:rsidRDefault="0069723F" w:rsidP="00A10060">
                      <w:pPr>
                        <w:jc w:val="center"/>
                        <w:rPr>
                          <w:rFonts w:ascii="Lato SemiBold" w:eastAsia="Adobe Gothic Std B" w:hAnsi="Lato SemiBold"/>
                          <w:color w:val="3C6382"/>
                          <w:sz w:val="48"/>
                          <w:szCs w:val="48"/>
                          <w:lang w:val="fr-BE"/>
                        </w:rPr>
                      </w:pPr>
                      <w:r w:rsidRPr="00C253BF">
                        <w:rPr>
                          <w:rFonts w:ascii="Lato SemiBold" w:eastAsia="Adobe Gothic Std B" w:hAnsi="Lato SemiBold"/>
                          <w:color w:val="3C6382"/>
                          <w:sz w:val="48"/>
                          <w:szCs w:val="48"/>
                          <w:lang w:val="fr-BE"/>
                        </w:rPr>
                        <w:t>L</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initiation et le suivi du traitement hormonal d</w:t>
                      </w:r>
                      <w:r>
                        <w:rPr>
                          <w:rFonts w:ascii="Lato SemiBold" w:eastAsia="Adobe Gothic Std B" w:hAnsi="Lato SemiBold"/>
                          <w:color w:val="3C6382"/>
                          <w:sz w:val="48"/>
                          <w:szCs w:val="48"/>
                          <w:lang w:val="fr-BE"/>
                        </w:rPr>
                        <w:t>’</w:t>
                      </w:r>
                      <w:r w:rsidRPr="00C253BF">
                        <w:rPr>
                          <w:rFonts w:ascii="Lato SemiBold" w:eastAsia="Adobe Gothic Std B" w:hAnsi="Lato SemiBold"/>
                          <w:color w:val="3C6382"/>
                          <w:sz w:val="48"/>
                          <w:szCs w:val="48"/>
                          <w:lang w:val="fr-BE"/>
                        </w:rPr>
                        <w:t>affirmation de genre en médecine générale</w:t>
                      </w:r>
                    </w:p>
                    <w:p w14:paraId="42801465" w14:textId="77777777" w:rsidR="00441379" w:rsidRPr="00395EE5" w:rsidRDefault="0069723F" w:rsidP="00441379">
                      <w:pPr>
                        <w:spacing w:after="0"/>
                        <w:jc w:val="center"/>
                        <w:rPr>
                          <w:rFonts w:ascii="Lato" w:hAnsi="Lato"/>
                          <w:noProof/>
                          <w:color w:val="3C6382"/>
                          <w:sz w:val="28"/>
                          <w:szCs w:val="28"/>
                          <w:lang w:val="fr-BE"/>
                        </w:rPr>
                      </w:pPr>
                      <w:r w:rsidRPr="00395EE5">
                        <w:rPr>
                          <w:rFonts w:ascii="Lato" w:hAnsi="Lato"/>
                          <w:noProof/>
                          <w:color w:val="3C6382"/>
                          <w:sz w:val="28"/>
                          <w:szCs w:val="28"/>
                          <w:lang w:val="fr-BE"/>
                        </w:rPr>
                        <w:t>Analyse mixte d</w:t>
                      </w:r>
                      <w:r>
                        <w:rPr>
                          <w:rFonts w:ascii="Lato" w:hAnsi="Lato"/>
                          <w:noProof/>
                          <w:color w:val="3C6382"/>
                          <w:sz w:val="28"/>
                          <w:szCs w:val="28"/>
                          <w:lang w:val="fr-BE"/>
                        </w:rPr>
                        <w:t>’</w:t>
                      </w:r>
                      <w:r w:rsidRPr="00395EE5">
                        <w:rPr>
                          <w:rFonts w:ascii="Lato" w:hAnsi="Lato"/>
                          <w:noProof/>
                          <w:color w:val="3C6382"/>
                          <w:sz w:val="28"/>
                          <w:szCs w:val="28"/>
                          <w:lang w:val="fr-BE"/>
                        </w:rPr>
                        <w:t>une cohorte de patient·e·s et recommandations pour la pratique clinique</w:t>
                      </w:r>
                    </w:p>
                    <w:p w14:paraId="42801466" w14:textId="77777777" w:rsidR="00441379" w:rsidRDefault="0069723F" w:rsidP="00441379">
                      <w:pPr>
                        <w:spacing w:after="0" w:line="240" w:lineRule="auto"/>
                        <w:jc w:val="center"/>
                        <w:rPr>
                          <w:noProof/>
                          <w:color w:val="3C6382"/>
                          <w:sz w:val="28"/>
                          <w:szCs w:val="28"/>
                          <w:lang w:val="fr-BE"/>
                        </w:rPr>
                      </w:pPr>
                    </w:p>
                    <w:p w14:paraId="42801467" w14:textId="77777777" w:rsidR="00441379" w:rsidRDefault="0069723F" w:rsidP="00441379">
                      <w:pPr>
                        <w:spacing w:after="0"/>
                        <w:jc w:val="center"/>
                        <w:rPr>
                          <w:noProof/>
                          <w:color w:val="60A3BC"/>
                          <w:lang w:val="fr-BE"/>
                        </w:rPr>
                      </w:pPr>
                      <w:r w:rsidRPr="00C253BF">
                        <w:rPr>
                          <w:noProof/>
                          <w:color w:val="60A3BC"/>
                          <w:lang w:val="fr-BE"/>
                        </w:rPr>
                        <w:t>Travail de Fin d’</w:t>
                      </w:r>
                      <w:r>
                        <w:rPr>
                          <w:noProof/>
                          <w:color w:val="60A3BC"/>
                          <w:lang w:val="fr-BE"/>
                        </w:rPr>
                        <w:t>É</w:t>
                      </w:r>
                      <w:r w:rsidRPr="00C253BF">
                        <w:rPr>
                          <w:noProof/>
                          <w:color w:val="60A3BC"/>
                          <w:lang w:val="fr-BE"/>
                        </w:rPr>
                        <w:t xml:space="preserve">tudes dans le cadre du </w:t>
                      </w:r>
                      <w:r w:rsidRPr="00C253BF">
                        <w:rPr>
                          <w:noProof/>
                          <w:color w:val="60A3BC"/>
                          <w:lang w:val="fr-BE"/>
                        </w:rPr>
                        <w:t>master de spécialisation en médecine générale</w:t>
                      </w:r>
                    </w:p>
                    <w:p w14:paraId="42801468" w14:textId="77777777" w:rsidR="00441379" w:rsidRPr="00C253BF" w:rsidRDefault="0069723F" w:rsidP="00441379">
                      <w:pPr>
                        <w:spacing w:after="0"/>
                        <w:jc w:val="center"/>
                        <w:rPr>
                          <w:noProof/>
                          <w:color w:val="82CCDD"/>
                          <w:lang w:val="fr-BE"/>
                        </w:rPr>
                      </w:pPr>
                      <w:r w:rsidRPr="00C253BF">
                        <w:rPr>
                          <w:noProof/>
                          <w:color w:val="82CCDD"/>
                          <w:lang w:val="fr-BE"/>
                        </w:rPr>
                        <w:t>Année académique</w:t>
                      </w:r>
                      <w:r>
                        <w:rPr>
                          <w:noProof/>
                          <w:color w:val="82CCDD"/>
                          <w:lang w:val="fr-BE"/>
                        </w:rPr>
                        <w:t> </w:t>
                      </w:r>
                      <w:r w:rsidRPr="00C253BF">
                        <w:rPr>
                          <w:noProof/>
                          <w:color w:val="82CCDD"/>
                          <w:lang w:val="fr-BE"/>
                        </w:rPr>
                        <w:t>2021-2022</w:t>
                      </w:r>
                    </w:p>
                    <w:p w14:paraId="42801469" w14:textId="77777777" w:rsidR="00441379" w:rsidRPr="00C253BF" w:rsidRDefault="0069723F" w:rsidP="00441379">
                      <w:pPr>
                        <w:spacing w:after="0"/>
                        <w:jc w:val="center"/>
                        <w:rPr>
                          <w:color w:val="60A3BC"/>
                          <w:lang w:val="fr-BE"/>
                        </w:rPr>
                      </w:pPr>
                    </w:p>
                    <w:p w14:paraId="4280146A" w14:textId="77777777" w:rsidR="00441379" w:rsidRPr="00C253BF" w:rsidRDefault="0069723F" w:rsidP="00441379">
                      <w:pPr>
                        <w:spacing w:after="0"/>
                        <w:jc w:val="center"/>
                        <w:rPr>
                          <w:color w:val="3C6382"/>
                          <w:sz w:val="28"/>
                          <w:szCs w:val="28"/>
                          <w:lang w:val="fr-BE"/>
                        </w:rPr>
                      </w:pPr>
                    </w:p>
                    <w:p w14:paraId="4280146B" w14:textId="77777777" w:rsidR="00441379" w:rsidRPr="00C253BF" w:rsidRDefault="0069723F" w:rsidP="00441379">
                      <w:pPr>
                        <w:spacing w:line="168" w:lineRule="auto"/>
                        <w:jc w:val="center"/>
                        <w:rPr>
                          <w:rFonts w:ascii="Lato SemiBold" w:eastAsia="Adobe Gothic Std B" w:hAnsi="Lato SemiBold"/>
                          <w:color w:val="3C6382"/>
                          <w:spacing w:val="-20"/>
                          <w:sz w:val="48"/>
                          <w:szCs w:val="48"/>
                          <w:lang w:val="fr-BE"/>
                        </w:rPr>
                      </w:pPr>
                    </w:p>
                  </w:txbxContent>
                </v:textbox>
                <w10:wrap anchorx="margin" anchory="page"/>
              </v:shape>
            </w:pict>
          </mc:Fallback>
        </mc:AlternateContent>
      </w:r>
    </w:p>
    <w:p w14:paraId="4280143D" w14:textId="77777777" w:rsidR="00441379" w:rsidRPr="00311189" w:rsidRDefault="00586D2A" w:rsidP="00441379">
      <w:pPr>
        <w:rPr>
          <w:lang w:val="fr-BE"/>
        </w:rPr>
      </w:pPr>
    </w:p>
    <w:p w14:paraId="4280143E" w14:textId="77777777" w:rsidR="003179C2" w:rsidRPr="00311189" w:rsidRDefault="00586D2A" w:rsidP="00441379">
      <w:pPr>
        <w:rPr>
          <w:lang w:val="fr-BE"/>
        </w:rPr>
      </w:pPr>
    </w:p>
    <w:p w14:paraId="4280143F" w14:textId="77777777" w:rsidR="00441379" w:rsidRPr="00311189" w:rsidRDefault="0069723F" w:rsidP="00E14382">
      <w:pPr>
        <w:rPr>
          <w:lang w:val="fr-BE"/>
        </w:rPr>
      </w:pPr>
      <w:r>
        <w:rPr>
          <w:noProof/>
        </w:rPr>
        <mc:AlternateContent>
          <mc:Choice Requires="wpg">
            <w:drawing>
              <wp:anchor distT="0" distB="0" distL="114300" distR="114300" simplePos="0" relativeHeight="251661312" behindDoc="0" locked="0" layoutInCell="1" allowOverlap="1" wp14:anchorId="4280143D" wp14:editId="4280143E">
                <wp:simplePos x="0" y="0"/>
                <wp:positionH relativeFrom="column">
                  <wp:posOffset>4157980</wp:posOffset>
                </wp:positionH>
                <wp:positionV relativeFrom="page">
                  <wp:posOffset>9429750</wp:posOffset>
                </wp:positionV>
                <wp:extent cx="2386800" cy="756000"/>
                <wp:effectExtent l="0" t="0" r="0" b="6350"/>
                <wp:wrapNone/>
                <wp:docPr id="42" name="Group 42"/>
                <wp:cNvGraphicFramePr/>
                <a:graphic xmlns:a="http://schemas.openxmlformats.org/drawingml/2006/main">
                  <a:graphicData uri="http://schemas.microsoft.com/office/word/2010/wordprocessingGroup">
                    <wpg:wgp>
                      <wpg:cNvGrpSpPr/>
                      <wpg:grpSpPr>
                        <a:xfrm>
                          <a:off x="0" y="0"/>
                          <a:ext cx="2386800" cy="756000"/>
                          <a:chOff x="-697617" y="-293023"/>
                          <a:chExt cx="3451860" cy="985652"/>
                        </a:xfrm>
                      </wpg:grpSpPr>
                      <wps:wsp>
                        <wps:cNvPr id="31" name="Text Box 31"/>
                        <wps:cNvSpPr txBox="1"/>
                        <wps:spPr>
                          <a:xfrm>
                            <a:off x="-697617" y="-293023"/>
                            <a:ext cx="3451860" cy="985652"/>
                          </a:xfrm>
                          <a:prstGeom prst="rect">
                            <a:avLst/>
                          </a:prstGeom>
                          <a:noFill/>
                          <a:ln w="6350">
                            <a:noFill/>
                          </a:ln>
                        </wps:spPr>
                        <wps:txbx>
                          <w:txbxContent>
                            <w:p w14:paraId="4280146D" w14:textId="77777777" w:rsidR="00441379" w:rsidRPr="00C253BF" w:rsidRDefault="0069723F"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4280146E" w14:textId="77777777" w:rsidR="00441379" w:rsidRPr="00C253BF" w:rsidRDefault="0069723F"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4280146F" w14:textId="77777777" w:rsidR="00441379" w:rsidRPr="00C253BF" w:rsidRDefault="0069723F"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347711" y="27421"/>
                            <a:ext cx="1152415" cy="0"/>
                          </a:xfrm>
                          <a:prstGeom prst="line">
                            <a:avLst/>
                          </a:prstGeom>
                          <a:ln w="12700">
                            <a:gradFill>
                              <a:gsLst>
                                <a:gs pos="0">
                                  <a:schemeClr val="accent1">
                                    <a:lumMod val="5000"/>
                                    <a:lumOff val="95000"/>
                                    <a:alpha val="0"/>
                                  </a:schemeClr>
                                </a:gs>
                                <a:gs pos="10000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263478" y="27421"/>
                            <a:ext cx="1151890" cy="0"/>
                          </a:xfrm>
                          <a:prstGeom prst="line">
                            <a:avLst/>
                          </a:prstGeom>
                          <a:ln w="12700">
                            <a:gradFill>
                              <a:gsLst>
                                <a:gs pos="100000">
                                  <a:schemeClr val="accent1">
                                    <a:lumMod val="5000"/>
                                    <a:lumOff val="95000"/>
                                    <a:alpha val="0"/>
                                  </a:schemeClr>
                                </a:gs>
                                <a:gs pos="0">
                                  <a:srgbClr val="14A2BA"/>
                                </a:gs>
                              </a:gsLst>
                              <a:lin ang="0" scaled="0"/>
                            </a:gra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80143D" id="Group 42" o:spid="_x0000_s1027" style="position:absolute;left:0;text-align:left;margin-left:327.4pt;margin-top:742.5pt;width:187.95pt;height:59.55pt;z-index:251661312;mso-position-vertical-relative:page;mso-width-relative:margin;mso-height-relative:margin" coordorigin="-6976,-2930" coordsize="34518,9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">
                <v:shape id="Text Box 31" o:spid="_x0000_s1028" type="#_x0000_t202" style="position:absolute;left:-6976;top:-2930;width:34518;height:9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280146D" w14:textId="77777777" w:rsidR="00441379" w:rsidRPr="00C253BF" w:rsidRDefault="0069723F" w:rsidP="008C1317">
                        <w:pPr>
                          <w:shd w:val="clear" w:color="auto" w:fill="FFFFFF" w:themeFill="background1"/>
                          <w:spacing w:after="120" w:line="192" w:lineRule="auto"/>
                          <w:jc w:val="center"/>
                          <w:rPr>
                            <w:noProof/>
                            <w:color w:val="60A3BC"/>
                            <w:sz w:val="36"/>
                            <w:szCs w:val="36"/>
                            <w:lang w:val="fr-BE"/>
                          </w:rPr>
                        </w:pPr>
                        <w:r w:rsidRPr="00C253BF">
                          <w:rPr>
                            <w:noProof/>
                            <w:color w:val="60A3BC"/>
                            <w:sz w:val="36"/>
                            <w:szCs w:val="36"/>
                            <w:lang w:val="fr-BE"/>
                          </w:rPr>
                          <w:t>Par</w:t>
                        </w:r>
                      </w:p>
                      <w:p w14:paraId="4280146E" w14:textId="77777777" w:rsidR="00441379" w:rsidRPr="00C253BF" w:rsidRDefault="0069723F" w:rsidP="008C1317">
                        <w:pPr>
                          <w:shd w:val="clear" w:color="auto" w:fill="FFFFFF" w:themeFill="background1"/>
                          <w:spacing w:after="0" w:line="192" w:lineRule="auto"/>
                          <w:jc w:val="center"/>
                          <w:rPr>
                            <w:noProof/>
                            <w:color w:val="60A3BC"/>
                            <w:sz w:val="36"/>
                            <w:szCs w:val="36"/>
                            <w:lang w:val="fr-BE"/>
                          </w:rPr>
                        </w:pPr>
                        <w:r>
                          <w:rPr>
                            <w:noProof/>
                            <w:color w:val="60A3BC"/>
                            <w:sz w:val="36"/>
                            <w:szCs w:val="36"/>
                            <w:lang w:val="fr-BE"/>
                          </w:rPr>
                          <w:t xml:space="preserve">Dr </w:t>
                        </w:r>
                        <w:r w:rsidRPr="00C253BF">
                          <w:rPr>
                            <w:noProof/>
                            <w:color w:val="60A3BC"/>
                            <w:sz w:val="36"/>
                            <w:szCs w:val="36"/>
                            <w:lang w:val="fr-BE"/>
                          </w:rPr>
                          <w:t>OUAFIK Maxence</w:t>
                        </w:r>
                      </w:p>
                      <w:p w14:paraId="4280146F" w14:textId="77777777" w:rsidR="00441379" w:rsidRPr="00C253BF" w:rsidRDefault="0069723F" w:rsidP="008C1317">
                        <w:pPr>
                          <w:shd w:val="clear" w:color="auto" w:fill="FFFFFF" w:themeFill="background1"/>
                          <w:spacing w:after="0" w:line="192" w:lineRule="auto"/>
                          <w:jc w:val="center"/>
                          <w:rPr>
                            <w:color w:val="60A3BC"/>
                            <w:sz w:val="20"/>
                            <w:szCs w:val="20"/>
                            <w:lang w:val="fr-BE"/>
                          </w:rPr>
                        </w:pPr>
                        <w:r w:rsidRPr="00C253BF">
                          <w:rPr>
                            <w:color w:val="60A3BC"/>
                            <w:sz w:val="20"/>
                            <w:szCs w:val="20"/>
                            <w:lang w:val="fr-BE"/>
                          </w:rPr>
                          <w:t>Assistant en médecine générale</w:t>
                        </w:r>
                      </w:p>
                    </w:txbxContent>
                  </v:textbox>
                </v:shape>
                <v:line id="Straight Connector 32" o:spid="_x0000_s1029" style="position:absolute;visibility:visible;mso-wrap-style:square" from="-3477,274" to="8047,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Straight Connector 33" o:spid="_x0000_s1030" style="position:absolute;visibility:visible;mso-wrap-style:square" from="12634,274" to="24153,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w10:wrap anchory="page"/>
              </v:group>
            </w:pict>
          </mc:Fallback>
        </mc:AlternateContent>
      </w:r>
    </w:p>
    <w:p w14:paraId="4280122A" w14:textId="77777777" w:rsidR="00C9593D" w:rsidRPr="00311189" w:rsidRDefault="0069723F">
      <w:pPr>
        <w:rPr>
          <w:lang w:val="fr-BE"/>
        </w:rPr>
      </w:pPr>
      <w:r w:rsidRPr="00311189">
        <w:rPr>
          <w:lang w:val="fr-BE"/>
        </w:rPr>
        <w:br w:type="page"/>
      </w:r>
    </w:p>
    <w:p w14:paraId="4280122B" w14:textId="77777777" w:rsidR="00C9593D" w:rsidRPr="00311189" w:rsidRDefault="0069723F">
      <w:pPr>
        <w:pStyle w:val="Titre1"/>
        <w:rPr>
          <w:lang w:val="fr-BE"/>
        </w:rPr>
      </w:pPr>
      <w:bookmarkStart w:id="0" w:name="_Toc101654108"/>
      <w:bookmarkStart w:id="1" w:name="part-avant-propos"/>
      <w:r w:rsidRPr="00311189">
        <w:rPr>
          <w:lang w:val="fr-BE"/>
        </w:rPr>
        <w:lastRenderedPageBreak/>
        <w:t>Avant-propos</w:t>
      </w:r>
      <w:bookmarkEnd w:id="0"/>
    </w:p>
    <w:p w14:paraId="4280122C" w14:textId="77777777" w:rsidR="00C9593D" w:rsidRPr="00311189" w:rsidRDefault="0069723F">
      <w:pPr>
        <w:pStyle w:val="Titre1"/>
        <w:rPr>
          <w:lang w:val="fr-BE"/>
        </w:rPr>
      </w:pPr>
      <w:bookmarkStart w:id="2" w:name="_Toc101654109"/>
      <w:bookmarkStart w:id="3" w:name="remerciements"/>
      <w:bookmarkEnd w:id="1"/>
      <w:r w:rsidRPr="00311189">
        <w:rPr>
          <w:lang w:val="fr-BE"/>
        </w:rPr>
        <w:t>Remerciements</w:t>
      </w:r>
      <w:bookmarkEnd w:id="2"/>
    </w:p>
    <w:p w14:paraId="4280122D" w14:textId="77777777" w:rsidR="00C9593D" w:rsidRPr="00311189" w:rsidRDefault="0069723F">
      <w:pPr>
        <w:rPr>
          <w:lang w:val="fr-BE"/>
        </w:rPr>
      </w:pPr>
      <w:r w:rsidRPr="00311189">
        <w:rPr>
          <w:lang w:val="fr-BE"/>
        </w:rPr>
        <w:br w:type="page"/>
      </w:r>
    </w:p>
    <w:p w14:paraId="4280122E" w14:textId="77777777" w:rsidR="00C9593D" w:rsidRDefault="0069723F">
      <w:pPr>
        <w:pStyle w:val="Titre1"/>
      </w:pPr>
      <w:bookmarkStart w:id="4" w:name="_Toc101654110"/>
      <w:bookmarkStart w:id="5" w:name="résumé"/>
      <w:bookmarkEnd w:id="3"/>
      <w:r>
        <w:lastRenderedPageBreak/>
        <w:t>Résumé</w:t>
      </w:r>
      <w:bookmarkEnd w:id="4"/>
    </w:p>
    <w:p w14:paraId="4280122F" w14:textId="77777777" w:rsidR="00C9593D" w:rsidRDefault="0069723F">
      <w:r>
        <w:br w:type="page"/>
      </w:r>
    </w:p>
    <w:p w14:paraId="42801230" w14:textId="77777777" w:rsidR="00C9593D" w:rsidRDefault="0069723F">
      <w:pPr>
        <w:pStyle w:val="SourceCode"/>
      </w:pPr>
      <w:r>
        <w:rPr>
          <w:rStyle w:val="VerbatimChar"/>
        </w:rPr>
        <w:lastRenderedPageBreak/>
        <w:t>## Table des matières</w:t>
      </w:r>
    </w:p>
    <w:p w14:paraId="412F80D1" w14:textId="73D3BA67" w:rsidR="00862518" w:rsidRDefault="0069723F">
      <w:pPr>
        <w:pStyle w:val="TM1"/>
        <w:tabs>
          <w:tab w:val="right" w:leader="dot" w:pos="9350"/>
        </w:tabs>
        <w:rPr>
          <w:noProof/>
        </w:rPr>
      </w:pPr>
      <w:r>
        <w:fldChar w:fldCharType="begin"/>
      </w:r>
      <w:r>
        <w:instrText>TOC \o "1-3" \h \z \u</w:instrText>
      </w:r>
      <w:r>
        <w:fldChar w:fldCharType="separate"/>
      </w:r>
      <w:hyperlink w:anchor="_Toc101654108" w:history="1">
        <w:r w:rsidR="00862518" w:rsidRPr="00A50AE8">
          <w:rPr>
            <w:rStyle w:val="Lienhypertexte"/>
            <w:noProof/>
          </w:rPr>
          <w:t>Avant-propos</w:t>
        </w:r>
        <w:r w:rsidR="00862518">
          <w:rPr>
            <w:noProof/>
            <w:webHidden/>
          </w:rPr>
          <w:tab/>
        </w:r>
        <w:r w:rsidR="00862518">
          <w:rPr>
            <w:noProof/>
            <w:webHidden/>
          </w:rPr>
          <w:fldChar w:fldCharType="begin"/>
        </w:r>
        <w:r w:rsidR="00862518">
          <w:rPr>
            <w:noProof/>
            <w:webHidden/>
          </w:rPr>
          <w:instrText xml:space="preserve"> PAGEREF _Toc101654108 \h </w:instrText>
        </w:r>
        <w:r w:rsidR="00862518">
          <w:rPr>
            <w:noProof/>
            <w:webHidden/>
          </w:rPr>
        </w:r>
        <w:r w:rsidR="00862518">
          <w:rPr>
            <w:noProof/>
            <w:webHidden/>
          </w:rPr>
          <w:fldChar w:fldCharType="separate"/>
        </w:r>
        <w:r w:rsidR="00862518">
          <w:rPr>
            <w:noProof/>
            <w:webHidden/>
          </w:rPr>
          <w:t>2</w:t>
        </w:r>
        <w:r w:rsidR="00862518">
          <w:rPr>
            <w:noProof/>
            <w:webHidden/>
          </w:rPr>
          <w:fldChar w:fldCharType="end"/>
        </w:r>
      </w:hyperlink>
    </w:p>
    <w:p w14:paraId="566DBA26" w14:textId="5FE2ED77" w:rsidR="00862518" w:rsidRDefault="00586D2A">
      <w:pPr>
        <w:pStyle w:val="TM1"/>
        <w:tabs>
          <w:tab w:val="right" w:leader="dot" w:pos="9350"/>
        </w:tabs>
        <w:rPr>
          <w:noProof/>
        </w:rPr>
      </w:pPr>
      <w:hyperlink w:anchor="_Toc101654109" w:history="1">
        <w:r w:rsidR="00862518" w:rsidRPr="00A50AE8">
          <w:rPr>
            <w:rStyle w:val="Lienhypertexte"/>
            <w:noProof/>
          </w:rPr>
          <w:t>Remerciements</w:t>
        </w:r>
        <w:r w:rsidR="00862518">
          <w:rPr>
            <w:noProof/>
            <w:webHidden/>
          </w:rPr>
          <w:tab/>
        </w:r>
        <w:r w:rsidR="00862518">
          <w:rPr>
            <w:noProof/>
            <w:webHidden/>
          </w:rPr>
          <w:fldChar w:fldCharType="begin"/>
        </w:r>
        <w:r w:rsidR="00862518">
          <w:rPr>
            <w:noProof/>
            <w:webHidden/>
          </w:rPr>
          <w:instrText xml:space="preserve"> PAGEREF _Toc101654109 \h </w:instrText>
        </w:r>
        <w:r w:rsidR="00862518">
          <w:rPr>
            <w:noProof/>
            <w:webHidden/>
          </w:rPr>
        </w:r>
        <w:r w:rsidR="00862518">
          <w:rPr>
            <w:noProof/>
            <w:webHidden/>
          </w:rPr>
          <w:fldChar w:fldCharType="separate"/>
        </w:r>
        <w:r w:rsidR="00862518">
          <w:rPr>
            <w:noProof/>
            <w:webHidden/>
          </w:rPr>
          <w:t>2</w:t>
        </w:r>
        <w:r w:rsidR="00862518">
          <w:rPr>
            <w:noProof/>
            <w:webHidden/>
          </w:rPr>
          <w:fldChar w:fldCharType="end"/>
        </w:r>
      </w:hyperlink>
    </w:p>
    <w:p w14:paraId="4A8B370B" w14:textId="7259A652" w:rsidR="00862518" w:rsidRDefault="00586D2A">
      <w:pPr>
        <w:pStyle w:val="TM1"/>
        <w:tabs>
          <w:tab w:val="right" w:leader="dot" w:pos="9350"/>
        </w:tabs>
        <w:rPr>
          <w:noProof/>
        </w:rPr>
      </w:pPr>
      <w:hyperlink w:anchor="_Toc101654110" w:history="1">
        <w:r w:rsidR="00862518" w:rsidRPr="00A50AE8">
          <w:rPr>
            <w:rStyle w:val="Lienhypertexte"/>
            <w:noProof/>
          </w:rPr>
          <w:t>Résumé</w:t>
        </w:r>
        <w:r w:rsidR="00862518">
          <w:rPr>
            <w:noProof/>
            <w:webHidden/>
          </w:rPr>
          <w:tab/>
        </w:r>
        <w:r w:rsidR="00862518">
          <w:rPr>
            <w:noProof/>
            <w:webHidden/>
          </w:rPr>
          <w:fldChar w:fldCharType="begin"/>
        </w:r>
        <w:r w:rsidR="00862518">
          <w:rPr>
            <w:noProof/>
            <w:webHidden/>
          </w:rPr>
          <w:instrText xml:space="preserve"> PAGEREF _Toc101654110 \h </w:instrText>
        </w:r>
        <w:r w:rsidR="00862518">
          <w:rPr>
            <w:noProof/>
            <w:webHidden/>
          </w:rPr>
        </w:r>
        <w:r w:rsidR="00862518">
          <w:rPr>
            <w:noProof/>
            <w:webHidden/>
          </w:rPr>
          <w:fldChar w:fldCharType="separate"/>
        </w:r>
        <w:r w:rsidR="00862518">
          <w:rPr>
            <w:noProof/>
            <w:webHidden/>
          </w:rPr>
          <w:t>3</w:t>
        </w:r>
        <w:r w:rsidR="00862518">
          <w:rPr>
            <w:noProof/>
            <w:webHidden/>
          </w:rPr>
          <w:fldChar w:fldCharType="end"/>
        </w:r>
      </w:hyperlink>
    </w:p>
    <w:p w14:paraId="59CB88C5" w14:textId="26E12918" w:rsidR="00862518" w:rsidRDefault="00586D2A">
      <w:pPr>
        <w:pStyle w:val="TM1"/>
        <w:tabs>
          <w:tab w:val="right" w:leader="dot" w:pos="9350"/>
        </w:tabs>
        <w:rPr>
          <w:noProof/>
        </w:rPr>
      </w:pPr>
      <w:hyperlink w:anchor="_Toc101654111" w:history="1">
        <w:r w:rsidR="00862518" w:rsidRPr="00A50AE8">
          <w:rPr>
            <w:rStyle w:val="Lienhypertexte"/>
            <w:noProof/>
          </w:rPr>
          <w:t>Texte principal</w:t>
        </w:r>
        <w:r w:rsidR="00862518">
          <w:rPr>
            <w:noProof/>
            <w:webHidden/>
          </w:rPr>
          <w:tab/>
        </w:r>
        <w:r w:rsidR="00862518">
          <w:rPr>
            <w:noProof/>
            <w:webHidden/>
          </w:rPr>
          <w:fldChar w:fldCharType="begin"/>
        </w:r>
        <w:r w:rsidR="00862518">
          <w:rPr>
            <w:noProof/>
            <w:webHidden/>
          </w:rPr>
          <w:instrText xml:space="preserve"> PAGEREF _Toc101654111 \h </w:instrText>
        </w:r>
        <w:r w:rsidR="00862518">
          <w:rPr>
            <w:noProof/>
            <w:webHidden/>
          </w:rPr>
        </w:r>
        <w:r w:rsidR="00862518">
          <w:rPr>
            <w:noProof/>
            <w:webHidden/>
          </w:rPr>
          <w:fldChar w:fldCharType="separate"/>
        </w:r>
        <w:r w:rsidR="00862518">
          <w:rPr>
            <w:noProof/>
            <w:webHidden/>
          </w:rPr>
          <w:t>7</w:t>
        </w:r>
        <w:r w:rsidR="00862518">
          <w:rPr>
            <w:noProof/>
            <w:webHidden/>
          </w:rPr>
          <w:fldChar w:fldCharType="end"/>
        </w:r>
      </w:hyperlink>
    </w:p>
    <w:p w14:paraId="704ADD5B" w14:textId="382C983F" w:rsidR="00862518" w:rsidRDefault="00586D2A">
      <w:pPr>
        <w:pStyle w:val="TM1"/>
        <w:tabs>
          <w:tab w:val="right" w:leader="dot" w:pos="9350"/>
        </w:tabs>
        <w:rPr>
          <w:noProof/>
        </w:rPr>
      </w:pPr>
      <w:hyperlink w:anchor="_Toc101654112" w:history="1">
        <w:r w:rsidR="00862518" w:rsidRPr="00A50AE8">
          <w:rPr>
            <w:rStyle w:val="Lienhypertexte"/>
            <w:noProof/>
          </w:rPr>
          <w:t>Introduction</w:t>
        </w:r>
        <w:r w:rsidR="00862518">
          <w:rPr>
            <w:noProof/>
            <w:webHidden/>
          </w:rPr>
          <w:tab/>
        </w:r>
        <w:r w:rsidR="00862518">
          <w:rPr>
            <w:noProof/>
            <w:webHidden/>
          </w:rPr>
          <w:fldChar w:fldCharType="begin"/>
        </w:r>
        <w:r w:rsidR="00862518">
          <w:rPr>
            <w:noProof/>
            <w:webHidden/>
          </w:rPr>
          <w:instrText xml:space="preserve"> PAGEREF _Toc101654112 \h </w:instrText>
        </w:r>
        <w:r w:rsidR="00862518">
          <w:rPr>
            <w:noProof/>
            <w:webHidden/>
          </w:rPr>
        </w:r>
        <w:r w:rsidR="00862518">
          <w:rPr>
            <w:noProof/>
            <w:webHidden/>
          </w:rPr>
          <w:fldChar w:fldCharType="separate"/>
        </w:r>
        <w:r w:rsidR="00862518">
          <w:rPr>
            <w:noProof/>
            <w:webHidden/>
          </w:rPr>
          <w:t>7</w:t>
        </w:r>
        <w:r w:rsidR="00862518">
          <w:rPr>
            <w:noProof/>
            <w:webHidden/>
          </w:rPr>
          <w:fldChar w:fldCharType="end"/>
        </w:r>
      </w:hyperlink>
    </w:p>
    <w:p w14:paraId="031AEC91" w14:textId="69DF47BE" w:rsidR="00862518" w:rsidRDefault="00586D2A">
      <w:pPr>
        <w:pStyle w:val="TM1"/>
        <w:tabs>
          <w:tab w:val="right" w:leader="dot" w:pos="9350"/>
        </w:tabs>
        <w:rPr>
          <w:noProof/>
        </w:rPr>
      </w:pPr>
      <w:hyperlink w:anchor="_Toc101654113" w:history="1">
        <w:r w:rsidR="00862518" w:rsidRPr="00A50AE8">
          <w:rPr>
            <w:rStyle w:val="Lienhypertexte"/>
            <w:noProof/>
          </w:rPr>
          <w:t>Méthodologie</w:t>
        </w:r>
        <w:r w:rsidR="00862518">
          <w:rPr>
            <w:noProof/>
            <w:webHidden/>
          </w:rPr>
          <w:tab/>
        </w:r>
        <w:r w:rsidR="00862518">
          <w:rPr>
            <w:noProof/>
            <w:webHidden/>
          </w:rPr>
          <w:fldChar w:fldCharType="begin"/>
        </w:r>
        <w:r w:rsidR="00862518">
          <w:rPr>
            <w:noProof/>
            <w:webHidden/>
          </w:rPr>
          <w:instrText xml:space="preserve"> PAGEREF _Toc101654113 \h </w:instrText>
        </w:r>
        <w:r w:rsidR="00862518">
          <w:rPr>
            <w:noProof/>
            <w:webHidden/>
          </w:rPr>
        </w:r>
        <w:r w:rsidR="00862518">
          <w:rPr>
            <w:noProof/>
            <w:webHidden/>
          </w:rPr>
          <w:fldChar w:fldCharType="separate"/>
        </w:r>
        <w:r w:rsidR="00862518">
          <w:rPr>
            <w:noProof/>
            <w:webHidden/>
          </w:rPr>
          <w:t>8</w:t>
        </w:r>
        <w:r w:rsidR="00862518">
          <w:rPr>
            <w:noProof/>
            <w:webHidden/>
          </w:rPr>
          <w:fldChar w:fldCharType="end"/>
        </w:r>
      </w:hyperlink>
    </w:p>
    <w:p w14:paraId="3AF21792" w14:textId="2ED6F25A" w:rsidR="00862518" w:rsidRDefault="00586D2A">
      <w:pPr>
        <w:pStyle w:val="TM1"/>
        <w:tabs>
          <w:tab w:val="right" w:leader="dot" w:pos="9350"/>
        </w:tabs>
        <w:rPr>
          <w:noProof/>
        </w:rPr>
      </w:pPr>
      <w:hyperlink w:anchor="_Toc101654114" w:history="1">
        <w:r w:rsidR="00862518" w:rsidRPr="00A50AE8">
          <w:rPr>
            <w:rStyle w:val="Lienhypertexte"/>
            <w:noProof/>
          </w:rPr>
          <w:t>Résultats</w:t>
        </w:r>
        <w:r w:rsidR="00862518">
          <w:rPr>
            <w:noProof/>
            <w:webHidden/>
          </w:rPr>
          <w:tab/>
        </w:r>
        <w:r w:rsidR="00862518">
          <w:rPr>
            <w:noProof/>
            <w:webHidden/>
          </w:rPr>
          <w:fldChar w:fldCharType="begin"/>
        </w:r>
        <w:r w:rsidR="00862518">
          <w:rPr>
            <w:noProof/>
            <w:webHidden/>
          </w:rPr>
          <w:instrText xml:space="preserve"> PAGEREF _Toc101654114 \h </w:instrText>
        </w:r>
        <w:r w:rsidR="00862518">
          <w:rPr>
            <w:noProof/>
            <w:webHidden/>
          </w:rPr>
        </w:r>
        <w:r w:rsidR="00862518">
          <w:rPr>
            <w:noProof/>
            <w:webHidden/>
          </w:rPr>
          <w:fldChar w:fldCharType="separate"/>
        </w:r>
        <w:r w:rsidR="00862518">
          <w:rPr>
            <w:noProof/>
            <w:webHidden/>
          </w:rPr>
          <w:t>9</w:t>
        </w:r>
        <w:r w:rsidR="00862518">
          <w:rPr>
            <w:noProof/>
            <w:webHidden/>
          </w:rPr>
          <w:fldChar w:fldCharType="end"/>
        </w:r>
      </w:hyperlink>
    </w:p>
    <w:p w14:paraId="747F0BE9" w14:textId="1169EB5D" w:rsidR="00862518" w:rsidRDefault="00586D2A">
      <w:pPr>
        <w:pStyle w:val="TM2"/>
        <w:tabs>
          <w:tab w:val="right" w:leader="dot" w:pos="9350"/>
        </w:tabs>
        <w:rPr>
          <w:noProof/>
        </w:rPr>
      </w:pPr>
      <w:hyperlink w:anchor="_Toc101654115" w:history="1">
        <w:r w:rsidR="00862518" w:rsidRPr="00A50AE8">
          <w:rPr>
            <w:rStyle w:val="Lienhypertexte"/>
            <w:noProof/>
          </w:rPr>
          <w:t>Participant·e·s</w:t>
        </w:r>
        <w:r w:rsidR="00862518">
          <w:rPr>
            <w:noProof/>
            <w:webHidden/>
          </w:rPr>
          <w:tab/>
        </w:r>
        <w:r w:rsidR="00862518">
          <w:rPr>
            <w:noProof/>
            <w:webHidden/>
          </w:rPr>
          <w:fldChar w:fldCharType="begin"/>
        </w:r>
        <w:r w:rsidR="00862518">
          <w:rPr>
            <w:noProof/>
            <w:webHidden/>
          </w:rPr>
          <w:instrText xml:space="preserve"> PAGEREF _Toc101654115 \h </w:instrText>
        </w:r>
        <w:r w:rsidR="00862518">
          <w:rPr>
            <w:noProof/>
            <w:webHidden/>
          </w:rPr>
        </w:r>
        <w:r w:rsidR="00862518">
          <w:rPr>
            <w:noProof/>
            <w:webHidden/>
          </w:rPr>
          <w:fldChar w:fldCharType="separate"/>
        </w:r>
        <w:r w:rsidR="00862518">
          <w:rPr>
            <w:noProof/>
            <w:webHidden/>
          </w:rPr>
          <w:t>9</w:t>
        </w:r>
        <w:r w:rsidR="00862518">
          <w:rPr>
            <w:noProof/>
            <w:webHidden/>
          </w:rPr>
          <w:fldChar w:fldCharType="end"/>
        </w:r>
      </w:hyperlink>
    </w:p>
    <w:p w14:paraId="48F8F29D" w14:textId="632475A3" w:rsidR="00862518" w:rsidRDefault="00586D2A">
      <w:pPr>
        <w:pStyle w:val="TM3"/>
        <w:tabs>
          <w:tab w:val="right" w:leader="dot" w:pos="9350"/>
        </w:tabs>
        <w:rPr>
          <w:noProof/>
        </w:rPr>
      </w:pPr>
      <w:hyperlink w:anchor="_Toc101654116" w:history="1">
        <w:r w:rsidR="00862518" w:rsidRPr="00A50AE8">
          <w:rPr>
            <w:rStyle w:val="Lienhypertexte"/>
            <w:noProof/>
          </w:rPr>
          <w:t>Éligibilité</w:t>
        </w:r>
        <w:r w:rsidR="00862518">
          <w:rPr>
            <w:noProof/>
            <w:webHidden/>
          </w:rPr>
          <w:tab/>
        </w:r>
        <w:r w:rsidR="00862518">
          <w:rPr>
            <w:noProof/>
            <w:webHidden/>
          </w:rPr>
          <w:fldChar w:fldCharType="begin"/>
        </w:r>
        <w:r w:rsidR="00862518">
          <w:rPr>
            <w:noProof/>
            <w:webHidden/>
          </w:rPr>
          <w:instrText xml:space="preserve"> PAGEREF _Toc101654116 \h </w:instrText>
        </w:r>
        <w:r w:rsidR="00862518">
          <w:rPr>
            <w:noProof/>
            <w:webHidden/>
          </w:rPr>
        </w:r>
        <w:r w:rsidR="00862518">
          <w:rPr>
            <w:noProof/>
            <w:webHidden/>
          </w:rPr>
          <w:fldChar w:fldCharType="separate"/>
        </w:r>
        <w:r w:rsidR="00862518">
          <w:rPr>
            <w:noProof/>
            <w:webHidden/>
          </w:rPr>
          <w:t>9</w:t>
        </w:r>
        <w:r w:rsidR="00862518">
          <w:rPr>
            <w:noProof/>
            <w:webHidden/>
          </w:rPr>
          <w:fldChar w:fldCharType="end"/>
        </w:r>
      </w:hyperlink>
    </w:p>
    <w:p w14:paraId="11804C60" w14:textId="385B4473" w:rsidR="00862518" w:rsidRDefault="00586D2A">
      <w:pPr>
        <w:pStyle w:val="TM3"/>
        <w:tabs>
          <w:tab w:val="right" w:leader="dot" w:pos="9350"/>
        </w:tabs>
        <w:rPr>
          <w:noProof/>
        </w:rPr>
      </w:pPr>
      <w:hyperlink w:anchor="_Toc101654117" w:history="1">
        <w:r w:rsidR="00862518" w:rsidRPr="00A50AE8">
          <w:rPr>
            <w:rStyle w:val="Lienhypertexte"/>
            <w:noProof/>
          </w:rPr>
          <w:t>Caractéristiques démographiques</w:t>
        </w:r>
        <w:r w:rsidR="00862518">
          <w:rPr>
            <w:noProof/>
            <w:webHidden/>
          </w:rPr>
          <w:tab/>
        </w:r>
        <w:r w:rsidR="00862518">
          <w:rPr>
            <w:noProof/>
            <w:webHidden/>
          </w:rPr>
          <w:fldChar w:fldCharType="begin"/>
        </w:r>
        <w:r w:rsidR="00862518">
          <w:rPr>
            <w:noProof/>
            <w:webHidden/>
          </w:rPr>
          <w:instrText xml:space="preserve"> PAGEREF _Toc101654117 \h </w:instrText>
        </w:r>
        <w:r w:rsidR="00862518">
          <w:rPr>
            <w:noProof/>
            <w:webHidden/>
          </w:rPr>
        </w:r>
        <w:r w:rsidR="00862518">
          <w:rPr>
            <w:noProof/>
            <w:webHidden/>
          </w:rPr>
          <w:fldChar w:fldCharType="separate"/>
        </w:r>
        <w:r w:rsidR="00862518">
          <w:rPr>
            <w:noProof/>
            <w:webHidden/>
          </w:rPr>
          <w:t>10</w:t>
        </w:r>
        <w:r w:rsidR="00862518">
          <w:rPr>
            <w:noProof/>
            <w:webHidden/>
          </w:rPr>
          <w:fldChar w:fldCharType="end"/>
        </w:r>
      </w:hyperlink>
    </w:p>
    <w:p w14:paraId="01FEC277" w14:textId="601CE85E" w:rsidR="00862518" w:rsidRDefault="00586D2A">
      <w:pPr>
        <w:pStyle w:val="TM3"/>
        <w:tabs>
          <w:tab w:val="right" w:leader="dot" w:pos="9350"/>
        </w:tabs>
        <w:rPr>
          <w:noProof/>
        </w:rPr>
      </w:pPr>
      <w:hyperlink w:anchor="_Toc101654118" w:history="1">
        <w:r w:rsidR="00862518" w:rsidRPr="00A50AE8">
          <w:rPr>
            <w:rStyle w:val="Lienhypertexte"/>
            <w:noProof/>
          </w:rPr>
          <w:t>Problèmes de santé</w:t>
        </w:r>
        <w:r w:rsidR="00862518">
          <w:rPr>
            <w:noProof/>
            <w:webHidden/>
          </w:rPr>
          <w:tab/>
        </w:r>
        <w:r w:rsidR="00862518">
          <w:rPr>
            <w:noProof/>
            <w:webHidden/>
          </w:rPr>
          <w:fldChar w:fldCharType="begin"/>
        </w:r>
        <w:r w:rsidR="00862518">
          <w:rPr>
            <w:noProof/>
            <w:webHidden/>
          </w:rPr>
          <w:instrText xml:space="preserve"> PAGEREF _Toc101654118 \h </w:instrText>
        </w:r>
        <w:r w:rsidR="00862518">
          <w:rPr>
            <w:noProof/>
            <w:webHidden/>
          </w:rPr>
        </w:r>
        <w:r w:rsidR="00862518">
          <w:rPr>
            <w:noProof/>
            <w:webHidden/>
          </w:rPr>
          <w:fldChar w:fldCharType="separate"/>
        </w:r>
        <w:r w:rsidR="00862518">
          <w:rPr>
            <w:noProof/>
            <w:webHidden/>
          </w:rPr>
          <w:t>11</w:t>
        </w:r>
        <w:r w:rsidR="00862518">
          <w:rPr>
            <w:noProof/>
            <w:webHidden/>
          </w:rPr>
          <w:fldChar w:fldCharType="end"/>
        </w:r>
      </w:hyperlink>
    </w:p>
    <w:p w14:paraId="2576FC90" w14:textId="772F66B1" w:rsidR="00862518" w:rsidRDefault="00586D2A">
      <w:pPr>
        <w:pStyle w:val="TM3"/>
        <w:tabs>
          <w:tab w:val="right" w:leader="dot" w:pos="9350"/>
        </w:tabs>
        <w:rPr>
          <w:noProof/>
        </w:rPr>
      </w:pPr>
      <w:hyperlink w:anchor="_Toc101654119" w:history="1">
        <w:r w:rsidR="00862518" w:rsidRPr="00A50AE8">
          <w:rPr>
            <w:rStyle w:val="Lienhypertexte"/>
            <w:noProof/>
          </w:rPr>
          <w:t>Durée du suivi</w:t>
        </w:r>
        <w:r w:rsidR="00862518">
          <w:rPr>
            <w:noProof/>
            <w:webHidden/>
          </w:rPr>
          <w:tab/>
        </w:r>
        <w:r w:rsidR="00862518">
          <w:rPr>
            <w:noProof/>
            <w:webHidden/>
          </w:rPr>
          <w:fldChar w:fldCharType="begin"/>
        </w:r>
        <w:r w:rsidR="00862518">
          <w:rPr>
            <w:noProof/>
            <w:webHidden/>
          </w:rPr>
          <w:instrText xml:space="preserve"> PAGEREF _Toc101654119 \h </w:instrText>
        </w:r>
        <w:r w:rsidR="00862518">
          <w:rPr>
            <w:noProof/>
            <w:webHidden/>
          </w:rPr>
        </w:r>
        <w:r w:rsidR="00862518">
          <w:rPr>
            <w:noProof/>
            <w:webHidden/>
          </w:rPr>
          <w:fldChar w:fldCharType="separate"/>
        </w:r>
        <w:r w:rsidR="00862518">
          <w:rPr>
            <w:noProof/>
            <w:webHidden/>
          </w:rPr>
          <w:t>11</w:t>
        </w:r>
        <w:r w:rsidR="00862518">
          <w:rPr>
            <w:noProof/>
            <w:webHidden/>
          </w:rPr>
          <w:fldChar w:fldCharType="end"/>
        </w:r>
      </w:hyperlink>
    </w:p>
    <w:p w14:paraId="60C3F608" w14:textId="12E8D560" w:rsidR="00862518" w:rsidRDefault="00586D2A">
      <w:pPr>
        <w:pStyle w:val="TM2"/>
        <w:tabs>
          <w:tab w:val="right" w:leader="dot" w:pos="9350"/>
        </w:tabs>
        <w:rPr>
          <w:noProof/>
        </w:rPr>
      </w:pPr>
      <w:hyperlink w:anchor="_Toc101654120" w:history="1">
        <w:r w:rsidR="00862518" w:rsidRPr="00A50AE8">
          <w:rPr>
            <w:rStyle w:val="Lienhypertexte"/>
            <w:noProof/>
          </w:rPr>
          <w:t>Synthèse des anamnèses</w:t>
        </w:r>
        <w:r w:rsidR="00862518">
          <w:rPr>
            <w:noProof/>
            <w:webHidden/>
          </w:rPr>
          <w:tab/>
        </w:r>
        <w:r w:rsidR="00862518">
          <w:rPr>
            <w:noProof/>
            <w:webHidden/>
          </w:rPr>
          <w:fldChar w:fldCharType="begin"/>
        </w:r>
        <w:r w:rsidR="00862518">
          <w:rPr>
            <w:noProof/>
            <w:webHidden/>
          </w:rPr>
          <w:instrText xml:space="preserve"> PAGEREF _Toc101654120 \h </w:instrText>
        </w:r>
        <w:r w:rsidR="00862518">
          <w:rPr>
            <w:noProof/>
            <w:webHidden/>
          </w:rPr>
        </w:r>
        <w:r w:rsidR="00862518">
          <w:rPr>
            <w:noProof/>
            <w:webHidden/>
          </w:rPr>
          <w:fldChar w:fldCharType="separate"/>
        </w:r>
        <w:r w:rsidR="00862518">
          <w:rPr>
            <w:noProof/>
            <w:webHidden/>
          </w:rPr>
          <w:t>12</w:t>
        </w:r>
        <w:r w:rsidR="00862518">
          <w:rPr>
            <w:noProof/>
            <w:webHidden/>
          </w:rPr>
          <w:fldChar w:fldCharType="end"/>
        </w:r>
      </w:hyperlink>
    </w:p>
    <w:p w14:paraId="58C279F4" w14:textId="12B2EDB1" w:rsidR="00862518" w:rsidRDefault="00586D2A">
      <w:pPr>
        <w:pStyle w:val="TM3"/>
        <w:tabs>
          <w:tab w:val="right" w:leader="dot" w:pos="9350"/>
        </w:tabs>
        <w:rPr>
          <w:noProof/>
        </w:rPr>
      </w:pPr>
      <w:hyperlink w:anchor="_Toc101654121" w:history="1">
        <w:r w:rsidR="00862518" w:rsidRPr="00A50AE8">
          <w:rPr>
            <w:rStyle w:val="Lienhypertexte"/>
            <w:noProof/>
          </w:rPr>
          <w:t>Contexte social</w:t>
        </w:r>
        <w:r w:rsidR="00862518">
          <w:rPr>
            <w:noProof/>
            <w:webHidden/>
          </w:rPr>
          <w:tab/>
        </w:r>
        <w:r w:rsidR="00862518">
          <w:rPr>
            <w:noProof/>
            <w:webHidden/>
          </w:rPr>
          <w:fldChar w:fldCharType="begin"/>
        </w:r>
        <w:r w:rsidR="00862518">
          <w:rPr>
            <w:noProof/>
            <w:webHidden/>
          </w:rPr>
          <w:instrText xml:space="preserve"> PAGEREF _Toc101654121 \h </w:instrText>
        </w:r>
        <w:r w:rsidR="00862518">
          <w:rPr>
            <w:noProof/>
            <w:webHidden/>
          </w:rPr>
        </w:r>
        <w:r w:rsidR="00862518">
          <w:rPr>
            <w:noProof/>
            <w:webHidden/>
          </w:rPr>
          <w:fldChar w:fldCharType="separate"/>
        </w:r>
        <w:r w:rsidR="00862518">
          <w:rPr>
            <w:noProof/>
            <w:webHidden/>
          </w:rPr>
          <w:t>12</w:t>
        </w:r>
        <w:r w:rsidR="00862518">
          <w:rPr>
            <w:noProof/>
            <w:webHidden/>
          </w:rPr>
          <w:fldChar w:fldCharType="end"/>
        </w:r>
      </w:hyperlink>
    </w:p>
    <w:p w14:paraId="37CD78CE" w14:textId="65BF737A" w:rsidR="00862518" w:rsidRDefault="00586D2A">
      <w:pPr>
        <w:pStyle w:val="TM3"/>
        <w:tabs>
          <w:tab w:val="right" w:leader="dot" w:pos="9350"/>
        </w:tabs>
        <w:rPr>
          <w:noProof/>
        </w:rPr>
      </w:pPr>
      <w:hyperlink w:anchor="_Toc101654122" w:history="1">
        <w:r w:rsidR="00862518" w:rsidRPr="00A50AE8">
          <w:rPr>
            <w:rStyle w:val="Lienhypertexte"/>
            <w:noProof/>
          </w:rPr>
          <w:t>Attentes vis-à-vis du THAG</w:t>
        </w:r>
        <w:r w:rsidR="00862518">
          <w:rPr>
            <w:noProof/>
            <w:webHidden/>
          </w:rPr>
          <w:tab/>
        </w:r>
        <w:r w:rsidR="00862518">
          <w:rPr>
            <w:noProof/>
            <w:webHidden/>
          </w:rPr>
          <w:fldChar w:fldCharType="begin"/>
        </w:r>
        <w:r w:rsidR="00862518">
          <w:rPr>
            <w:noProof/>
            <w:webHidden/>
          </w:rPr>
          <w:instrText xml:space="preserve"> PAGEREF _Toc101654122 \h </w:instrText>
        </w:r>
        <w:r w:rsidR="00862518">
          <w:rPr>
            <w:noProof/>
            <w:webHidden/>
          </w:rPr>
        </w:r>
        <w:r w:rsidR="00862518">
          <w:rPr>
            <w:noProof/>
            <w:webHidden/>
          </w:rPr>
          <w:fldChar w:fldCharType="separate"/>
        </w:r>
        <w:r w:rsidR="00862518">
          <w:rPr>
            <w:noProof/>
            <w:webHidden/>
          </w:rPr>
          <w:t>13</w:t>
        </w:r>
        <w:r w:rsidR="00862518">
          <w:rPr>
            <w:noProof/>
            <w:webHidden/>
          </w:rPr>
          <w:fldChar w:fldCharType="end"/>
        </w:r>
      </w:hyperlink>
    </w:p>
    <w:p w14:paraId="60A057A4" w14:textId="07280582" w:rsidR="00862518" w:rsidRDefault="00586D2A">
      <w:pPr>
        <w:pStyle w:val="TM3"/>
        <w:tabs>
          <w:tab w:val="right" w:leader="dot" w:pos="9350"/>
        </w:tabs>
        <w:rPr>
          <w:noProof/>
        </w:rPr>
      </w:pPr>
      <w:hyperlink w:anchor="_Toc101654123" w:history="1">
        <w:r w:rsidR="00862518" w:rsidRPr="00A50AE8">
          <w:rPr>
            <w:rStyle w:val="Lienhypertexte"/>
            <w:noProof/>
          </w:rPr>
          <w:t>Besoins chirurgicaux</w:t>
        </w:r>
        <w:r w:rsidR="00862518">
          <w:rPr>
            <w:noProof/>
            <w:webHidden/>
          </w:rPr>
          <w:tab/>
        </w:r>
        <w:r w:rsidR="00862518">
          <w:rPr>
            <w:noProof/>
            <w:webHidden/>
          </w:rPr>
          <w:fldChar w:fldCharType="begin"/>
        </w:r>
        <w:r w:rsidR="00862518">
          <w:rPr>
            <w:noProof/>
            <w:webHidden/>
          </w:rPr>
          <w:instrText xml:space="preserve"> PAGEREF _Toc101654123 \h </w:instrText>
        </w:r>
        <w:r w:rsidR="00862518">
          <w:rPr>
            <w:noProof/>
            <w:webHidden/>
          </w:rPr>
        </w:r>
        <w:r w:rsidR="00862518">
          <w:rPr>
            <w:noProof/>
            <w:webHidden/>
          </w:rPr>
          <w:fldChar w:fldCharType="separate"/>
        </w:r>
        <w:r w:rsidR="00862518">
          <w:rPr>
            <w:noProof/>
            <w:webHidden/>
          </w:rPr>
          <w:t>14</w:t>
        </w:r>
        <w:r w:rsidR="00862518">
          <w:rPr>
            <w:noProof/>
            <w:webHidden/>
          </w:rPr>
          <w:fldChar w:fldCharType="end"/>
        </w:r>
      </w:hyperlink>
    </w:p>
    <w:p w14:paraId="024F227F" w14:textId="77B38C1C" w:rsidR="00862518" w:rsidRDefault="00586D2A">
      <w:pPr>
        <w:pStyle w:val="TM2"/>
        <w:tabs>
          <w:tab w:val="right" w:leader="dot" w:pos="9350"/>
        </w:tabs>
        <w:rPr>
          <w:noProof/>
        </w:rPr>
      </w:pPr>
      <w:hyperlink w:anchor="_Toc101654124" w:history="1">
        <w:r w:rsidR="00862518" w:rsidRPr="00A50AE8">
          <w:rPr>
            <w:rStyle w:val="Lienhypertexte"/>
            <w:noProof/>
          </w:rPr>
          <w:t>Évolution lors du suivi</w:t>
        </w:r>
        <w:r w:rsidR="00862518">
          <w:rPr>
            <w:noProof/>
            <w:webHidden/>
          </w:rPr>
          <w:tab/>
        </w:r>
        <w:r w:rsidR="00862518">
          <w:rPr>
            <w:noProof/>
            <w:webHidden/>
          </w:rPr>
          <w:fldChar w:fldCharType="begin"/>
        </w:r>
        <w:r w:rsidR="00862518">
          <w:rPr>
            <w:noProof/>
            <w:webHidden/>
          </w:rPr>
          <w:instrText xml:space="preserve"> PAGEREF _Toc101654124 \h </w:instrText>
        </w:r>
        <w:r w:rsidR="00862518">
          <w:rPr>
            <w:noProof/>
            <w:webHidden/>
          </w:rPr>
        </w:r>
        <w:r w:rsidR="00862518">
          <w:rPr>
            <w:noProof/>
            <w:webHidden/>
          </w:rPr>
          <w:fldChar w:fldCharType="separate"/>
        </w:r>
        <w:r w:rsidR="00862518">
          <w:rPr>
            <w:noProof/>
            <w:webHidden/>
          </w:rPr>
          <w:t>15</w:t>
        </w:r>
        <w:r w:rsidR="00862518">
          <w:rPr>
            <w:noProof/>
            <w:webHidden/>
          </w:rPr>
          <w:fldChar w:fldCharType="end"/>
        </w:r>
      </w:hyperlink>
    </w:p>
    <w:p w14:paraId="30EB158A" w14:textId="3E0B775A" w:rsidR="00862518" w:rsidRDefault="00586D2A">
      <w:pPr>
        <w:pStyle w:val="TM3"/>
        <w:tabs>
          <w:tab w:val="right" w:leader="dot" w:pos="9350"/>
        </w:tabs>
        <w:rPr>
          <w:noProof/>
        </w:rPr>
      </w:pPr>
      <w:hyperlink w:anchor="_Toc101654125" w:history="1">
        <w:r w:rsidR="00862518" w:rsidRPr="00A50AE8">
          <w:rPr>
            <w:rStyle w:val="Lienhypertexte"/>
            <w:noProof/>
          </w:rPr>
          <w:t>Patient·e·s transféminin·e·s</w:t>
        </w:r>
        <w:r w:rsidR="00862518">
          <w:rPr>
            <w:noProof/>
            <w:webHidden/>
          </w:rPr>
          <w:tab/>
        </w:r>
        <w:r w:rsidR="00862518">
          <w:rPr>
            <w:noProof/>
            <w:webHidden/>
          </w:rPr>
          <w:fldChar w:fldCharType="begin"/>
        </w:r>
        <w:r w:rsidR="00862518">
          <w:rPr>
            <w:noProof/>
            <w:webHidden/>
          </w:rPr>
          <w:instrText xml:space="preserve"> PAGEREF _Toc101654125 \h </w:instrText>
        </w:r>
        <w:r w:rsidR="00862518">
          <w:rPr>
            <w:noProof/>
            <w:webHidden/>
          </w:rPr>
        </w:r>
        <w:r w:rsidR="00862518">
          <w:rPr>
            <w:noProof/>
            <w:webHidden/>
          </w:rPr>
          <w:fldChar w:fldCharType="separate"/>
        </w:r>
        <w:r w:rsidR="00862518">
          <w:rPr>
            <w:noProof/>
            <w:webHidden/>
          </w:rPr>
          <w:t>15</w:t>
        </w:r>
        <w:r w:rsidR="00862518">
          <w:rPr>
            <w:noProof/>
            <w:webHidden/>
          </w:rPr>
          <w:fldChar w:fldCharType="end"/>
        </w:r>
      </w:hyperlink>
    </w:p>
    <w:p w14:paraId="45A619D7" w14:textId="7CE33991" w:rsidR="00862518" w:rsidRDefault="00586D2A">
      <w:pPr>
        <w:pStyle w:val="TM3"/>
        <w:tabs>
          <w:tab w:val="right" w:leader="dot" w:pos="9350"/>
        </w:tabs>
        <w:rPr>
          <w:noProof/>
        </w:rPr>
      </w:pPr>
      <w:hyperlink w:anchor="_Toc101654126" w:history="1">
        <w:r w:rsidR="00862518" w:rsidRPr="00A50AE8">
          <w:rPr>
            <w:rStyle w:val="Lienhypertexte"/>
            <w:noProof/>
          </w:rPr>
          <w:t>Patient·e·s transmasculin·e·s</w:t>
        </w:r>
        <w:r w:rsidR="00862518">
          <w:rPr>
            <w:noProof/>
            <w:webHidden/>
          </w:rPr>
          <w:tab/>
        </w:r>
        <w:r w:rsidR="00862518">
          <w:rPr>
            <w:noProof/>
            <w:webHidden/>
          </w:rPr>
          <w:fldChar w:fldCharType="begin"/>
        </w:r>
        <w:r w:rsidR="00862518">
          <w:rPr>
            <w:noProof/>
            <w:webHidden/>
          </w:rPr>
          <w:instrText xml:space="preserve"> PAGEREF _Toc101654126 \h </w:instrText>
        </w:r>
        <w:r w:rsidR="00862518">
          <w:rPr>
            <w:noProof/>
            <w:webHidden/>
          </w:rPr>
        </w:r>
        <w:r w:rsidR="00862518">
          <w:rPr>
            <w:noProof/>
            <w:webHidden/>
          </w:rPr>
          <w:fldChar w:fldCharType="separate"/>
        </w:r>
        <w:r w:rsidR="00862518">
          <w:rPr>
            <w:noProof/>
            <w:webHidden/>
          </w:rPr>
          <w:t>20</w:t>
        </w:r>
        <w:r w:rsidR="00862518">
          <w:rPr>
            <w:noProof/>
            <w:webHidden/>
          </w:rPr>
          <w:fldChar w:fldCharType="end"/>
        </w:r>
      </w:hyperlink>
    </w:p>
    <w:p w14:paraId="103A1B42" w14:textId="09E6F202" w:rsidR="00862518" w:rsidRDefault="00586D2A">
      <w:pPr>
        <w:pStyle w:val="TM1"/>
        <w:tabs>
          <w:tab w:val="right" w:leader="dot" w:pos="9350"/>
        </w:tabs>
        <w:rPr>
          <w:noProof/>
        </w:rPr>
      </w:pPr>
      <w:hyperlink w:anchor="_Toc101654127" w:history="1">
        <w:r w:rsidR="00862518" w:rsidRPr="00A50AE8">
          <w:rPr>
            <w:rStyle w:val="Lienhypertexte"/>
            <w:noProof/>
          </w:rPr>
          <w:t>Discussion</w:t>
        </w:r>
        <w:r w:rsidR="00862518">
          <w:rPr>
            <w:noProof/>
            <w:webHidden/>
          </w:rPr>
          <w:tab/>
        </w:r>
        <w:r w:rsidR="00862518">
          <w:rPr>
            <w:noProof/>
            <w:webHidden/>
          </w:rPr>
          <w:fldChar w:fldCharType="begin"/>
        </w:r>
        <w:r w:rsidR="00862518">
          <w:rPr>
            <w:noProof/>
            <w:webHidden/>
          </w:rPr>
          <w:instrText xml:space="preserve"> PAGEREF _Toc101654127 \h </w:instrText>
        </w:r>
        <w:r w:rsidR="00862518">
          <w:rPr>
            <w:noProof/>
            <w:webHidden/>
          </w:rPr>
        </w:r>
        <w:r w:rsidR="00862518">
          <w:rPr>
            <w:noProof/>
            <w:webHidden/>
          </w:rPr>
          <w:fldChar w:fldCharType="separate"/>
        </w:r>
        <w:r w:rsidR="00862518">
          <w:rPr>
            <w:noProof/>
            <w:webHidden/>
          </w:rPr>
          <w:t>22</w:t>
        </w:r>
        <w:r w:rsidR="00862518">
          <w:rPr>
            <w:noProof/>
            <w:webHidden/>
          </w:rPr>
          <w:fldChar w:fldCharType="end"/>
        </w:r>
      </w:hyperlink>
    </w:p>
    <w:p w14:paraId="203477C3" w14:textId="46AC970B" w:rsidR="00862518" w:rsidRDefault="00586D2A">
      <w:pPr>
        <w:pStyle w:val="TM1"/>
        <w:tabs>
          <w:tab w:val="right" w:leader="dot" w:pos="9350"/>
        </w:tabs>
        <w:rPr>
          <w:noProof/>
        </w:rPr>
      </w:pPr>
      <w:hyperlink w:anchor="_Toc101654128" w:history="1">
        <w:r w:rsidR="00862518" w:rsidRPr="00A50AE8">
          <w:rPr>
            <w:rStyle w:val="Lienhypertexte"/>
            <w:noProof/>
          </w:rPr>
          <w:t>Conclusion</w:t>
        </w:r>
        <w:r w:rsidR="00862518">
          <w:rPr>
            <w:noProof/>
            <w:webHidden/>
          </w:rPr>
          <w:tab/>
        </w:r>
        <w:r w:rsidR="00862518">
          <w:rPr>
            <w:noProof/>
            <w:webHidden/>
          </w:rPr>
          <w:fldChar w:fldCharType="begin"/>
        </w:r>
        <w:r w:rsidR="00862518">
          <w:rPr>
            <w:noProof/>
            <w:webHidden/>
          </w:rPr>
          <w:instrText xml:space="preserve"> PAGEREF _Toc101654128 \h </w:instrText>
        </w:r>
        <w:r w:rsidR="00862518">
          <w:rPr>
            <w:noProof/>
            <w:webHidden/>
          </w:rPr>
        </w:r>
        <w:r w:rsidR="00862518">
          <w:rPr>
            <w:noProof/>
            <w:webHidden/>
          </w:rPr>
          <w:fldChar w:fldCharType="separate"/>
        </w:r>
        <w:r w:rsidR="00862518">
          <w:rPr>
            <w:noProof/>
            <w:webHidden/>
          </w:rPr>
          <w:t>23</w:t>
        </w:r>
        <w:r w:rsidR="00862518">
          <w:rPr>
            <w:noProof/>
            <w:webHidden/>
          </w:rPr>
          <w:fldChar w:fldCharType="end"/>
        </w:r>
      </w:hyperlink>
    </w:p>
    <w:p w14:paraId="17E343F1" w14:textId="39C0A542" w:rsidR="00862518" w:rsidRDefault="00586D2A">
      <w:pPr>
        <w:pStyle w:val="TM1"/>
        <w:tabs>
          <w:tab w:val="right" w:leader="dot" w:pos="9350"/>
        </w:tabs>
        <w:rPr>
          <w:noProof/>
        </w:rPr>
      </w:pPr>
      <w:hyperlink w:anchor="_Toc101654129" w:history="1">
        <w:r w:rsidR="00862518" w:rsidRPr="00A50AE8">
          <w:rPr>
            <w:rStyle w:val="Lienhypertexte"/>
            <w:noProof/>
          </w:rPr>
          <w:t>Bibliographie</w:t>
        </w:r>
        <w:r w:rsidR="00862518">
          <w:rPr>
            <w:noProof/>
            <w:webHidden/>
          </w:rPr>
          <w:tab/>
        </w:r>
        <w:r w:rsidR="00862518">
          <w:rPr>
            <w:noProof/>
            <w:webHidden/>
          </w:rPr>
          <w:fldChar w:fldCharType="begin"/>
        </w:r>
        <w:r w:rsidR="00862518">
          <w:rPr>
            <w:noProof/>
            <w:webHidden/>
          </w:rPr>
          <w:instrText xml:space="preserve"> PAGEREF _Toc101654129 \h </w:instrText>
        </w:r>
        <w:r w:rsidR="00862518">
          <w:rPr>
            <w:noProof/>
            <w:webHidden/>
          </w:rPr>
        </w:r>
        <w:r w:rsidR="00862518">
          <w:rPr>
            <w:noProof/>
            <w:webHidden/>
          </w:rPr>
          <w:fldChar w:fldCharType="separate"/>
        </w:r>
        <w:r w:rsidR="00862518">
          <w:rPr>
            <w:noProof/>
            <w:webHidden/>
          </w:rPr>
          <w:t>24</w:t>
        </w:r>
        <w:r w:rsidR="00862518">
          <w:rPr>
            <w:noProof/>
            <w:webHidden/>
          </w:rPr>
          <w:fldChar w:fldCharType="end"/>
        </w:r>
      </w:hyperlink>
    </w:p>
    <w:p w14:paraId="04B22EB3" w14:textId="6C0F11DD" w:rsidR="00862518" w:rsidRDefault="00586D2A">
      <w:pPr>
        <w:pStyle w:val="TM1"/>
        <w:tabs>
          <w:tab w:val="right" w:leader="dot" w:pos="9350"/>
        </w:tabs>
        <w:rPr>
          <w:noProof/>
        </w:rPr>
      </w:pPr>
      <w:hyperlink w:anchor="_Toc101654130" w:history="1">
        <w:r w:rsidR="00862518" w:rsidRPr="00A50AE8">
          <w:rPr>
            <w:rStyle w:val="Lienhypertexte"/>
            <w:noProof/>
          </w:rPr>
          <w:t>Annexes</w:t>
        </w:r>
        <w:r w:rsidR="00862518">
          <w:rPr>
            <w:noProof/>
            <w:webHidden/>
          </w:rPr>
          <w:tab/>
        </w:r>
        <w:r w:rsidR="00862518">
          <w:rPr>
            <w:noProof/>
            <w:webHidden/>
          </w:rPr>
          <w:fldChar w:fldCharType="begin"/>
        </w:r>
        <w:r w:rsidR="00862518">
          <w:rPr>
            <w:noProof/>
            <w:webHidden/>
          </w:rPr>
          <w:instrText xml:space="preserve"> PAGEREF _Toc101654130 \h </w:instrText>
        </w:r>
        <w:r w:rsidR="00862518">
          <w:rPr>
            <w:noProof/>
            <w:webHidden/>
          </w:rPr>
        </w:r>
        <w:r w:rsidR="00862518">
          <w:rPr>
            <w:noProof/>
            <w:webHidden/>
          </w:rPr>
          <w:fldChar w:fldCharType="separate"/>
        </w:r>
        <w:r w:rsidR="00862518">
          <w:rPr>
            <w:noProof/>
            <w:webHidden/>
          </w:rPr>
          <w:t>25</w:t>
        </w:r>
        <w:r w:rsidR="00862518">
          <w:rPr>
            <w:noProof/>
            <w:webHidden/>
          </w:rPr>
          <w:fldChar w:fldCharType="end"/>
        </w:r>
      </w:hyperlink>
    </w:p>
    <w:p w14:paraId="42B63AB4" w14:textId="4DCBC387" w:rsidR="00862518" w:rsidRDefault="00586D2A">
      <w:pPr>
        <w:pStyle w:val="TM1"/>
        <w:tabs>
          <w:tab w:val="right" w:leader="dot" w:pos="9350"/>
        </w:tabs>
        <w:rPr>
          <w:noProof/>
        </w:rPr>
      </w:pPr>
      <w:hyperlink w:anchor="_Toc101654131" w:history="1">
        <w:r w:rsidR="00862518" w:rsidRPr="00A50AE8">
          <w:rPr>
            <w:rStyle w:val="Lienhypertexte"/>
            <w:noProof/>
          </w:rPr>
          <w:t>Guide de codage des données subjectives</w:t>
        </w:r>
        <w:r w:rsidR="00862518">
          <w:rPr>
            <w:noProof/>
            <w:webHidden/>
          </w:rPr>
          <w:tab/>
        </w:r>
        <w:r w:rsidR="00862518">
          <w:rPr>
            <w:noProof/>
            <w:webHidden/>
          </w:rPr>
          <w:fldChar w:fldCharType="begin"/>
        </w:r>
        <w:r w:rsidR="00862518">
          <w:rPr>
            <w:noProof/>
            <w:webHidden/>
          </w:rPr>
          <w:instrText xml:space="preserve"> PAGEREF _Toc101654131 \h </w:instrText>
        </w:r>
        <w:r w:rsidR="00862518">
          <w:rPr>
            <w:noProof/>
            <w:webHidden/>
          </w:rPr>
        </w:r>
        <w:r w:rsidR="00862518">
          <w:rPr>
            <w:noProof/>
            <w:webHidden/>
          </w:rPr>
          <w:fldChar w:fldCharType="separate"/>
        </w:r>
        <w:r w:rsidR="00862518">
          <w:rPr>
            <w:noProof/>
            <w:webHidden/>
          </w:rPr>
          <w:t>25</w:t>
        </w:r>
        <w:r w:rsidR="00862518">
          <w:rPr>
            <w:noProof/>
            <w:webHidden/>
          </w:rPr>
          <w:fldChar w:fldCharType="end"/>
        </w:r>
      </w:hyperlink>
    </w:p>
    <w:p w14:paraId="63F6F5A3" w14:textId="1234E825" w:rsidR="00862518" w:rsidRDefault="00586D2A">
      <w:pPr>
        <w:pStyle w:val="TM2"/>
        <w:tabs>
          <w:tab w:val="right" w:leader="dot" w:pos="9350"/>
        </w:tabs>
        <w:rPr>
          <w:noProof/>
        </w:rPr>
      </w:pPr>
      <w:hyperlink w:anchor="_Toc101654132" w:history="1">
        <w:r w:rsidR="00862518" w:rsidRPr="00A50AE8">
          <w:rPr>
            <w:rStyle w:val="Lienhypertexte"/>
            <w:noProof/>
          </w:rPr>
          <w:t>Aspects sociaux</w:t>
        </w:r>
        <w:r w:rsidR="00862518">
          <w:rPr>
            <w:noProof/>
            <w:webHidden/>
          </w:rPr>
          <w:tab/>
        </w:r>
        <w:r w:rsidR="00862518">
          <w:rPr>
            <w:noProof/>
            <w:webHidden/>
          </w:rPr>
          <w:fldChar w:fldCharType="begin"/>
        </w:r>
        <w:r w:rsidR="00862518">
          <w:rPr>
            <w:noProof/>
            <w:webHidden/>
          </w:rPr>
          <w:instrText xml:space="preserve"> PAGEREF _Toc101654132 \h </w:instrText>
        </w:r>
        <w:r w:rsidR="00862518">
          <w:rPr>
            <w:noProof/>
            <w:webHidden/>
          </w:rPr>
        </w:r>
        <w:r w:rsidR="00862518">
          <w:rPr>
            <w:noProof/>
            <w:webHidden/>
          </w:rPr>
          <w:fldChar w:fldCharType="separate"/>
        </w:r>
        <w:r w:rsidR="00862518">
          <w:rPr>
            <w:noProof/>
            <w:webHidden/>
          </w:rPr>
          <w:t>25</w:t>
        </w:r>
        <w:r w:rsidR="00862518">
          <w:rPr>
            <w:noProof/>
            <w:webHidden/>
          </w:rPr>
          <w:fldChar w:fldCharType="end"/>
        </w:r>
      </w:hyperlink>
    </w:p>
    <w:p w14:paraId="143A5DC9" w14:textId="1C4D7B34" w:rsidR="00862518" w:rsidRDefault="00586D2A">
      <w:pPr>
        <w:pStyle w:val="TM3"/>
        <w:tabs>
          <w:tab w:val="right" w:leader="dot" w:pos="9350"/>
        </w:tabs>
        <w:rPr>
          <w:noProof/>
        </w:rPr>
      </w:pPr>
      <w:hyperlink w:anchor="_Toc101654133" w:history="1">
        <w:r w:rsidR="00862518" w:rsidRPr="00A50AE8">
          <w:rPr>
            <w:rStyle w:val="Lienhypertexte"/>
            <w:noProof/>
          </w:rPr>
          <w:t>Famille</w:t>
        </w:r>
        <w:r w:rsidR="00862518">
          <w:rPr>
            <w:noProof/>
            <w:webHidden/>
          </w:rPr>
          <w:tab/>
        </w:r>
        <w:r w:rsidR="00862518">
          <w:rPr>
            <w:noProof/>
            <w:webHidden/>
          </w:rPr>
          <w:fldChar w:fldCharType="begin"/>
        </w:r>
        <w:r w:rsidR="00862518">
          <w:rPr>
            <w:noProof/>
            <w:webHidden/>
          </w:rPr>
          <w:instrText xml:space="preserve"> PAGEREF _Toc101654133 \h </w:instrText>
        </w:r>
        <w:r w:rsidR="00862518">
          <w:rPr>
            <w:noProof/>
            <w:webHidden/>
          </w:rPr>
        </w:r>
        <w:r w:rsidR="00862518">
          <w:rPr>
            <w:noProof/>
            <w:webHidden/>
          </w:rPr>
          <w:fldChar w:fldCharType="separate"/>
        </w:r>
        <w:r w:rsidR="00862518">
          <w:rPr>
            <w:noProof/>
            <w:webHidden/>
          </w:rPr>
          <w:t>25</w:t>
        </w:r>
        <w:r w:rsidR="00862518">
          <w:rPr>
            <w:noProof/>
            <w:webHidden/>
          </w:rPr>
          <w:fldChar w:fldCharType="end"/>
        </w:r>
      </w:hyperlink>
    </w:p>
    <w:p w14:paraId="1E2CAD41" w14:textId="23FC060C" w:rsidR="00862518" w:rsidRDefault="00586D2A">
      <w:pPr>
        <w:pStyle w:val="TM3"/>
        <w:tabs>
          <w:tab w:val="right" w:leader="dot" w:pos="9350"/>
        </w:tabs>
        <w:rPr>
          <w:noProof/>
        </w:rPr>
      </w:pPr>
      <w:hyperlink w:anchor="_Toc101654134" w:history="1">
        <w:r w:rsidR="00862518" w:rsidRPr="00A50AE8">
          <w:rPr>
            <w:rStyle w:val="Lienhypertexte"/>
            <w:noProof/>
          </w:rPr>
          <w:t>Amis</w:t>
        </w:r>
        <w:r w:rsidR="00862518">
          <w:rPr>
            <w:noProof/>
            <w:webHidden/>
          </w:rPr>
          <w:tab/>
        </w:r>
        <w:r w:rsidR="00862518">
          <w:rPr>
            <w:noProof/>
            <w:webHidden/>
          </w:rPr>
          <w:fldChar w:fldCharType="begin"/>
        </w:r>
        <w:r w:rsidR="00862518">
          <w:rPr>
            <w:noProof/>
            <w:webHidden/>
          </w:rPr>
          <w:instrText xml:space="preserve"> PAGEREF _Toc101654134 \h </w:instrText>
        </w:r>
        <w:r w:rsidR="00862518">
          <w:rPr>
            <w:noProof/>
            <w:webHidden/>
          </w:rPr>
        </w:r>
        <w:r w:rsidR="00862518">
          <w:rPr>
            <w:noProof/>
            <w:webHidden/>
          </w:rPr>
          <w:fldChar w:fldCharType="separate"/>
        </w:r>
        <w:r w:rsidR="00862518">
          <w:rPr>
            <w:noProof/>
            <w:webHidden/>
          </w:rPr>
          <w:t>25</w:t>
        </w:r>
        <w:r w:rsidR="00862518">
          <w:rPr>
            <w:noProof/>
            <w:webHidden/>
          </w:rPr>
          <w:fldChar w:fldCharType="end"/>
        </w:r>
      </w:hyperlink>
    </w:p>
    <w:p w14:paraId="32FF6A29" w14:textId="31DD3CF8" w:rsidR="00862518" w:rsidRDefault="00586D2A">
      <w:pPr>
        <w:pStyle w:val="TM2"/>
        <w:tabs>
          <w:tab w:val="right" w:leader="dot" w:pos="9350"/>
        </w:tabs>
        <w:rPr>
          <w:noProof/>
        </w:rPr>
      </w:pPr>
      <w:hyperlink w:anchor="_Toc101654135" w:history="1">
        <w:r w:rsidR="00862518" w:rsidRPr="00A50AE8">
          <w:rPr>
            <w:rStyle w:val="Lienhypertexte"/>
            <w:noProof/>
          </w:rPr>
          <w:t>Aspects hormonaux</w:t>
        </w:r>
        <w:r w:rsidR="00862518">
          <w:rPr>
            <w:noProof/>
            <w:webHidden/>
          </w:rPr>
          <w:tab/>
        </w:r>
        <w:r w:rsidR="00862518">
          <w:rPr>
            <w:noProof/>
            <w:webHidden/>
          </w:rPr>
          <w:fldChar w:fldCharType="begin"/>
        </w:r>
        <w:r w:rsidR="00862518">
          <w:rPr>
            <w:noProof/>
            <w:webHidden/>
          </w:rPr>
          <w:instrText xml:space="preserve"> PAGEREF _Toc101654135 \h </w:instrText>
        </w:r>
        <w:r w:rsidR="00862518">
          <w:rPr>
            <w:noProof/>
            <w:webHidden/>
          </w:rPr>
        </w:r>
        <w:r w:rsidR="00862518">
          <w:rPr>
            <w:noProof/>
            <w:webHidden/>
          </w:rPr>
          <w:fldChar w:fldCharType="separate"/>
        </w:r>
        <w:r w:rsidR="00862518">
          <w:rPr>
            <w:noProof/>
            <w:webHidden/>
          </w:rPr>
          <w:t>26</w:t>
        </w:r>
        <w:r w:rsidR="00862518">
          <w:rPr>
            <w:noProof/>
            <w:webHidden/>
          </w:rPr>
          <w:fldChar w:fldCharType="end"/>
        </w:r>
      </w:hyperlink>
    </w:p>
    <w:p w14:paraId="0B986EAE" w14:textId="2EEBF858" w:rsidR="00862518" w:rsidRDefault="00586D2A">
      <w:pPr>
        <w:pStyle w:val="TM3"/>
        <w:tabs>
          <w:tab w:val="right" w:leader="dot" w:pos="9350"/>
        </w:tabs>
        <w:rPr>
          <w:noProof/>
        </w:rPr>
      </w:pPr>
      <w:hyperlink w:anchor="_Toc101654136" w:history="1">
        <w:r w:rsidR="00862518" w:rsidRPr="00A50AE8">
          <w:rPr>
            <w:rStyle w:val="Lienhypertexte"/>
            <w:noProof/>
          </w:rPr>
          <w:t>Effets les plus attendus</w:t>
        </w:r>
        <w:r w:rsidR="00862518">
          <w:rPr>
            <w:noProof/>
            <w:webHidden/>
          </w:rPr>
          <w:tab/>
        </w:r>
        <w:r w:rsidR="00862518">
          <w:rPr>
            <w:noProof/>
            <w:webHidden/>
          </w:rPr>
          <w:fldChar w:fldCharType="begin"/>
        </w:r>
        <w:r w:rsidR="00862518">
          <w:rPr>
            <w:noProof/>
            <w:webHidden/>
          </w:rPr>
          <w:instrText xml:space="preserve"> PAGEREF _Toc101654136 \h </w:instrText>
        </w:r>
        <w:r w:rsidR="00862518">
          <w:rPr>
            <w:noProof/>
            <w:webHidden/>
          </w:rPr>
        </w:r>
        <w:r w:rsidR="00862518">
          <w:rPr>
            <w:noProof/>
            <w:webHidden/>
          </w:rPr>
          <w:fldChar w:fldCharType="separate"/>
        </w:r>
        <w:r w:rsidR="00862518">
          <w:rPr>
            <w:noProof/>
            <w:webHidden/>
          </w:rPr>
          <w:t>26</w:t>
        </w:r>
        <w:r w:rsidR="00862518">
          <w:rPr>
            <w:noProof/>
            <w:webHidden/>
          </w:rPr>
          <w:fldChar w:fldCharType="end"/>
        </w:r>
      </w:hyperlink>
    </w:p>
    <w:p w14:paraId="71DABD22" w14:textId="28DC9A3A" w:rsidR="00862518" w:rsidRDefault="00586D2A">
      <w:pPr>
        <w:pStyle w:val="TM3"/>
        <w:tabs>
          <w:tab w:val="right" w:leader="dot" w:pos="9350"/>
        </w:tabs>
        <w:rPr>
          <w:noProof/>
        </w:rPr>
      </w:pPr>
      <w:hyperlink w:anchor="_Toc101654137" w:history="1">
        <w:r w:rsidR="00862518" w:rsidRPr="00A50AE8">
          <w:rPr>
            <w:rStyle w:val="Lienhypertexte"/>
            <w:noProof/>
          </w:rPr>
          <w:t>Inquiétudes vis-à-vis du traitement</w:t>
        </w:r>
        <w:r w:rsidR="00862518">
          <w:rPr>
            <w:noProof/>
            <w:webHidden/>
          </w:rPr>
          <w:tab/>
        </w:r>
        <w:r w:rsidR="00862518">
          <w:rPr>
            <w:noProof/>
            <w:webHidden/>
          </w:rPr>
          <w:fldChar w:fldCharType="begin"/>
        </w:r>
        <w:r w:rsidR="00862518">
          <w:rPr>
            <w:noProof/>
            <w:webHidden/>
          </w:rPr>
          <w:instrText xml:space="preserve"> PAGEREF _Toc101654137 \h </w:instrText>
        </w:r>
        <w:r w:rsidR="00862518">
          <w:rPr>
            <w:noProof/>
            <w:webHidden/>
          </w:rPr>
        </w:r>
        <w:r w:rsidR="00862518">
          <w:rPr>
            <w:noProof/>
            <w:webHidden/>
          </w:rPr>
          <w:fldChar w:fldCharType="separate"/>
        </w:r>
        <w:r w:rsidR="00862518">
          <w:rPr>
            <w:noProof/>
            <w:webHidden/>
          </w:rPr>
          <w:t>26</w:t>
        </w:r>
        <w:r w:rsidR="00862518">
          <w:rPr>
            <w:noProof/>
            <w:webHidden/>
          </w:rPr>
          <w:fldChar w:fldCharType="end"/>
        </w:r>
      </w:hyperlink>
    </w:p>
    <w:p w14:paraId="6F96BCD5" w14:textId="488564A8" w:rsidR="00862518" w:rsidRDefault="00586D2A">
      <w:pPr>
        <w:pStyle w:val="TM3"/>
        <w:tabs>
          <w:tab w:val="right" w:leader="dot" w:pos="9350"/>
        </w:tabs>
        <w:rPr>
          <w:noProof/>
        </w:rPr>
      </w:pPr>
      <w:hyperlink w:anchor="_Toc101654138" w:history="1">
        <w:r w:rsidR="00862518" w:rsidRPr="00A50AE8">
          <w:rPr>
            <w:rStyle w:val="Lienhypertexte"/>
            <w:noProof/>
          </w:rPr>
          <w:t>Cryopréservation des gamètes</w:t>
        </w:r>
        <w:r w:rsidR="00862518">
          <w:rPr>
            <w:noProof/>
            <w:webHidden/>
          </w:rPr>
          <w:tab/>
        </w:r>
        <w:r w:rsidR="00862518">
          <w:rPr>
            <w:noProof/>
            <w:webHidden/>
          </w:rPr>
          <w:fldChar w:fldCharType="begin"/>
        </w:r>
        <w:r w:rsidR="00862518">
          <w:rPr>
            <w:noProof/>
            <w:webHidden/>
          </w:rPr>
          <w:instrText xml:space="preserve"> PAGEREF _Toc101654138 \h </w:instrText>
        </w:r>
        <w:r w:rsidR="00862518">
          <w:rPr>
            <w:noProof/>
            <w:webHidden/>
          </w:rPr>
        </w:r>
        <w:r w:rsidR="00862518">
          <w:rPr>
            <w:noProof/>
            <w:webHidden/>
          </w:rPr>
          <w:fldChar w:fldCharType="separate"/>
        </w:r>
        <w:r w:rsidR="00862518">
          <w:rPr>
            <w:noProof/>
            <w:webHidden/>
          </w:rPr>
          <w:t>26</w:t>
        </w:r>
        <w:r w:rsidR="00862518">
          <w:rPr>
            <w:noProof/>
            <w:webHidden/>
          </w:rPr>
          <w:fldChar w:fldCharType="end"/>
        </w:r>
      </w:hyperlink>
    </w:p>
    <w:p w14:paraId="04D71E69" w14:textId="68B2E67E" w:rsidR="00862518" w:rsidRDefault="00586D2A">
      <w:pPr>
        <w:pStyle w:val="TM2"/>
        <w:tabs>
          <w:tab w:val="right" w:leader="dot" w:pos="9350"/>
        </w:tabs>
        <w:rPr>
          <w:noProof/>
        </w:rPr>
      </w:pPr>
      <w:hyperlink w:anchor="_Toc101654139" w:history="1">
        <w:r w:rsidR="00862518" w:rsidRPr="00A50AE8">
          <w:rPr>
            <w:rStyle w:val="Lienhypertexte"/>
            <w:noProof/>
          </w:rPr>
          <w:t>Aspects chirurgicaux</w:t>
        </w:r>
        <w:r w:rsidR="00862518">
          <w:rPr>
            <w:noProof/>
            <w:webHidden/>
          </w:rPr>
          <w:tab/>
        </w:r>
        <w:r w:rsidR="00862518">
          <w:rPr>
            <w:noProof/>
            <w:webHidden/>
          </w:rPr>
          <w:fldChar w:fldCharType="begin"/>
        </w:r>
        <w:r w:rsidR="00862518">
          <w:rPr>
            <w:noProof/>
            <w:webHidden/>
          </w:rPr>
          <w:instrText xml:space="preserve"> PAGEREF _Toc101654139 \h </w:instrText>
        </w:r>
        <w:r w:rsidR="00862518">
          <w:rPr>
            <w:noProof/>
            <w:webHidden/>
          </w:rPr>
        </w:r>
        <w:r w:rsidR="00862518">
          <w:rPr>
            <w:noProof/>
            <w:webHidden/>
          </w:rPr>
          <w:fldChar w:fldCharType="separate"/>
        </w:r>
        <w:r w:rsidR="00862518">
          <w:rPr>
            <w:noProof/>
            <w:webHidden/>
          </w:rPr>
          <w:t>26</w:t>
        </w:r>
        <w:r w:rsidR="00862518">
          <w:rPr>
            <w:noProof/>
            <w:webHidden/>
          </w:rPr>
          <w:fldChar w:fldCharType="end"/>
        </w:r>
      </w:hyperlink>
    </w:p>
    <w:p w14:paraId="42801231" w14:textId="4BB64C54" w:rsidR="00C9593D" w:rsidRDefault="0069723F">
      <w:r>
        <w:fldChar w:fldCharType="end"/>
      </w:r>
    </w:p>
    <w:p w14:paraId="42801232" w14:textId="77777777" w:rsidR="00C9593D" w:rsidRDefault="0069723F">
      <w:r>
        <w:br w:type="page"/>
      </w:r>
    </w:p>
    <w:p w14:paraId="42801233" w14:textId="77777777" w:rsidR="00C9593D" w:rsidRDefault="0069723F">
      <w:pPr>
        <w:pStyle w:val="SourceCode"/>
      </w:pPr>
      <w:r>
        <w:rPr>
          <w:rStyle w:val="VerbatimChar"/>
        </w:rPr>
        <w:lastRenderedPageBreak/>
        <w:t>## Liste des tables</w:t>
      </w:r>
    </w:p>
    <w:p w14:paraId="5235BB69" w14:textId="45A88EBC" w:rsidR="00862518" w:rsidRDefault="0069723F">
      <w:pPr>
        <w:pStyle w:val="Tabledesillustrations"/>
        <w:tabs>
          <w:tab w:val="right" w:leader="dot" w:pos="9350"/>
        </w:tabs>
        <w:rPr>
          <w:noProof/>
        </w:rPr>
      </w:pPr>
      <w:r>
        <w:fldChar w:fldCharType="begin"/>
      </w:r>
      <w:r>
        <w:instrText>TOC \h \z \c "tab"</w:instrText>
      </w:r>
      <w:r>
        <w:fldChar w:fldCharType="separate"/>
      </w:r>
      <w:hyperlink w:anchor="_Toc101654140" w:history="1">
        <w:r w:rsidR="00862518" w:rsidRPr="008321F2">
          <w:rPr>
            <w:rStyle w:val="Lienhypertexte"/>
            <w:b/>
            <w:noProof/>
          </w:rPr>
          <w:t>Tableau</w:t>
        </w:r>
        <w:r w:rsidR="00862518" w:rsidRPr="008321F2">
          <w:rPr>
            <w:rStyle w:val="Lienhypertexte"/>
            <w:noProof/>
          </w:rPr>
          <w:t>: Caractéristiques démographiques des participant·e·s</w:t>
        </w:r>
        <w:r w:rsidR="00862518">
          <w:rPr>
            <w:noProof/>
            <w:webHidden/>
          </w:rPr>
          <w:tab/>
        </w:r>
        <w:r w:rsidR="00862518">
          <w:rPr>
            <w:noProof/>
            <w:webHidden/>
          </w:rPr>
          <w:fldChar w:fldCharType="begin"/>
        </w:r>
        <w:r w:rsidR="00862518">
          <w:rPr>
            <w:noProof/>
            <w:webHidden/>
          </w:rPr>
          <w:instrText xml:space="preserve"> PAGEREF _Toc101654140 \h </w:instrText>
        </w:r>
        <w:r w:rsidR="00862518">
          <w:rPr>
            <w:noProof/>
            <w:webHidden/>
          </w:rPr>
        </w:r>
        <w:r w:rsidR="00862518">
          <w:rPr>
            <w:noProof/>
            <w:webHidden/>
          </w:rPr>
          <w:fldChar w:fldCharType="separate"/>
        </w:r>
        <w:r w:rsidR="00862518">
          <w:rPr>
            <w:noProof/>
            <w:webHidden/>
          </w:rPr>
          <w:t>10</w:t>
        </w:r>
        <w:r w:rsidR="00862518">
          <w:rPr>
            <w:noProof/>
            <w:webHidden/>
          </w:rPr>
          <w:fldChar w:fldCharType="end"/>
        </w:r>
      </w:hyperlink>
    </w:p>
    <w:p w14:paraId="726397A3" w14:textId="0AE02147" w:rsidR="00862518" w:rsidRDefault="00586D2A">
      <w:pPr>
        <w:pStyle w:val="Tabledesillustrations"/>
        <w:tabs>
          <w:tab w:val="right" w:leader="dot" w:pos="9350"/>
        </w:tabs>
        <w:rPr>
          <w:noProof/>
        </w:rPr>
      </w:pPr>
      <w:hyperlink w:anchor="_Toc101654141" w:history="1">
        <w:r w:rsidR="00862518" w:rsidRPr="008321F2">
          <w:rPr>
            <w:rStyle w:val="Lienhypertexte"/>
            <w:b/>
            <w:noProof/>
          </w:rPr>
          <w:t>Tableau</w:t>
        </w:r>
        <w:r w:rsidR="00862518" w:rsidRPr="008321F2">
          <w:rPr>
            <w:rStyle w:val="Lienhypertexte"/>
            <w:noProof/>
          </w:rPr>
          <w:t>: Évolution des paramètres des patient·e·s transféminin·e·s, par consultation et par traitement</w:t>
        </w:r>
        <w:r w:rsidR="00862518">
          <w:rPr>
            <w:noProof/>
            <w:webHidden/>
          </w:rPr>
          <w:tab/>
        </w:r>
        <w:r w:rsidR="00862518">
          <w:rPr>
            <w:noProof/>
            <w:webHidden/>
          </w:rPr>
          <w:fldChar w:fldCharType="begin"/>
        </w:r>
        <w:r w:rsidR="00862518">
          <w:rPr>
            <w:noProof/>
            <w:webHidden/>
          </w:rPr>
          <w:instrText xml:space="preserve"> PAGEREF _Toc101654141 \h </w:instrText>
        </w:r>
        <w:r w:rsidR="00862518">
          <w:rPr>
            <w:noProof/>
            <w:webHidden/>
          </w:rPr>
        </w:r>
        <w:r w:rsidR="00862518">
          <w:rPr>
            <w:noProof/>
            <w:webHidden/>
          </w:rPr>
          <w:fldChar w:fldCharType="separate"/>
        </w:r>
        <w:r w:rsidR="00862518">
          <w:rPr>
            <w:noProof/>
            <w:webHidden/>
          </w:rPr>
          <w:t>19</w:t>
        </w:r>
        <w:r w:rsidR="00862518">
          <w:rPr>
            <w:noProof/>
            <w:webHidden/>
          </w:rPr>
          <w:fldChar w:fldCharType="end"/>
        </w:r>
      </w:hyperlink>
    </w:p>
    <w:p w14:paraId="71BD4904" w14:textId="43BC90B2" w:rsidR="00862518" w:rsidRDefault="00586D2A">
      <w:pPr>
        <w:pStyle w:val="Tabledesillustrations"/>
        <w:tabs>
          <w:tab w:val="right" w:leader="dot" w:pos="9350"/>
        </w:tabs>
        <w:rPr>
          <w:noProof/>
        </w:rPr>
      </w:pPr>
      <w:hyperlink w:anchor="_Toc101654142" w:history="1">
        <w:r w:rsidR="00862518" w:rsidRPr="008321F2">
          <w:rPr>
            <w:rStyle w:val="Lienhypertexte"/>
            <w:b/>
            <w:noProof/>
          </w:rPr>
          <w:t>Tableau</w:t>
        </w:r>
        <w:r w:rsidR="00862518" w:rsidRPr="008321F2">
          <w:rPr>
            <w:rStyle w:val="Lienhypertexte"/>
            <w:noProof/>
          </w:rPr>
          <w:t>: Évolution des paramètres des patient·e·s transmasculin·e·s, par consultation</w:t>
        </w:r>
        <w:r w:rsidR="00862518">
          <w:rPr>
            <w:noProof/>
            <w:webHidden/>
          </w:rPr>
          <w:tab/>
        </w:r>
        <w:r w:rsidR="00862518">
          <w:rPr>
            <w:noProof/>
            <w:webHidden/>
          </w:rPr>
          <w:fldChar w:fldCharType="begin"/>
        </w:r>
        <w:r w:rsidR="00862518">
          <w:rPr>
            <w:noProof/>
            <w:webHidden/>
          </w:rPr>
          <w:instrText xml:space="preserve"> PAGEREF _Toc101654142 \h </w:instrText>
        </w:r>
        <w:r w:rsidR="00862518">
          <w:rPr>
            <w:noProof/>
            <w:webHidden/>
          </w:rPr>
        </w:r>
        <w:r w:rsidR="00862518">
          <w:rPr>
            <w:noProof/>
            <w:webHidden/>
          </w:rPr>
          <w:fldChar w:fldCharType="separate"/>
        </w:r>
        <w:r w:rsidR="00862518">
          <w:rPr>
            <w:noProof/>
            <w:webHidden/>
          </w:rPr>
          <w:t>21</w:t>
        </w:r>
        <w:r w:rsidR="00862518">
          <w:rPr>
            <w:noProof/>
            <w:webHidden/>
          </w:rPr>
          <w:fldChar w:fldCharType="end"/>
        </w:r>
      </w:hyperlink>
    </w:p>
    <w:p w14:paraId="42801234" w14:textId="05A70196" w:rsidR="00C9593D" w:rsidRDefault="0069723F">
      <w:r>
        <w:fldChar w:fldCharType="end"/>
      </w:r>
    </w:p>
    <w:p w14:paraId="42801235" w14:textId="77777777" w:rsidR="00C9593D" w:rsidRDefault="0069723F">
      <w:pPr>
        <w:pStyle w:val="SourceCode"/>
      </w:pPr>
      <w:r>
        <w:rPr>
          <w:rStyle w:val="VerbatimChar"/>
        </w:rPr>
        <w:t>## Liste des figures</w:t>
      </w:r>
    </w:p>
    <w:p w14:paraId="619E1DDA" w14:textId="18FF1E64" w:rsidR="00862518" w:rsidRDefault="0069723F">
      <w:pPr>
        <w:pStyle w:val="Tabledesillustrations"/>
        <w:tabs>
          <w:tab w:val="right" w:leader="dot" w:pos="9350"/>
        </w:tabs>
        <w:rPr>
          <w:rFonts w:asciiTheme="minorHAnsi" w:eastAsiaTheme="minorEastAsia" w:hAnsiTheme="minorHAnsi"/>
          <w:noProof/>
          <w:sz w:val="22"/>
          <w:szCs w:val="22"/>
          <w:lang w:val="fr-BE" w:eastAsia="fr-BE"/>
        </w:rPr>
      </w:pPr>
      <w:r>
        <w:fldChar w:fldCharType="begin"/>
      </w:r>
      <w:r>
        <w:instrText>TOC \h \z \c "fig"</w:instrText>
      </w:r>
      <w:r>
        <w:fldChar w:fldCharType="separate"/>
      </w:r>
      <w:hyperlink w:anchor="_Toc101654143" w:history="1">
        <w:r w:rsidR="00862518" w:rsidRPr="004D5B55">
          <w:rPr>
            <w:rStyle w:val="Lienhypertexte"/>
            <w:b/>
            <w:noProof/>
          </w:rPr>
          <w:t xml:space="preserve">Figure </w:t>
        </w:r>
        <w:r w:rsidR="00862518" w:rsidRPr="004D5B55">
          <w:rPr>
            <w:rStyle w:val="Lienhypertexte"/>
            <w:noProof/>
          </w:rPr>
          <w:t>: Diagramme de flux présentant la sélection des patient·e·s pour le TFE</w:t>
        </w:r>
        <w:r w:rsidR="00862518">
          <w:rPr>
            <w:noProof/>
            <w:webHidden/>
          </w:rPr>
          <w:tab/>
        </w:r>
        <w:r w:rsidR="00862518">
          <w:rPr>
            <w:noProof/>
            <w:webHidden/>
          </w:rPr>
          <w:fldChar w:fldCharType="begin"/>
        </w:r>
        <w:r w:rsidR="00862518">
          <w:rPr>
            <w:noProof/>
            <w:webHidden/>
          </w:rPr>
          <w:instrText xml:space="preserve"> PAGEREF _Toc101654143 \h </w:instrText>
        </w:r>
        <w:r w:rsidR="00862518">
          <w:rPr>
            <w:noProof/>
            <w:webHidden/>
          </w:rPr>
        </w:r>
        <w:r w:rsidR="00862518">
          <w:rPr>
            <w:noProof/>
            <w:webHidden/>
          </w:rPr>
          <w:fldChar w:fldCharType="separate"/>
        </w:r>
        <w:r w:rsidR="00862518">
          <w:rPr>
            <w:noProof/>
            <w:webHidden/>
          </w:rPr>
          <w:t>9</w:t>
        </w:r>
        <w:r w:rsidR="00862518">
          <w:rPr>
            <w:noProof/>
            <w:webHidden/>
          </w:rPr>
          <w:fldChar w:fldCharType="end"/>
        </w:r>
      </w:hyperlink>
    </w:p>
    <w:p w14:paraId="09EC30A8" w14:textId="5A71C3B2"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4" w:history="1">
        <w:r w:rsidR="00862518" w:rsidRPr="004D5B55">
          <w:rPr>
            <w:rStyle w:val="Lienhypertexte"/>
            <w:b/>
            <w:noProof/>
          </w:rPr>
          <w:t xml:space="preserve">Figure </w:t>
        </w:r>
        <w:r w:rsidR="00862518" w:rsidRPr="004D5B55">
          <w:rPr>
            <w:rStyle w:val="Lienhypertexte"/>
            <w:noProof/>
          </w:rPr>
          <w:t>: Nombre de patient·e·s par consultation trimestrielle et par genres</w:t>
        </w:r>
        <w:r w:rsidR="00862518">
          <w:rPr>
            <w:noProof/>
            <w:webHidden/>
          </w:rPr>
          <w:tab/>
        </w:r>
        <w:r w:rsidR="00862518">
          <w:rPr>
            <w:noProof/>
            <w:webHidden/>
          </w:rPr>
          <w:fldChar w:fldCharType="begin"/>
        </w:r>
        <w:r w:rsidR="00862518">
          <w:rPr>
            <w:noProof/>
            <w:webHidden/>
          </w:rPr>
          <w:instrText xml:space="preserve"> PAGEREF _Toc101654144 \h </w:instrText>
        </w:r>
        <w:r w:rsidR="00862518">
          <w:rPr>
            <w:noProof/>
            <w:webHidden/>
          </w:rPr>
        </w:r>
        <w:r w:rsidR="00862518">
          <w:rPr>
            <w:noProof/>
            <w:webHidden/>
          </w:rPr>
          <w:fldChar w:fldCharType="separate"/>
        </w:r>
        <w:r w:rsidR="00862518">
          <w:rPr>
            <w:noProof/>
            <w:webHidden/>
          </w:rPr>
          <w:t>11</w:t>
        </w:r>
        <w:r w:rsidR="00862518">
          <w:rPr>
            <w:noProof/>
            <w:webHidden/>
          </w:rPr>
          <w:fldChar w:fldCharType="end"/>
        </w:r>
      </w:hyperlink>
    </w:p>
    <w:p w14:paraId="45134531" w14:textId="398F0628"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5" w:history="1">
        <w:r w:rsidR="00862518" w:rsidRPr="004D5B55">
          <w:rPr>
            <w:rStyle w:val="Lienhypertexte"/>
            <w:b/>
            <w:noProof/>
          </w:rPr>
          <w:t xml:space="preserve">Figure </w:t>
        </w:r>
        <w:r w:rsidR="00862518" w:rsidRPr="004D5B55">
          <w:rPr>
            <w:rStyle w:val="Lienhypertexte"/>
            <w:noProof/>
          </w:rPr>
          <w:t>: Membres de la famille auxquel·le·s les participant·e·s ont annoncé leur transidentité, par genres</w:t>
        </w:r>
        <w:r w:rsidR="00862518">
          <w:rPr>
            <w:noProof/>
            <w:webHidden/>
          </w:rPr>
          <w:tab/>
        </w:r>
        <w:r w:rsidR="00862518">
          <w:rPr>
            <w:noProof/>
            <w:webHidden/>
          </w:rPr>
          <w:fldChar w:fldCharType="begin"/>
        </w:r>
        <w:r w:rsidR="00862518">
          <w:rPr>
            <w:noProof/>
            <w:webHidden/>
          </w:rPr>
          <w:instrText xml:space="preserve"> PAGEREF _Toc101654145 \h </w:instrText>
        </w:r>
        <w:r w:rsidR="00862518">
          <w:rPr>
            <w:noProof/>
            <w:webHidden/>
          </w:rPr>
        </w:r>
        <w:r w:rsidR="00862518">
          <w:rPr>
            <w:noProof/>
            <w:webHidden/>
          </w:rPr>
          <w:fldChar w:fldCharType="separate"/>
        </w:r>
        <w:r w:rsidR="00862518">
          <w:rPr>
            <w:noProof/>
            <w:webHidden/>
          </w:rPr>
          <w:t>12</w:t>
        </w:r>
        <w:r w:rsidR="00862518">
          <w:rPr>
            <w:noProof/>
            <w:webHidden/>
          </w:rPr>
          <w:fldChar w:fldCharType="end"/>
        </w:r>
      </w:hyperlink>
    </w:p>
    <w:p w14:paraId="0F52506E" w14:textId="0DD88144"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6" w:history="1">
        <w:r w:rsidR="00862518" w:rsidRPr="004D5B55">
          <w:rPr>
            <w:rStyle w:val="Lienhypertexte"/>
            <w:b/>
            <w:noProof/>
          </w:rPr>
          <w:t xml:space="preserve">Figure </w:t>
        </w:r>
        <w:r w:rsidR="00862518" w:rsidRPr="004D5B55">
          <w:rPr>
            <w:rStyle w:val="Lienhypertexte"/>
            <w:noProof/>
          </w:rPr>
          <w:t>: Ami·e·s auxquel·le·s les participant·e·s ont annoncé leur transidentité, par genres</w:t>
        </w:r>
        <w:r w:rsidR="00862518">
          <w:rPr>
            <w:noProof/>
            <w:webHidden/>
          </w:rPr>
          <w:tab/>
        </w:r>
        <w:r w:rsidR="00862518">
          <w:rPr>
            <w:noProof/>
            <w:webHidden/>
          </w:rPr>
          <w:fldChar w:fldCharType="begin"/>
        </w:r>
        <w:r w:rsidR="00862518">
          <w:rPr>
            <w:noProof/>
            <w:webHidden/>
          </w:rPr>
          <w:instrText xml:space="preserve"> PAGEREF _Toc101654146 \h </w:instrText>
        </w:r>
        <w:r w:rsidR="00862518">
          <w:rPr>
            <w:noProof/>
            <w:webHidden/>
          </w:rPr>
        </w:r>
        <w:r w:rsidR="00862518">
          <w:rPr>
            <w:noProof/>
            <w:webHidden/>
          </w:rPr>
          <w:fldChar w:fldCharType="separate"/>
        </w:r>
        <w:r w:rsidR="00862518">
          <w:rPr>
            <w:noProof/>
            <w:webHidden/>
          </w:rPr>
          <w:t>13</w:t>
        </w:r>
        <w:r w:rsidR="00862518">
          <w:rPr>
            <w:noProof/>
            <w:webHidden/>
          </w:rPr>
          <w:fldChar w:fldCharType="end"/>
        </w:r>
      </w:hyperlink>
    </w:p>
    <w:p w14:paraId="63E44774" w14:textId="5E71B0DF"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7" w:history="1">
        <w:r w:rsidR="00862518" w:rsidRPr="004D5B55">
          <w:rPr>
            <w:rStyle w:val="Lienhypertexte"/>
            <w:b/>
            <w:noProof/>
          </w:rPr>
          <w:t xml:space="preserve">Figure </w:t>
        </w:r>
        <w:r w:rsidR="00862518" w:rsidRPr="004D5B55">
          <w:rPr>
            <w:rStyle w:val="Lienhypertexte"/>
            <w:noProof/>
          </w:rPr>
          <w:t>: Évolution du choix d’antiandrogène au fil des consultations</w:t>
        </w:r>
        <w:r w:rsidR="00862518">
          <w:rPr>
            <w:noProof/>
            <w:webHidden/>
          </w:rPr>
          <w:tab/>
        </w:r>
        <w:r w:rsidR="00862518">
          <w:rPr>
            <w:noProof/>
            <w:webHidden/>
          </w:rPr>
          <w:fldChar w:fldCharType="begin"/>
        </w:r>
        <w:r w:rsidR="00862518">
          <w:rPr>
            <w:noProof/>
            <w:webHidden/>
          </w:rPr>
          <w:instrText xml:space="preserve"> PAGEREF _Toc101654147 \h </w:instrText>
        </w:r>
        <w:r w:rsidR="00862518">
          <w:rPr>
            <w:noProof/>
            <w:webHidden/>
          </w:rPr>
        </w:r>
        <w:r w:rsidR="00862518">
          <w:rPr>
            <w:noProof/>
            <w:webHidden/>
          </w:rPr>
          <w:fldChar w:fldCharType="separate"/>
        </w:r>
        <w:r w:rsidR="00862518">
          <w:rPr>
            <w:noProof/>
            <w:webHidden/>
          </w:rPr>
          <w:t>16</w:t>
        </w:r>
        <w:r w:rsidR="00862518">
          <w:rPr>
            <w:noProof/>
            <w:webHidden/>
          </w:rPr>
          <w:fldChar w:fldCharType="end"/>
        </w:r>
      </w:hyperlink>
    </w:p>
    <w:p w14:paraId="47960F85" w14:textId="15232AED"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8" w:history="1">
        <w:r w:rsidR="00862518" w:rsidRPr="004D5B55">
          <w:rPr>
            <w:rStyle w:val="Lienhypertexte"/>
            <w:b/>
            <w:noProof/>
          </w:rPr>
          <w:t xml:space="preserve">Figure </w:t>
        </w:r>
        <w:r w:rsidR="00862518" w:rsidRPr="004D5B55">
          <w:rPr>
            <w:rStyle w:val="Lienhypertexte"/>
            <w:noProof/>
          </w:rPr>
          <w:t>: Évolution de l’axe hypothalamo-hypophyso-gonadique chez les patient·e·s transféminin·e·s</w:t>
        </w:r>
        <w:r w:rsidR="00862518">
          <w:rPr>
            <w:noProof/>
            <w:webHidden/>
          </w:rPr>
          <w:tab/>
        </w:r>
        <w:r w:rsidR="00862518">
          <w:rPr>
            <w:noProof/>
            <w:webHidden/>
          </w:rPr>
          <w:fldChar w:fldCharType="begin"/>
        </w:r>
        <w:r w:rsidR="00862518">
          <w:rPr>
            <w:noProof/>
            <w:webHidden/>
          </w:rPr>
          <w:instrText xml:space="preserve"> PAGEREF _Toc101654148 \h </w:instrText>
        </w:r>
        <w:r w:rsidR="00862518">
          <w:rPr>
            <w:noProof/>
            <w:webHidden/>
          </w:rPr>
        </w:r>
        <w:r w:rsidR="00862518">
          <w:rPr>
            <w:noProof/>
            <w:webHidden/>
          </w:rPr>
          <w:fldChar w:fldCharType="separate"/>
        </w:r>
        <w:r w:rsidR="00862518">
          <w:rPr>
            <w:noProof/>
            <w:webHidden/>
          </w:rPr>
          <w:t>18</w:t>
        </w:r>
        <w:r w:rsidR="00862518">
          <w:rPr>
            <w:noProof/>
            <w:webHidden/>
          </w:rPr>
          <w:fldChar w:fldCharType="end"/>
        </w:r>
      </w:hyperlink>
    </w:p>
    <w:p w14:paraId="62DE4E1C" w14:textId="0AF72139" w:rsidR="00862518" w:rsidRDefault="00586D2A">
      <w:pPr>
        <w:pStyle w:val="Tabledesillustrations"/>
        <w:tabs>
          <w:tab w:val="right" w:leader="dot" w:pos="9350"/>
        </w:tabs>
        <w:rPr>
          <w:rFonts w:asciiTheme="minorHAnsi" w:eastAsiaTheme="minorEastAsia" w:hAnsiTheme="minorHAnsi"/>
          <w:noProof/>
          <w:sz w:val="22"/>
          <w:szCs w:val="22"/>
          <w:lang w:val="fr-BE" w:eastAsia="fr-BE"/>
        </w:rPr>
      </w:pPr>
      <w:hyperlink w:anchor="_Toc101654149" w:history="1">
        <w:r w:rsidR="00862518" w:rsidRPr="004D5B55">
          <w:rPr>
            <w:rStyle w:val="Lienhypertexte"/>
            <w:b/>
            <w:noProof/>
          </w:rPr>
          <w:t xml:space="preserve">Figure </w:t>
        </w:r>
        <w:r w:rsidR="00862518" w:rsidRPr="004D5B55">
          <w:rPr>
            <w:rStyle w:val="Lienhypertexte"/>
            <w:noProof/>
          </w:rPr>
          <w:t>: Évolution de l’axe hypothalamo-hypophyso-gonadique chez les patient·e·s transmasculin·e·s</w:t>
        </w:r>
        <w:r w:rsidR="00862518">
          <w:rPr>
            <w:noProof/>
            <w:webHidden/>
          </w:rPr>
          <w:tab/>
        </w:r>
        <w:r w:rsidR="00862518">
          <w:rPr>
            <w:noProof/>
            <w:webHidden/>
          </w:rPr>
          <w:fldChar w:fldCharType="begin"/>
        </w:r>
        <w:r w:rsidR="00862518">
          <w:rPr>
            <w:noProof/>
            <w:webHidden/>
          </w:rPr>
          <w:instrText xml:space="preserve"> PAGEREF _Toc101654149 \h </w:instrText>
        </w:r>
        <w:r w:rsidR="00862518">
          <w:rPr>
            <w:noProof/>
            <w:webHidden/>
          </w:rPr>
        </w:r>
        <w:r w:rsidR="00862518">
          <w:rPr>
            <w:noProof/>
            <w:webHidden/>
          </w:rPr>
          <w:fldChar w:fldCharType="separate"/>
        </w:r>
        <w:r w:rsidR="00862518">
          <w:rPr>
            <w:noProof/>
            <w:webHidden/>
          </w:rPr>
          <w:t>21</w:t>
        </w:r>
        <w:r w:rsidR="00862518">
          <w:rPr>
            <w:noProof/>
            <w:webHidden/>
          </w:rPr>
          <w:fldChar w:fldCharType="end"/>
        </w:r>
      </w:hyperlink>
    </w:p>
    <w:p w14:paraId="42801236" w14:textId="05677E7D" w:rsidR="00C9593D" w:rsidRDefault="0069723F">
      <w:r>
        <w:fldChar w:fldCharType="end"/>
      </w:r>
    </w:p>
    <w:p w14:paraId="42801237" w14:textId="77777777" w:rsidR="00C9593D" w:rsidRDefault="0069723F">
      <w:r>
        <w:br w:type="page"/>
      </w:r>
    </w:p>
    <w:p w14:paraId="42801238" w14:textId="77777777" w:rsidR="00C9593D" w:rsidRPr="00311189" w:rsidRDefault="0069723F">
      <w:pPr>
        <w:pStyle w:val="Titre1"/>
        <w:rPr>
          <w:lang w:val="fr-BE"/>
        </w:rPr>
      </w:pPr>
      <w:bookmarkStart w:id="6" w:name="_Toc101654111"/>
      <w:bookmarkStart w:id="7" w:name="part-texte-principal"/>
      <w:bookmarkEnd w:id="5"/>
      <w:r w:rsidRPr="00311189">
        <w:rPr>
          <w:lang w:val="fr-BE"/>
        </w:rPr>
        <w:lastRenderedPageBreak/>
        <w:t>Texte principal</w:t>
      </w:r>
      <w:bookmarkEnd w:id="6"/>
    </w:p>
    <w:p w14:paraId="42801239" w14:textId="77777777" w:rsidR="00C9593D" w:rsidRPr="00311189" w:rsidRDefault="0069723F">
      <w:pPr>
        <w:pStyle w:val="Titre1"/>
        <w:rPr>
          <w:lang w:val="fr-BE"/>
        </w:rPr>
      </w:pPr>
      <w:bookmarkStart w:id="8" w:name="_Toc101654112"/>
      <w:bookmarkStart w:id="9" w:name="introduction"/>
      <w:bookmarkEnd w:id="7"/>
      <w:r w:rsidRPr="00311189">
        <w:rPr>
          <w:lang w:val="fr-BE"/>
        </w:rPr>
        <w:t>Introduction</w:t>
      </w:r>
      <w:bookmarkEnd w:id="8"/>
    </w:p>
    <w:p w14:paraId="4280123A" w14:textId="77777777" w:rsidR="00C9593D" w:rsidRPr="00311189" w:rsidRDefault="0069723F">
      <w:pPr>
        <w:rPr>
          <w:lang w:val="fr-BE"/>
        </w:rPr>
      </w:pPr>
      <w:r w:rsidRPr="00311189">
        <w:rPr>
          <w:lang w:val="fr-BE"/>
        </w:rPr>
        <w:br w:type="page"/>
      </w:r>
    </w:p>
    <w:p w14:paraId="4280123B" w14:textId="77777777" w:rsidR="00C9593D" w:rsidRPr="00311189" w:rsidRDefault="0069723F">
      <w:pPr>
        <w:pStyle w:val="Titre1"/>
        <w:rPr>
          <w:lang w:val="fr-BE"/>
        </w:rPr>
      </w:pPr>
      <w:bookmarkStart w:id="10" w:name="_Toc101654113"/>
      <w:bookmarkStart w:id="11" w:name="méthodologie"/>
      <w:bookmarkEnd w:id="9"/>
      <w:r w:rsidRPr="00311189">
        <w:rPr>
          <w:lang w:val="fr-BE"/>
        </w:rPr>
        <w:lastRenderedPageBreak/>
        <w:t>Méthodologie</w:t>
      </w:r>
      <w:bookmarkEnd w:id="10"/>
    </w:p>
    <w:p w14:paraId="4280123C" w14:textId="77777777" w:rsidR="00C9593D" w:rsidRPr="00311189" w:rsidRDefault="0069723F">
      <w:pPr>
        <w:rPr>
          <w:lang w:val="fr-BE"/>
        </w:rPr>
      </w:pPr>
      <w:r w:rsidRPr="00311189">
        <w:rPr>
          <w:lang w:val="fr-BE"/>
        </w:rPr>
        <w:br w:type="page"/>
      </w:r>
    </w:p>
    <w:p w14:paraId="4280123D" w14:textId="77777777" w:rsidR="00C9593D" w:rsidRPr="00311189" w:rsidRDefault="0069723F">
      <w:pPr>
        <w:pStyle w:val="Titre1"/>
        <w:rPr>
          <w:lang w:val="fr-BE"/>
        </w:rPr>
      </w:pPr>
      <w:bookmarkStart w:id="12" w:name="_Toc101654114"/>
      <w:bookmarkStart w:id="13" w:name="résultats"/>
      <w:bookmarkEnd w:id="11"/>
      <w:r w:rsidRPr="00311189">
        <w:rPr>
          <w:lang w:val="fr-BE"/>
        </w:rPr>
        <w:lastRenderedPageBreak/>
        <w:t>Résultats</w:t>
      </w:r>
      <w:bookmarkEnd w:id="12"/>
    </w:p>
    <w:p w14:paraId="4280123E" w14:textId="77777777" w:rsidR="00C9593D" w:rsidRPr="00311189" w:rsidRDefault="0069723F">
      <w:pPr>
        <w:pStyle w:val="Titre2"/>
        <w:rPr>
          <w:lang w:val="fr-BE"/>
        </w:rPr>
      </w:pPr>
      <w:bookmarkStart w:id="14" w:name="_Toc101654115"/>
      <w:bookmarkStart w:id="15" w:name="participantes"/>
      <w:r w:rsidRPr="00311189">
        <w:rPr>
          <w:lang w:val="fr-BE"/>
        </w:rPr>
        <w:t>Participant·e·s</w:t>
      </w:r>
      <w:bookmarkEnd w:id="14"/>
    </w:p>
    <w:p w14:paraId="4280123F" w14:textId="77777777" w:rsidR="00C9593D" w:rsidRPr="00311189" w:rsidRDefault="0069723F">
      <w:pPr>
        <w:pStyle w:val="Titre3"/>
        <w:rPr>
          <w:lang w:val="fr-BE"/>
        </w:rPr>
      </w:pPr>
      <w:bookmarkStart w:id="16" w:name="_Toc101654116"/>
      <w:bookmarkStart w:id="17" w:name="éligibilité"/>
      <w:r w:rsidRPr="00311189">
        <w:rPr>
          <w:lang w:val="fr-BE"/>
        </w:rPr>
        <w:t>Éligibilité</w:t>
      </w:r>
      <w:bookmarkEnd w:id="16"/>
    </w:p>
    <w:p w14:paraId="42801240" w14:textId="561E25EA" w:rsidR="00C9593D" w:rsidRPr="00311189" w:rsidRDefault="0069723F">
      <w:pPr>
        <w:pStyle w:val="FirstParagraph"/>
        <w:rPr>
          <w:lang w:val="fr-BE"/>
        </w:rPr>
      </w:pPr>
      <w:r w:rsidRPr="00311189">
        <w:rPr>
          <w:lang w:val="fr-BE"/>
        </w:rPr>
        <w:t xml:space="preserve">Parmi les 71 patient·e·s que j’ai déjà vu·e·s au moins une fois en consultation dans le but d’initier ou de suivre un THAG, 24 avaient déjà un traitement en place, instauré par une autre personne que moi. À noter que 3 patient·e·s avaient commencé leur traitement sans supervision médicale. En outre, 10 patient·e·s n’avaient pas encore entamé leur THAG au moment où s’est achevée l’étape de sélection des participant·e·s. Enfin, 10 patient·e·s avaient entamé un THAG depuis moins de trois mois et n’avaient donc pas encore bénéficié d’une consultation à T1. 26 des 27 patient·e·s éligibles ont répondu positivement pour que leurs données soient utilisées dans le cadre de ce TFE. La figure </w:t>
      </w:r>
      <w:hyperlink w:anchor="flowchart">
        <w:r>
          <w:fldChar w:fldCharType="begin"/>
        </w:r>
        <w:r w:rsidRPr="00311189">
          <w:rPr>
            <w:lang w:val="fr-BE"/>
          </w:rPr>
          <w:instrText xml:space="preserve"> REF flowchart \h</w:instrText>
        </w:r>
        <w:r>
          <w:fldChar w:fldCharType="separate"/>
        </w:r>
        <w:r w:rsidR="00862518" w:rsidRPr="00311189">
          <w:rPr>
            <w:b/>
            <w:noProof/>
            <w:lang w:val="fr-BE"/>
          </w:rPr>
          <w:t>1</w:t>
        </w:r>
        <w:r>
          <w:fldChar w:fldCharType="end"/>
        </w:r>
      </w:hyperlink>
      <w:r w:rsidRPr="00311189">
        <w:rPr>
          <w:lang w:val="fr-BE"/>
        </w:rPr>
        <w:t xml:space="preserve"> donne une représentation graphique de ce processus de sélection.</w:t>
      </w:r>
    </w:p>
    <w:p w14:paraId="42801241" w14:textId="77777777" w:rsidR="00C9593D" w:rsidRDefault="0069723F">
      <w:pPr>
        <w:pStyle w:val="Figure"/>
        <w:jc w:val="center"/>
      </w:pPr>
      <w:r>
        <w:rPr>
          <w:noProof/>
        </w:rPr>
        <w:drawing>
          <wp:inline distT="0" distB="0" distL="0" distR="0" wp14:anchorId="4280143F" wp14:editId="42801440">
            <wp:extent cx="4572000" cy="36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42801242" w14:textId="6D1F722B" w:rsidR="00C9593D" w:rsidRPr="00311189" w:rsidRDefault="0069723F">
      <w:pPr>
        <w:pStyle w:val="Lgende"/>
        <w:rPr>
          <w:lang w:val="fr-BE"/>
        </w:rPr>
      </w:pPr>
      <w:bookmarkStart w:id="18" w:name="_Toc101654143"/>
      <w:r w:rsidRPr="00311189">
        <w:rPr>
          <w:b/>
          <w:lang w:val="fr-BE"/>
        </w:rPr>
        <w:t xml:space="preserve">Figure </w:t>
      </w:r>
      <w:bookmarkStart w:id="19" w:name="flowchart"/>
      <w:r>
        <w:rPr>
          <w:b/>
        </w:rPr>
        <w:fldChar w:fldCharType="begin"/>
      </w:r>
      <w:r w:rsidRPr="00311189">
        <w:rPr>
          <w:b/>
          <w:lang w:val="fr-BE"/>
        </w:rPr>
        <w:instrText>SEQ fig \* Arabic</w:instrText>
      </w:r>
      <w:r>
        <w:rPr>
          <w:b/>
        </w:rPr>
        <w:fldChar w:fldCharType="separate"/>
      </w:r>
      <w:r w:rsidR="00862518" w:rsidRPr="00311189">
        <w:rPr>
          <w:b/>
          <w:noProof/>
          <w:lang w:val="fr-BE"/>
        </w:rPr>
        <w:t>1</w:t>
      </w:r>
      <w:r>
        <w:rPr>
          <w:b/>
        </w:rPr>
        <w:fldChar w:fldCharType="end"/>
      </w:r>
      <w:bookmarkEnd w:id="19"/>
      <w:r w:rsidRPr="00311189">
        <w:rPr>
          <w:lang w:val="fr-BE"/>
        </w:rPr>
        <w:t>: Diagramme de flux présentant la sélection des patient·e·s pour le TFE</w:t>
      </w:r>
      <w:bookmarkEnd w:id="18"/>
    </w:p>
    <w:p w14:paraId="42801243" w14:textId="77777777" w:rsidR="00C9593D" w:rsidRPr="00311189" w:rsidRDefault="0069723F">
      <w:pPr>
        <w:pStyle w:val="Titre3"/>
        <w:rPr>
          <w:lang w:val="fr-BE"/>
        </w:rPr>
      </w:pPr>
      <w:bookmarkStart w:id="20" w:name="_Toc101654117"/>
      <w:bookmarkStart w:id="21" w:name="caractéristiques-démographiques"/>
      <w:bookmarkEnd w:id="17"/>
      <w:r w:rsidRPr="00311189">
        <w:rPr>
          <w:lang w:val="fr-BE"/>
        </w:rPr>
        <w:lastRenderedPageBreak/>
        <w:t>Caractéristiques démographiques</w:t>
      </w:r>
      <w:bookmarkEnd w:id="20"/>
    </w:p>
    <w:p w14:paraId="42801244" w14:textId="55287104" w:rsidR="00C9593D" w:rsidRPr="00311189" w:rsidRDefault="0069723F">
      <w:pPr>
        <w:pStyle w:val="FirstParagraph"/>
        <w:rPr>
          <w:lang w:val="fr-BE"/>
        </w:rPr>
      </w:pPr>
      <w:r w:rsidRPr="00311189">
        <w:rPr>
          <w:lang w:val="fr-BE"/>
        </w:rPr>
        <w:t xml:space="preserve">Les participant·e·s étaient âgé·e·s de 17 à 56 ans (âge médian : 22 ans) et se répartissaient en 12 femmes transgenres, 9 hommes transgenres, 4 personnes non-binaires transmasculines, et 1 personne non-binaire transféminine. 58% des participant·e·s vivaient dans la province de Liège. 11 participant·e·s étaient BIM et 2 n’étaient pas en ordre de mutuelle. 50% des participant·e·s avaient modifié leur prénom et 35% avaient modifié leur marqueur de genre à l’état-civil . Toutes ces caractéristiques démographiques sont résumées dans le tableau </w:t>
      </w:r>
      <w:hyperlink w:anchor="DemogTab">
        <w:r>
          <w:fldChar w:fldCharType="begin"/>
        </w:r>
        <w:r w:rsidRPr="00311189">
          <w:rPr>
            <w:lang w:val="fr-BE"/>
          </w:rPr>
          <w:instrText xml:space="preserve"> REF DemogTab \h</w:instrText>
        </w:r>
        <w:r>
          <w:fldChar w:fldCharType="separate"/>
        </w:r>
        <w:r w:rsidR="00862518" w:rsidRPr="00311189">
          <w:rPr>
            <w:b/>
            <w:noProof/>
            <w:lang w:val="fr-BE"/>
          </w:rPr>
          <w:t>1</w:t>
        </w:r>
        <w:r>
          <w:fldChar w:fldCharType="end"/>
        </w:r>
      </w:hyperlink>
      <w:r w:rsidRPr="00311189">
        <w:rPr>
          <w:lang w:val="fr-BE"/>
        </w:rPr>
        <w:t>.</w:t>
      </w:r>
    </w:p>
    <w:p w14:paraId="42801245" w14:textId="15FB4408" w:rsidR="00C9593D" w:rsidRDefault="0069723F">
      <w:pPr>
        <w:pStyle w:val="Lgende1"/>
      </w:pPr>
      <w:bookmarkStart w:id="22" w:name="_Toc101654140"/>
      <w:r>
        <w:rPr>
          <w:b/>
        </w:rPr>
        <w:t>Tableau</w:t>
      </w:r>
      <w:bookmarkStart w:id="23" w:name="DemogTab"/>
      <w:r>
        <w:rPr>
          <w:b/>
        </w:rPr>
        <w:fldChar w:fldCharType="begin"/>
      </w:r>
      <w:r>
        <w:rPr>
          <w:b/>
        </w:rPr>
        <w:instrText>SEQ tab \* Arabic</w:instrText>
      </w:r>
      <w:r>
        <w:rPr>
          <w:b/>
        </w:rPr>
        <w:fldChar w:fldCharType="separate"/>
      </w:r>
      <w:r w:rsidR="00862518">
        <w:rPr>
          <w:b/>
          <w:noProof/>
        </w:rPr>
        <w:t>1</w:t>
      </w:r>
      <w:r>
        <w:rPr>
          <w:b/>
        </w:rPr>
        <w:fldChar w:fldCharType="end"/>
      </w:r>
      <w:bookmarkEnd w:id="23"/>
      <w:r>
        <w:t>: Caractéristiques démographiques des participant·e·s</w:t>
      </w:r>
      <w:bookmarkEnd w:id="22"/>
    </w:p>
    <w:tbl>
      <w:tblPr>
        <w:tblW w:w="0" w:type="auto"/>
        <w:jc w:val="center"/>
        <w:tblLayout w:type="fixed"/>
        <w:tblLook w:val="0420" w:firstRow="1" w:lastRow="0" w:firstColumn="0" w:lastColumn="0" w:noHBand="0" w:noVBand="1"/>
      </w:tblPr>
      <w:tblGrid>
        <w:gridCol w:w="2835"/>
        <w:gridCol w:w="1701"/>
        <w:gridCol w:w="1701"/>
        <w:gridCol w:w="1701"/>
        <w:gridCol w:w="1984"/>
      </w:tblGrid>
      <w:tr w:rsidR="00C9593D" w14:paraId="4280124B" w14:textId="77777777">
        <w:trPr>
          <w:cantSplit/>
          <w:tblHeader/>
          <w:jc w:val="center"/>
        </w:trPr>
        <w:tc>
          <w:tcPr>
            <w:tcW w:w="2835"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42801246" w14:textId="77777777" w:rsidR="00C9593D" w:rsidRDefault="0069723F">
            <w:pPr>
              <w:keepNext/>
              <w:spacing w:before="40" w:after="40" w:line="240" w:lineRule="auto"/>
              <w:ind w:left="100" w:right="100"/>
              <w:jc w:val="left"/>
            </w:pPr>
            <w:r>
              <w:rPr>
                <w:rFonts w:ascii="Lato Bold" w:eastAsia="Lato Bold" w:hAnsi="Lato Bold" w:cs="Lato Bold"/>
                <w:b/>
                <w:color w:val="FFFFFF"/>
                <w:sz w:val="20"/>
                <w:szCs w:val="20"/>
              </w:rPr>
              <w:t>Caractéristiques</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247"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Total, N = 26</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248"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Femme, N = 12</w:t>
            </w:r>
            <w:r>
              <w:rPr>
                <w:rFonts w:ascii="Lato Bold" w:eastAsia="Lato Bold" w:hAnsi="Lato Bold" w:cs="Lato Bold"/>
                <w:b/>
                <w:color w:val="FFFFFF"/>
                <w:sz w:val="20"/>
                <w:szCs w:val="20"/>
                <w:vertAlign w:val="superscript"/>
              </w:rPr>
              <w:t>1</w:t>
            </w:r>
          </w:p>
        </w:tc>
        <w:tc>
          <w:tcPr>
            <w:tcW w:w="170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249"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Homme, N = 9</w:t>
            </w:r>
            <w:r>
              <w:rPr>
                <w:rFonts w:ascii="Lato Bold" w:eastAsia="Lato Bold" w:hAnsi="Lato Bold" w:cs="Lato Bold"/>
                <w:b/>
                <w:color w:val="FFFFFF"/>
                <w:sz w:val="20"/>
                <w:szCs w:val="20"/>
                <w:vertAlign w:val="superscript"/>
              </w:rPr>
              <w:t>1</w:t>
            </w:r>
          </w:p>
        </w:tc>
        <w:tc>
          <w:tcPr>
            <w:tcW w:w="1984"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4280124A"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Non-binaire, N = 5</w:t>
            </w:r>
            <w:r>
              <w:rPr>
                <w:rFonts w:ascii="Lato Bold" w:eastAsia="Lato Bold" w:hAnsi="Lato Bold" w:cs="Lato Bold"/>
                <w:b/>
                <w:color w:val="FFFFFF"/>
                <w:sz w:val="20"/>
                <w:szCs w:val="20"/>
                <w:vertAlign w:val="superscript"/>
              </w:rPr>
              <w:t>1</w:t>
            </w:r>
          </w:p>
        </w:tc>
      </w:tr>
      <w:tr w:rsidR="00C9593D" w14:paraId="42801251"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4C" w14:textId="77777777" w:rsidR="00C9593D" w:rsidRDefault="0069723F">
            <w:pPr>
              <w:keepNext/>
              <w:spacing w:before="100" w:after="100" w:line="240" w:lineRule="auto"/>
              <w:ind w:left="100" w:right="100"/>
              <w:jc w:val="left"/>
            </w:pPr>
            <w:r>
              <w:rPr>
                <w:rFonts w:eastAsia="Lato Light" w:cs="Lato Light"/>
                <w:b/>
                <w:color w:val="000000"/>
                <w:sz w:val="20"/>
                <w:szCs w:val="20"/>
              </w:rPr>
              <w:t>Âge</w:t>
            </w:r>
          </w:p>
        </w:tc>
        <w:tc>
          <w:tcPr>
            <w:tcW w:w="1701" w:type="dxa"/>
            <w:shd w:val="clear" w:color="auto" w:fill="FFFFFF"/>
            <w:tcMar>
              <w:top w:w="0" w:type="dxa"/>
              <w:left w:w="0" w:type="dxa"/>
              <w:bottom w:w="0" w:type="dxa"/>
              <w:right w:w="0" w:type="dxa"/>
            </w:tcMar>
            <w:vAlign w:val="center"/>
          </w:tcPr>
          <w:p w14:paraId="4280124D"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4E"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4F" w14:textId="77777777" w:rsidR="00C9593D" w:rsidRDefault="00C9593D">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50" w14:textId="77777777" w:rsidR="00C9593D" w:rsidRDefault="00C9593D">
            <w:pPr>
              <w:keepNext/>
              <w:spacing w:before="100" w:after="100" w:line="240" w:lineRule="auto"/>
              <w:ind w:left="100" w:right="100"/>
              <w:jc w:val="center"/>
            </w:pPr>
          </w:p>
        </w:tc>
      </w:tr>
      <w:tr w:rsidR="00C9593D" w14:paraId="42801257"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52" w14:textId="77777777" w:rsidR="00C9593D" w:rsidRDefault="0069723F">
            <w:pPr>
              <w:keepNext/>
              <w:spacing w:before="100" w:after="100" w:line="240" w:lineRule="auto"/>
              <w:ind w:left="300" w:right="100"/>
              <w:jc w:val="left"/>
            </w:pPr>
            <w:r>
              <w:rPr>
                <w:rFonts w:eastAsia="Lato Light" w:cs="Lato Light"/>
                <w:color w:val="000000"/>
                <w:sz w:val="20"/>
                <w:szCs w:val="20"/>
              </w:rPr>
              <w:t>Médiane</w:t>
            </w:r>
          </w:p>
        </w:tc>
        <w:tc>
          <w:tcPr>
            <w:tcW w:w="1701" w:type="dxa"/>
            <w:shd w:val="clear" w:color="auto" w:fill="FFFFFF"/>
            <w:tcMar>
              <w:top w:w="0" w:type="dxa"/>
              <w:left w:w="0" w:type="dxa"/>
              <w:bottom w:w="0" w:type="dxa"/>
              <w:right w:w="0" w:type="dxa"/>
            </w:tcMar>
            <w:vAlign w:val="center"/>
          </w:tcPr>
          <w:p w14:paraId="42801253" w14:textId="77777777" w:rsidR="00C9593D" w:rsidRDefault="0069723F">
            <w:pPr>
              <w:keepNext/>
              <w:spacing w:before="100" w:after="100" w:line="240" w:lineRule="auto"/>
              <w:ind w:left="100" w:right="100"/>
              <w:jc w:val="center"/>
            </w:pPr>
            <w:r>
              <w:rPr>
                <w:rFonts w:eastAsia="Lato Light" w:cs="Lato Light"/>
                <w:b/>
                <w:color w:val="000000"/>
                <w:sz w:val="20"/>
                <w:szCs w:val="20"/>
              </w:rPr>
              <w:t>22</w:t>
            </w:r>
          </w:p>
        </w:tc>
        <w:tc>
          <w:tcPr>
            <w:tcW w:w="1701" w:type="dxa"/>
            <w:shd w:val="clear" w:color="auto" w:fill="FFFFFF"/>
            <w:tcMar>
              <w:top w:w="0" w:type="dxa"/>
              <w:left w:w="0" w:type="dxa"/>
              <w:bottom w:w="0" w:type="dxa"/>
              <w:right w:w="0" w:type="dxa"/>
            </w:tcMar>
            <w:vAlign w:val="center"/>
          </w:tcPr>
          <w:p w14:paraId="42801254" w14:textId="77777777" w:rsidR="00C9593D" w:rsidRDefault="0069723F">
            <w:pPr>
              <w:keepNext/>
              <w:spacing w:before="100" w:after="100" w:line="240" w:lineRule="auto"/>
              <w:ind w:left="100" w:right="100"/>
              <w:jc w:val="center"/>
            </w:pPr>
            <w:r>
              <w:rPr>
                <w:rFonts w:eastAsia="Lato Light" w:cs="Lato Light"/>
                <w:color w:val="000000"/>
                <w:sz w:val="20"/>
                <w:szCs w:val="20"/>
              </w:rPr>
              <w:t>22</w:t>
            </w:r>
          </w:p>
        </w:tc>
        <w:tc>
          <w:tcPr>
            <w:tcW w:w="1701" w:type="dxa"/>
            <w:shd w:val="clear" w:color="auto" w:fill="FFFFFF"/>
            <w:tcMar>
              <w:top w:w="0" w:type="dxa"/>
              <w:left w:w="0" w:type="dxa"/>
              <w:bottom w:w="0" w:type="dxa"/>
              <w:right w:w="0" w:type="dxa"/>
            </w:tcMar>
            <w:vAlign w:val="center"/>
          </w:tcPr>
          <w:p w14:paraId="42801255" w14:textId="77777777" w:rsidR="00C9593D" w:rsidRDefault="0069723F">
            <w:pPr>
              <w:keepNext/>
              <w:spacing w:before="100" w:after="100" w:line="240" w:lineRule="auto"/>
              <w:ind w:left="100" w:right="100"/>
              <w:jc w:val="center"/>
            </w:pPr>
            <w:r>
              <w:rPr>
                <w:rFonts w:eastAsia="Lato Light" w:cs="Lato Light"/>
                <w:color w:val="000000"/>
                <w:sz w:val="20"/>
                <w:szCs w:val="20"/>
              </w:rPr>
              <w:t>24</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56" w14:textId="77777777" w:rsidR="00C9593D" w:rsidRDefault="0069723F">
            <w:pPr>
              <w:keepNext/>
              <w:spacing w:before="100" w:after="100" w:line="240" w:lineRule="auto"/>
              <w:ind w:left="100" w:right="100"/>
              <w:jc w:val="center"/>
            </w:pPr>
            <w:r>
              <w:rPr>
                <w:rFonts w:eastAsia="Lato Light" w:cs="Lato Light"/>
                <w:color w:val="000000"/>
                <w:sz w:val="20"/>
                <w:szCs w:val="20"/>
              </w:rPr>
              <w:t>21</w:t>
            </w:r>
          </w:p>
        </w:tc>
      </w:tr>
      <w:tr w:rsidR="00C9593D" w14:paraId="4280125D"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58" w14:textId="77777777" w:rsidR="00C9593D" w:rsidRDefault="0069723F">
            <w:pPr>
              <w:keepNext/>
              <w:spacing w:before="100" w:after="100" w:line="240" w:lineRule="auto"/>
              <w:ind w:left="300" w:right="100"/>
              <w:jc w:val="left"/>
            </w:pPr>
            <w:r>
              <w:rPr>
                <w:rFonts w:eastAsia="Lato Light" w:cs="Lato Light"/>
                <w:color w:val="000000"/>
                <w:sz w:val="20"/>
                <w:szCs w:val="20"/>
              </w:rPr>
              <w:t>Minimum - Maximum</w:t>
            </w:r>
          </w:p>
        </w:tc>
        <w:tc>
          <w:tcPr>
            <w:tcW w:w="1701" w:type="dxa"/>
            <w:shd w:val="clear" w:color="auto" w:fill="FFFFFF"/>
            <w:tcMar>
              <w:top w:w="0" w:type="dxa"/>
              <w:left w:w="0" w:type="dxa"/>
              <w:bottom w:w="0" w:type="dxa"/>
              <w:right w:w="0" w:type="dxa"/>
            </w:tcMar>
            <w:vAlign w:val="center"/>
          </w:tcPr>
          <w:p w14:paraId="42801259" w14:textId="77777777" w:rsidR="00C9593D" w:rsidRDefault="0069723F">
            <w:pPr>
              <w:keepNext/>
              <w:spacing w:before="100" w:after="100" w:line="240" w:lineRule="auto"/>
              <w:ind w:left="100" w:right="100"/>
              <w:jc w:val="center"/>
            </w:pPr>
            <w:r>
              <w:rPr>
                <w:rFonts w:eastAsia="Lato Light" w:cs="Lato Light"/>
                <w:b/>
                <w:color w:val="000000"/>
                <w:sz w:val="20"/>
                <w:szCs w:val="20"/>
              </w:rPr>
              <w:t>[17 - 56]</w:t>
            </w:r>
          </w:p>
        </w:tc>
        <w:tc>
          <w:tcPr>
            <w:tcW w:w="1701" w:type="dxa"/>
            <w:shd w:val="clear" w:color="auto" w:fill="FFFFFF"/>
            <w:tcMar>
              <w:top w:w="0" w:type="dxa"/>
              <w:left w:w="0" w:type="dxa"/>
              <w:bottom w:w="0" w:type="dxa"/>
              <w:right w:w="0" w:type="dxa"/>
            </w:tcMar>
            <w:vAlign w:val="center"/>
          </w:tcPr>
          <w:p w14:paraId="4280125A" w14:textId="77777777" w:rsidR="00C9593D" w:rsidRDefault="0069723F">
            <w:pPr>
              <w:keepNext/>
              <w:spacing w:before="100" w:after="100" w:line="240" w:lineRule="auto"/>
              <w:ind w:left="100" w:right="100"/>
              <w:jc w:val="center"/>
            </w:pPr>
            <w:r>
              <w:rPr>
                <w:rFonts w:eastAsia="Lato Light" w:cs="Lato Light"/>
                <w:color w:val="000000"/>
                <w:sz w:val="20"/>
                <w:szCs w:val="20"/>
              </w:rPr>
              <w:t>[18 - 56]</w:t>
            </w:r>
          </w:p>
        </w:tc>
        <w:tc>
          <w:tcPr>
            <w:tcW w:w="1701" w:type="dxa"/>
            <w:shd w:val="clear" w:color="auto" w:fill="FFFFFF"/>
            <w:tcMar>
              <w:top w:w="0" w:type="dxa"/>
              <w:left w:w="0" w:type="dxa"/>
              <w:bottom w:w="0" w:type="dxa"/>
              <w:right w:w="0" w:type="dxa"/>
            </w:tcMar>
            <w:vAlign w:val="center"/>
          </w:tcPr>
          <w:p w14:paraId="4280125B" w14:textId="77777777" w:rsidR="00C9593D" w:rsidRDefault="0069723F">
            <w:pPr>
              <w:keepNext/>
              <w:spacing w:before="100" w:after="100" w:line="240" w:lineRule="auto"/>
              <w:ind w:left="100" w:right="100"/>
              <w:jc w:val="center"/>
            </w:pPr>
            <w:r>
              <w:rPr>
                <w:rFonts w:eastAsia="Lato Light" w:cs="Lato Light"/>
                <w:color w:val="000000"/>
                <w:sz w:val="20"/>
                <w:szCs w:val="20"/>
              </w:rPr>
              <w:t>[17 - 49]</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5C" w14:textId="77777777" w:rsidR="00C9593D" w:rsidRDefault="0069723F">
            <w:pPr>
              <w:keepNext/>
              <w:spacing w:before="100" w:after="100" w:line="240" w:lineRule="auto"/>
              <w:ind w:left="100" w:right="100"/>
              <w:jc w:val="center"/>
            </w:pPr>
            <w:r>
              <w:rPr>
                <w:rFonts w:eastAsia="Lato Light" w:cs="Lato Light"/>
                <w:color w:val="000000"/>
                <w:sz w:val="20"/>
                <w:szCs w:val="20"/>
              </w:rPr>
              <w:t>[18 - 32]</w:t>
            </w:r>
          </w:p>
        </w:tc>
      </w:tr>
      <w:tr w:rsidR="00C9593D" w14:paraId="42801263"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5E" w14:textId="77777777" w:rsidR="00C9593D" w:rsidRDefault="0069723F">
            <w:pPr>
              <w:keepNext/>
              <w:spacing w:before="100" w:after="100" w:line="240" w:lineRule="auto"/>
              <w:ind w:left="100" w:right="100"/>
              <w:jc w:val="left"/>
            </w:pPr>
            <w:r>
              <w:rPr>
                <w:rFonts w:eastAsia="Lato Light" w:cs="Lato Light"/>
                <w:b/>
                <w:color w:val="000000"/>
                <w:sz w:val="20"/>
                <w:szCs w:val="20"/>
              </w:rPr>
              <w:t>Province</w:t>
            </w:r>
          </w:p>
        </w:tc>
        <w:tc>
          <w:tcPr>
            <w:tcW w:w="1701" w:type="dxa"/>
            <w:shd w:val="clear" w:color="auto" w:fill="FFFFFF"/>
            <w:tcMar>
              <w:top w:w="0" w:type="dxa"/>
              <w:left w:w="0" w:type="dxa"/>
              <w:bottom w:w="0" w:type="dxa"/>
              <w:right w:w="0" w:type="dxa"/>
            </w:tcMar>
            <w:vAlign w:val="center"/>
          </w:tcPr>
          <w:p w14:paraId="4280125F"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60"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61" w14:textId="77777777" w:rsidR="00C9593D" w:rsidRDefault="00C9593D">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62" w14:textId="77777777" w:rsidR="00C9593D" w:rsidRDefault="00C9593D">
            <w:pPr>
              <w:keepNext/>
              <w:spacing w:before="100" w:after="100" w:line="240" w:lineRule="auto"/>
              <w:ind w:left="100" w:right="100"/>
              <w:jc w:val="center"/>
            </w:pPr>
          </w:p>
        </w:tc>
      </w:tr>
      <w:tr w:rsidR="00C9593D" w14:paraId="42801269"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64" w14:textId="77777777" w:rsidR="00C9593D" w:rsidRDefault="0069723F">
            <w:pPr>
              <w:keepNext/>
              <w:spacing w:before="100" w:after="100" w:line="240" w:lineRule="auto"/>
              <w:ind w:left="300" w:right="100"/>
              <w:jc w:val="left"/>
            </w:pPr>
            <w:r>
              <w:rPr>
                <w:rFonts w:eastAsia="Lato Light" w:cs="Lato Light"/>
                <w:color w:val="000000"/>
                <w:sz w:val="20"/>
                <w:szCs w:val="20"/>
              </w:rPr>
              <w:t>Liège</w:t>
            </w:r>
          </w:p>
        </w:tc>
        <w:tc>
          <w:tcPr>
            <w:tcW w:w="1701" w:type="dxa"/>
            <w:shd w:val="clear" w:color="auto" w:fill="FFFFFF"/>
            <w:tcMar>
              <w:top w:w="0" w:type="dxa"/>
              <w:left w:w="0" w:type="dxa"/>
              <w:bottom w:w="0" w:type="dxa"/>
              <w:right w:w="0" w:type="dxa"/>
            </w:tcMar>
            <w:vAlign w:val="center"/>
          </w:tcPr>
          <w:p w14:paraId="42801265" w14:textId="77777777" w:rsidR="00C9593D" w:rsidRDefault="0069723F">
            <w:pPr>
              <w:keepNext/>
              <w:spacing w:before="100" w:after="100" w:line="240" w:lineRule="auto"/>
              <w:ind w:left="100" w:right="100"/>
              <w:jc w:val="center"/>
            </w:pPr>
            <w:r>
              <w:rPr>
                <w:rFonts w:eastAsia="Lato Light" w:cs="Lato Light"/>
                <w:b/>
                <w:color w:val="000000"/>
                <w:sz w:val="20"/>
                <w:szCs w:val="20"/>
              </w:rPr>
              <w:t>15 (58%)</w:t>
            </w:r>
          </w:p>
        </w:tc>
        <w:tc>
          <w:tcPr>
            <w:tcW w:w="1701" w:type="dxa"/>
            <w:shd w:val="clear" w:color="auto" w:fill="FFFFFF"/>
            <w:tcMar>
              <w:top w:w="0" w:type="dxa"/>
              <w:left w:w="0" w:type="dxa"/>
              <w:bottom w:w="0" w:type="dxa"/>
              <w:right w:w="0" w:type="dxa"/>
            </w:tcMar>
            <w:vAlign w:val="center"/>
          </w:tcPr>
          <w:p w14:paraId="42801266" w14:textId="77777777" w:rsidR="00C9593D" w:rsidRDefault="0069723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2801267" w14:textId="77777777" w:rsidR="00C9593D" w:rsidRDefault="0069723F">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68" w14:textId="77777777" w:rsidR="00C9593D" w:rsidRDefault="0069723F">
            <w:pPr>
              <w:keepNext/>
              <w:spacing w:before="100" w:after="100" w:line="240" w:lineRule="auto"/>
              <w:ind w:left="100" w:right="100"/>
              <w:jc w:val="center"/>
            </w:pPr>
            <w:r>
              <w:rPr>
                <w:rFonts w:eastAsia="Lato Light" w:cs="Lato Light"/>
                <w:color w:val="000000"/>
                <w:sz w:val="20"/>
                <w:szCs w:val="20"/>
              </w:rPr>
              <w:t>4 (80%)</w:t>
            </w:r>
          </w:p>
        </w:tc>
      </w:tr>
      <w:tr w:rsidR="00C9593D" w14:paraId="4280126F"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6A" w14:textId="77777777" w:rsidR="00C9593D" w:rsidRDefault="0069723F">
            <w:pPr>
              <w:keepNext/>
              <w:spacing w:before="100" w:after="100" w:line="240" w:lineRule="auto"/>
              <w:ind w:left="300" w:right="100"/>
              <w:jc w:val="left"/>
            </w:pPr>
            <w:r>
              <w:rPr>
                <w:rFonts w:eastAsia="Lato Light" w:cs="Lato Light"/>
                <w:color w:val="000000"/>
                <w:sz w:val="20"/>
                <w:szCs w:val="20"/>
              </w:rPr>
              <w:t>Autre</w:t>
            </w:r>
          </w:p>
        </w:tc>
        <w:tc>
          <w:tcPr>
            <w:tcW w:w="1701" w:type="dxa"/>
            <w:shd w:val="clear" w:color="auto" w:fill="FFFFFF"/>
            <w:tcMar>
              <w:top w:w="0" w:type="dxa"/>
              <w:left w:w="0" w:type="dxa"/>
              <w:bottom w:w="0" w:type="dxa"/>
              <w:right w:w="0" w:type="dxa"/>
            </w:tcMar>
            <w:vAlign w:val="center"/>
          </w:tcPr>
          <w:p w14:paraId="4280126B" w14:textId="77777777" w:rsidR="00C9593D" w:rsidRDefault="0069723F">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4280126C" w14:textId="77777777" w:rsidR="00C9593D" w:rsidRDefault="0069723F">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4280126D" w14:textId="77777777" w:rsidR="00C9593D" w:rsidRDefault="0069723F">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6E" w14:textId="77777777" w:rsidR="00C9593D" w:rsidRDefault="0069723F">
            <w:pPr>
              <w:keepNext/>
              <w:spacing w:before="100" w:after="100" w:line="240" w:lineRule="auto"/>
              <w:ind w:left="100" w:right="100"/>
              <w:jc w:val="center"/>
            </w:pPr>
            <w:r>
              <w:rPr>
                <w:rFonts w:eastAsia="Lato Light" w:cs="Lato Light"/>
                <w:color w:val="000000"/>
                <w:sz w:val="20"/>
                <w:szCs w:val="20"/>
              </w:rPr>
              <w:t>1 (20%)</w:t>
            </w:r>
          </w:p>
        </w:tc>
      </w:tr>
      <w:tr w:rsidR="00C9593D" w14:paraId="42801275"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70" w14:textId="77777777" w:rsidR="00C9593D" w:rsidRDefault="0069723F">
            <w:pPr>
              <w:keepNext/>
              <w:spacing w:before="100" w:after="100" w:line="240" w:lineRule="auto"/>
              <w:ind w:left="100" w:right="100"/>
              <w:jc w:val="left"/>
            </w:pPr>
            <w:r>
              <w:rPr>
                <w:rFonts w:eastAsia="Lato Light" w:cs="Lato Light"/>
                <w:b/>
                <w:color w:val="000000"/>
                <w:sz w:val="20"/>
                <w:szCs w:val="20"/>
              </w:rPr>
              <w:t>Sexes</w:t>
            </w:r>
          </w:p>
        </w:tc>
        <w:tc>
          <w:tcPr>
            <w:tcW w:w="1701" w:type="dxa"/>
            <w:shd w:val="clear" w:color="auto" w:fill="FFFFFF"/>
            <w:tcMar>
              <w:top w:w="0" w:type="dxa"/>
              <w:left w:w="0" w:type="dxa"/>
              <w:bottom w:w="0" w:type="dxa"/>
              <w:right w:w="0" w:type="dxa"/>
            </w:tcMar>
            <w:vAlign w:val="center"/>
          </w:tcPr>
          <w:p w14:paraId="42801271"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72"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73" w14:textId="77777777" w:rsidR="00C9593D" w:rsidRDefault="00C9593D">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74" w14:textId="77777777" w:rsidR="00C9593D" w:rsidRDefault="00C9593D">
            <w:pPr>
              <w:keepNext/>
              <w:spacing w:before="100" w:after="100" w:line="240" w:lineRule="auto"/>
              <w:ind w:left="100" w:right="100"/>
              <w:jc w:val="center"/>
            </w:pPr>
          </w:p>
        </w:tc>
      </w:tr>
      <w:tr w:rsidR="00C9593D" w14:paraId="4280127B"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76" w14:textId="77777777" w:rsidR="00C9593D" w:rsidRDefault="0069723F">
            <w:pPr>
              <w:keepNext/>
              <w:spacing w:before="100" w:after="100" w:line="240" w:lineRule="auto"/>
              <w:ind w:left="300" w:right="100"/>
              <w:jc w:val="left"/>
            </w:pPr>
            <w:r>
              <w:rPr>
                <w:rFonts w:eastAsia="Lato Light" w:cs="Lato Light"/>
                <w:color w:val="000000"/>
                <w:sz w:val="20"/>
                <w:szCs w:val="20"/>
              </w:rPr>
              <w:t>Femelle</w:t>
            </w:r>
          </w:p>
        </w:tc>
        <w:tc>
          <w:tcPr>
            <w:tcW w:w="1701" w:type="dxa"/>
            <w:shd w:val="clear" w:color="auto" w:fill="FFFFFF"/>
            <w:tcMar>
              <w:top w:w="0" w:type="dxa"/>
              <w:left w:w="0" w:type="dxa"/>
              <w:bottom w:w="0" w:type="dxa"/>
              <w:right w:w="0" w:type="dxa"/>
            </w:tcMar>
            <w:vAlign w:val="center"/>
          </w:tcPr>
          <w:p w14:paraId="42801277" w14:textId="77777777" w:rsidR="00C9593D" w:rsidRDefault="0069723F">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42801278"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42801279" w14:textId="77777777" w:rsidR="00C9593D" w:rsidRDefault="0069723F">
            <w:pPr>
              <w:keepNext/>
              <w:spacing w:before="100" w:after="100" w:line="240" w:lineRule="auto"/>
              <w:ind w:left="100" w:right="100"/>
              <w:jc w:val="center"/>
            </w:pPr>
            <w:r>
              <w:rPr>
                <w:rFonts w:eastAsia="Lato Light" w:cs="Lato Light"/>
                <w:color w:val="000000"/>
                <w:sz w:val="20"/>
                <w:szCs w:val="20"/>
              </w:rPr>
              <w:t>9 (100%)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7A" w14:textId="77777777" w:rsidR="00C9593D" w:rsidRDefault="0069723F">
            <w:pPr>
              <w:keepNext/>
              <w:spacing w:before="100" w:after="100" w:line="240" w:lineRule="auto"/>
              <w:ind w:left="100" w:right="100"/>
              <w:jc w:val="center"/>
            </w:pPr>
            <w:r>
              <w:rPr>
                <w:rFonts w:eastAsia="Lato Light" w:cs="Lato Light"/>
                <w:color w:val="000000"/>
                <w:sz w:val="20"/>
                <w:szCs w:val="20"/>
              </w:rPr>
              <w:t>4 (80%)</w:t>
            </w:r>
          </w:p>
        </w:tc>
      </w:tr>
      <w:tr w:rsidR="00C9593D" w14:paraId="42801281"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7C" w14:textId="77777777" w:rsidR="00C9593D" w:rsidRDefault="0069723F">
            <w:pPr>
              <w:keepNext/>
              <w:spacing w:before="100" w:after="100" w:line="240" w:lineRule="auto"/>
              <w:ind w:left="300" w:right="100"/>
              <w:jc w:val="left"/>
            </w:pPr>
            <w:r>
              <w:rPr>
                <w:rFonts w:eastAsia="Lato Light" w:cs="Lato Light"/>
                <w:color w:val="000000"/>
                <w:sz w:val="20"/>
                <w:szCs w:val="20"/>
              </w:rPr>
              <w:t>Mâle</w:t>
            </w:r>
          </w:p>
        </w:tc>
        <w:tc>
          <w:tcPr>
            <w:tcW w:w="1701" w:type="dxa"/>
            <w:shd w:val="clear" w:color="auto" w:fill="FFFFFF"/>
            <w:tcMar>
              <w:top w:w="0" w:type="dxa"/>
              <w:left w:w="0" w:type="dxa"/>
              <w:bottom w:w="0" w:type="dxa"/>
              <w:right w:w="0" w:type="dxa"/>
            </w:tcMar>
            <w:vAlign w:val="center"/>
          </w:tcPr>
          <w:p w14:paraId="4280127D" w14:textId="77777777" w:rsidR="00C9593D" w:rsidRDefault="0069723F">
            <w:pPr>
              <w:keepNext/>
              <w:spacing w:before="100" w:after="100" w:line="240" w:lineRule="auto"/>
              <w:ind w:left="100" w:right="100"/>
              <w:jc w:val="center"/>
            </w:pPr>
            <w:r>
              <w:rPr>
                <w:rFonts w:eastAsia="Lato Light" w:cs="Lato Light"/>
                <w:b/>
                <w:color w:val="000000"/>
                <w:sz w:val="20"/>
                <w:szCs w:val="20"/>
              </w:rPr>
              <w:t>12 (46%)</w:t>
            </w:r>
          </w:p>
        </w:tc>
        <w:tc>
          <w:tcPr>
            <w:tcW w:w="1701" w:type="dxa"/>
            <w:shd w:val="clear" w:color="auto" w:fill="FFFFFF"/>
            <w:tcMar>
              <w:top w:w="0" w:type="dxa"/>
              <w:left w:w="0" w:type="dxa"/>
              <w:bottom w:w="0" w:type="dxa"/>
              <w:right w:w="0" w:type="dxa"/>
            </w:tcMar>
            <w:vAlign w:val="center"/>
          </w:tcPr>
          <w:p w14:paraId="4280127E" w14:textId="77777777" w:rsidR="00C9593D" w:rsidRDefault="0069723F">
            <w:pPr>
              <w:keepNext/>
              <w:spacing w:before="100" w:after="100" w:line="240" w:lineRule="auto"/>
              <w:ind w:left="100" w:right="100"/>
              <w:jc w:val="center"/>
            </w:pPr>
            <w:r>
              <w:rPr>
                <w:rFonts w:eastAsia="Lato Light" w:cs="Lato Light"/>
                <w:color w:val="000000"/>
                <w:sz w:val="20"/>
                <w:szCs w:val="20"/>
              </w:rPr>
              <w:t>11 (92%)</w:t>
            </w:r>
          </w:p>
        </w:tc>
        <w:tc>
          <w:tcPr>
            <w:tcW w:w="1701" w:type="dxa"/>
            <w:shd w:val="clear" w:color="auto" w:fill="FFFFFF"/>
            <w:tcMar>
              <w:top w:w="0" w:type="dxa"/>
              <w:left w:w="0" w:type="dxa"/>
              <w:bottom w:w="0" w:type="dxa"/>
              <w:right w:w="0" w:type="dxa"/>
            </w:tcMar>
            <w:vAlign w:val="center"/>
          </w:tcPr>
          <w:p w14:paraId="4280127F"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80" w14:textId="77777777" w:rsidR="00C9593D" w:rsidRDefault="0069723F">
            <w:pPr>
              <w:keepNext/>
              <w:spacing w:before="100" w:after="100" w:line="240" w:lineRule="auto"/>
              <w:ind w:left="100" w:right="100"/>
              <w:jc w:val="center"/>
            </w:pPr>
            <w:r>
              <w:rPr>
                <w:rFonts w:eastAsia="Lato Light" w:cs="Lato Light"/>
                <w:color w:val="000000"/>
                <w:sz w:val="20"/>
                <w:szCs w:val="20"/>
              </w:rPr>
              <w:t>1 (20%)</w:t>
            </w:r>
          </w:p>
        </w:tc>
      </w:tr>
      <w:tr w:rsidR="00C9593D" w14:paraId="42801287"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82" w14:textId="77777777" w:rsidR="00C9593D" w:rsidRDefault="0069723F">
            <w:pPr>
              <w:keepNext/>
              <w:spacing w:before="100" w:after="100" w:line="240" w:lineRule="auto"/>
              <w:ind w:left="300" w:right="100"/>
              <w:jc w:val="left"/>
            </w:pPr>
            <w:r>
              <w:rPr>
                <w:rFonts w:eastAsia="Lato Light" w:cs="Lato Light"/>
                <w:color w:val="000000"/>
                <w:sz w:val="20"/>
                <w:szCs w:val="20"/>
              </w:rPr>
              <w:t>Intersexe</w:t>
            </w:r>
          </w:p>
        </w:tc>
        <w:tc>
          <w:tcPr>
            <w:tcW w:w="1701" w:type="dxa"/>
            <w:shd w:val="clear" w:color="auto" w:fill="FFFFFF"/>
            <w:tcMar>
              <w:top w:w="0" w:type="dxa"/>
              <w:left w:w="0" w:type="dxa"/>
              <w:bottom w:w="0" w:type="dxa"/>
              <w:right w:w="0" w:type="dxa"/>
            </w:tcMar>
            <w:vAlign w:val="center"/>
          </w:tcPr>
          <w:p w14:paraId="42801283" w14:textId="77777777" w:rsidR="00C9593D" w:rsidRDefault="0069723F">
            <w:pPr>
              <w:keepNext/>
              <w:spacing w:before="100" w:after="100" w:line="240" w:lineRule="auto"/>
              <w:ind w:left="100" w:right="100"/>
              <w:jc w:val="center"/>
            </w:pPr>
            <w:r>
              <w:rPr>
                <w:rFonts w:eastAsia="Lato Light" w:cs="Lato Light"/>
                <w:b/>
                <w:color w:val="000000"/>
                <w:sz w:val="20"/>
                <w:szCs w:val="20"/>
              </w:rPr>
              <w:t>1 (3.8%)</w:t>
            </w:r>
          </w:p>
        </w:tc>
        <w:tc>
          <w:tcPr>
            <w:tcW w:w="1701" w:type="dxa"/>
            <w:shd w:val="clear" w:color="auto" w:fill="FFFFFF"/>
            <w:tcMar>
              <w:top w:w="0" w:type="dxa"/>
              <w:left w:w="0" w:type="dxa"/>
              <w:bottom w:w="0" w:type="dxa"/>
              <w:right w:w="0" w:type="dxa"/>
            </w:tcMar>
            <w:vAlign w:val="center"/>
          </w:tcPr>
          <w:p w14:paraId="42801284" w14:textId="77777777" w:rsidR="00C9593D" w:rsidRDefault="0069723F">
            <w:pPr>
              <w:keepNext/>
              <w:spacing w:before="100" w:after="100" w:line="240" w:lineRule="auto"/>
              <w:ind w:left="100" w:right="100"/>
              <w:jc w:val="center"/>
            </w:pPr>
            <w:r>
              <w:rPr>
                <w:rFonts w:eastAsia="Lato Light" w:cs="Lato Light"/>
                <w:color w:val="000000"/>
                <w:sz w:val="20"/>
                <w:szCs w:val="20"/>
              </w:rPr>
              <w:t>1 (8.3%)</w:t>
            </w:r>
          </w:p>
        </w:tc>
        <w:tc>
          <w:tcPr>
            <w:tcW w:w="1701" w:type="dxa"/>
            <w:shd w:val="clear" w:color="auto" w:fill="FFFFFF"/>
            <w:tcMar>
              <w:top w:w="0" w:type="dxa"/>
              <w:left w:w="0" w:type="dxa"/>
              <w:bottom w:w="0" w:type="dxa"/>
              <w:right w:w="0" w:type="dxa"/>
            </w:tcMar>
            <w:vAlign w:val="center"/>
          </w:tcPr>
          <w:p w14:paraId="42801285"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86"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r>
      <w:tr w:rsidR="00C9593D" w14:paraId="4280128D"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88" w14:textId="77777777" w:rsidR="00C9593D" w:rsidRDefault="0069723F">
            <w:pPr>
              <w:keepNext/>
              <w:spacing w:before="100" w:after="100" w:line="240" w:lineRule="auto"/>
              <w:ind w:left="100" w:right="100"/>
              <w:jc w:val="left"/>
            </w:pPr>
            <w:r>
              <w:rPr>
                <w:rFonts w:eastAsia="Lato Light" w:cs="Lato Light"/>
                <w:b/>
                <w:color w:val="000000"/>
                <w:sz w:val="20"/>
                <w:szCs w:val="20"/>
              </w:rPr>
              <w:t>Statut mutuelle</w:t>
            </w:r>
          </w:p>
        </w:tc>
        <w:tc>
          <w:tcPr>
            <w:tcW w:w="1701" w:type="dxa"/>
            <w:shd w:val="clear" w:color="auto" w:fill="FFFFFF"/>
            <w:tcMar>
              <w:top w:w="0" w:type="dxa"/>
              <w:left w:w="0" w:type="dxa"/>
              <w:bottom w:w="0" w:type="dxa"/>
              <w:right w:w="0" w:type="dxa"/>
            </w:tcMar>
            <w:vAlign w:val="center"/>
          </w:tcPr>
          <w:p w14:paraId="42801289"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8A" w14:textId="77777777" w:rsidR="00C9593D" w:rsidRDefault="00C9593D">
            <w:pPr>
              <w:keepNext/>
              <w:spacing w:before="100" w:after="100" w:line="240" w:lineRule="auto"/>
              <w:ind w:left="100" w:right="100"/>
              <w:jc w:val="center"/>
            </w:pPr>
          </w:p>
        </w:tc>
        <w:tc>
          <w:tcPr>
            <w:tcW w:w="1701" w:type="dxa"/>
            <w:shd w:val="clear" w:color="auto" w:fill="FFFFFF"/>
            <w:tcMar>
              <w:top w:w="0" w:type="dxa"/>
              <w:left w:w="0" w:type="dxa"/>
              <w:bottom w:w="0" w:type="dxa"/>
              <w:right w:w="0" w:type="dxa"/>
            </w:tcMar>
            <w:vAlign w:val="center"/>
          </w:tcPr>
          <w:p w14:paraId="4280128B" w14:textId="77777777" w:rsidR="00C9593D" w:rsidRDefault="00C9593D">
            <w:pPr>
              <w:keepNext/>
              <w:spacing w:before="100" w:after="100" w:line="240" w:lineRule="auto"/>
              <w:ind w:left="100" w:right="100"/>
              <w:jc w:val="center"/>
            </w:pP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8C" w14:textId="77777777" w:rsidR="00C9593D" w:rsidRDefault="00C9593D">
            <w:pPr>
              <w:keepNext/>
              <w:spacing w:before="100" w:after="100" w:line="240" w:lineRule="auto"/>
              <w:ind w:left="100" w:right="100"/>
              <w:jc w:val="center"/>
            </w:pPr>
          </w:p>
        </w:tc>
      </w:tr>
      <w:tr w:rsidR="00C9593D" w14:paraId="42801293"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8E" w14:textId="77777777" w:rsidR="00C9593D" w:rsidRDefault="0069723F">
            <w:pPr>
              <w:keepNext/>
              <w:spacing w:before="100" w:after="100" w:line="240" w:lineRule="auto"/>
              <w:ind w:left="300" w:right="100"/>
              <w:jc w:val="left"/>
            </w:pPr>
            <w:r>
              <w:rPr>
                <w:rFonts w:eastAsia="Lato Light" w:cs="Lato Light"/>
                <w:color w:val="000000"/>
                <w:sz w:val="20"/>
                <w:szCs w:val="20"/>
              </w:rPr>
              <w:t>BIM</w:t>
            </w:r>
          </w:p>
        </w:tc>
        <w:tc>
          <w:tcPr>
            <w:tcW w:w="1701" w:type="dxa"/>
            <w:shd w:val="clear" w:color="auto" w:fill="FFFFFF"/>
            <w:tcMar>
              <w:top w:w="0" w:type="dxa"/>
              <w:left w:w="0" w:type="dxa"/>
              <w:bottom w:w="0" w:type="dxa"/>
              <w:right w:w="0" w:type="dxa"/>
            </w:tcMar>
            <w:vAlign w:val="center"/>
          </w:tcPr>
          <w:p w14:paraId="4280128F" w14:textId="77777777" w:rsidR="00C9593D" w:rsidRDefault="0069723F">
            <w:pPr>
              <w:keepNext/>
              <w:spacing w:before="100" w:after="100" w:line="240" w:lineRule="auto"/>
              <w:ind w:left="100" w:right="100"/>
              <w:jc w:val="center"/>
            </w:pPr>
            <w:r>
              <w:rPr>
                <w:rFonts w:eastAsia="Lato Light" w:cs="Lato Light"/>
                <w:b/>
                <w:color w:val="000000"/>
                <w:sz w:val="20"/>
                <w:szCs w:val="20"/>
              </w:rPr>
              <w:t>11 (42%)</w:t>
            </w:r>
          </w:p>
        </w:tc>
        <w:tc>
          <w:tcPr>
            <w:tcW w:w="1701" w:type="dxa"/>
            <w:shd w:val="clear" w:color="auto" w:fill="FFFFFF"/>
            <w:tcMar>
              <w:top w:w="0" w:type="dxa"/>
              <w:left w:w="0" w:type="dxa"/>
              <w:bottom w:w="0" w:type="dxa"/>
              <w:right w:w="0" w:type="dxa"/>
            </w:tcMar>
            <w:vAlign w:val="center"/>
          </w:tcPr>
          <w:p w14:paraId="42801290" w14:textId="77777777" w:rsidR="00C9593D" w:rsidRDefault="0069723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2801291" w14:textId="77777777" w:rsidR="00C9593D" w:rsidRDefault="0069723F">
            <w:pPr>
              <w:keepNext/>
              <w:spacing w:before="100" w:after="100" w:line="240" w:lineRule="auto"/>
              <w:ind w:left="100" w:right="100"/>
              <w:jc w:val="center"/>
            </w:pPr>
            <w:r>
              <w:rPr>
                <w:rFonts w:eastAsia="Lato Light" w:cs="Lato Light"/>
                <w:color w:val="000000"/>
                <w:sz w:val="20"/>
                <w:szCs w:val="20"/>
              </w:rPr>
              <w:t>3 (33%)</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92" w14:textId="77777777" w:rsidR="00C9593D" w:rsidRDefault="0069723F">
            <w:pPr>
              <w:keepNext/>
              <w:spacing w:before="100" w:after="100" w:line="240" w:lineRule="auto"/>
              <w:ind w:left="100" w:right="100"/>
              <w:jc w:val="center"/>
            </w:pPr>
            <w:r>
              <w:rPr>
                <w:rFonts w:eastAsia="Lato Light" w:cs="Lato Light"/>
                <w:color w:val="000000"/>
                <w:sz w:val="20"/>
                <w:szCs w:val="20"/>
              </w:rPr>
              <w:t>3 (60%)</w:t>
            </w:r>
          </w:p>
        </w:tc>
      </w:tr>
      <w:tr w:rsidR="00C9593D" w14:paraId="42801299"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94" w14:textId="77777777" w:rsidR="00C9593D" w:rsidRDefault="0069723F">
            <w:pPr>
              <w:keepNext/>
              <w:spacing w:before="100" w:after="100" w:line="240" w:lineRule="auto"/>
              <w:ind w:left="300" w:right="100"/>
              <w:jc w:val="left"/>
            </w:pPr>
            <w:r>
              <w:rPr>
                <w:rFonts w:eastAsia="Lato Light" w:cs="Lato Light"/>
                <w:color w:val="000000"/>
                <w:sz w:val="20"/>
                <w:szCs w:val="20"/>
              </w:rPr>
              <w:t>Assuré·e ordinaire</w:t>
            </w:r>
          </w:p>
        </w:tc>
        <w:tc>
          <w:tcPr>
            <w:tcW w:w="1701" w:type="dxa"/>
            <w:shd w:val="clear" w:color="auto" w:fill="FFFFFF"/>
            <w:tcMar>
              <w:top w:w="0" w:type="dxa"/>
              <w:left w:w="0" w:type="dxa"/>
              <w:bottom w:w="0" w:type="dxa"/>
              <w:right w:w="0" w:type="dxa"/>
            </w:tcMar>
            <w:vAlign w:val="center"/>
          </w:tcPr>
          <w:p w14:paraId="42801295" w14:textId="77777777" w:rsidR="00C9593D" w:rsidRDefault="0069723F">
            <w:pPr>
              <w:keepNext/>
              <w:spacing w:before="100" w:after="100" w:line="240" w:lineRule="auto"/>
              <w:ind w:left="100" w:right="100"/>
              <w:jc w:val="center"/>
            </w:pPr>
            <w:r>
              <w:rPr>
                <w:rFonts w:eastAsia="Lato Light" w:cs="Lato Light"/>
                <w:b/>
                <w:color w:val="000000"/>
                <w:sz w:val="20"/>
                <w:szCs w:val="20"/>
              </w:rPr>
              <w:t>13 (50%)</w:t>
            </w:r>
          </w:p>
        </w:tc>
        <w:tc>
          <w:tcPr>
            <w:tcW w:w="1701" w:type="dxa"/>
            <w:shd w:val="clear" w:color="auto" w:fill="FFFFFF"/>
            <w:tcMar>
              <w:top w:w="0" w:type="dxa"/>
              <w:left w:w="0" w:type="dxa"/>
              <w:bottom w:w="0" w:type="dxa"/>
              <w:right w:w="0" w:type="dxa"/>
            </w:tcMar>
            <w:vAlign w:val="center"/>
          </w:tcPr>
          <w:p w14:paraId="42801296" w14:textId="77777777" w:rsidR="00C9593D" w:rsidRDefault="0069723F">
            <w:pPr>
              <w:keepNext/>
              <w:spacing w:before="100" w:after="100" w:line="240" w:lineRule="auto"/>
              <w:ind w:left="100" w:right="100"/>
              <w:jc w:val="center"/>
            </w:pPr>
            <w:r>
              <w:rPr>
                <w:rFonts w:eastAsia="Lato Light" w:cs="Lato Light"/>
                <w:color w:val="000000"/>
                <w:sz w:val="20"/>
                <w:szCs w:val="20"/>
              </w:rPr>
              <w:t>7 (58%)</w:t>
            </w:r>
          </w:p>
        </w:tc>
        <w:tc>
          <w:tcPr>
            <w:tcW w:w="1701" w:type="dxa"/>
            <w:shd w:val="clear" w:color="auto" w:fill="FFFFFF"/>
            <w:tcMar>
              <w:top w:w="0" w:type="dxa"/>
              <w:left w:w="0" w:type="dxa"/>
              <w:bottom w:w="0" w:type="dxa"/>
              <w:right w:w="0" w:type="dxa"/>
            </w:tcMar>
            <w:vAlign w:val="center"/>
          </w:tcPr>
          <w:p w14:paraId="42801297" w14:textId="77777777" w:rsidR="00C9593D" w:rsidRDefault="0069723F">
            <w:pPr>
              <w:keepNext/>
              <w:spacing w:before="100" w:after="100" w:line="240" w:lineRule="auto"/>
              <w:ind w:left="100" w:right="100"/>
              <w:jc w:val="center"/>
            </w:pPr>
            <w:r>
              <w:rPr>
                <w:rFonts w:eastAsia="Lato Light" w:cs="Lato Light"/>
                <w:color w:val="000000"/>
                <w:sz w:val="20"/>
                <w:szCs w:val="20"/>
              </w:rPr>
              <w:t>4 (44%)</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98" w14:textId="77777777" w:rsidR="00C9593D" w:rsidRDefault="0069723F">
            <w:pPr>
              <w:keepNext/>
              <w:spacing w:before="100" w:after="100" w:line="240" w:lineRule="auto"/>
              <w:ind w:left="100" w:right="100"/>
              <w:jc w:val="center"/>
            </w:pPr>
            <w:r>
              <w:rPr>
                <w:rFonts w:eastAsia="Lato Light" w:cs="Lato Light"/>
                <w:color w:val="000000"/>
                <w:sz w:val="20"/>
                <w:szCs w:val="20"/>
              </w:rPr>
              <w:t>2 (40%)</w:t>
            </w:r>
          </w:p>
        </w:tc>
      </w:tr>
      <w:tr w:rsidR="00C9593D" w14:paraId="4280129F"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9A" w14:textId="77777777" w:rsidR="00C9593D" w:rsidRDefault="0069723F">
            <w:pPr>
              <w:keepNext/>
              <w:spacing w:before="100" w:after="100" w:line="240" w:lineRule="auto"/>
              <w:ind w:left="300" w:right="100"/>
              <w:jc w:val="left"/>
            </w:pPr>
            <w:r>
              <w:rPr>
                <w:rFonts w:eastAsia="Lato Light" w:cs="Lato Light"/>
                <w:color w:val="000000"/>
                <w:sz w:val="20"/>
                <w:szCs w:val="20"/>
              </w:rPr>
              <w:t>Non-inscrit·e</w:t>
            </w:r>
          </w:p>
        </w:tc>
        <w:tc>
          <w:tcPr>
            <w:tcW w:w="1701" w:type="dxa"/>
            <w:shd w:val="clear" w:color="auto" w:fill="FFFFFF"/>
            <w:tcMar>
              <w:top w:w="0" w:type="dxa"/>
              <w:left w:w="0" w:type="dxa"/>
              <w:bottom w:w="0" w:type="dxa"/>
              <w:right w:w="0" w:type="dxa"/>
            </w:tcMar>
            <w:vAlign w:val="center"/>
          </w:tcPr>
          <w:p w14:paraId="4280129B" w14:textId="77777777" w:rsidR="00C9593D" w:rsidRDefault="0069723F">
            <w:pPr>
              <w:keepNext/>
              <w:spacing w:before="100" w:after="100" w:line="240" w:lineRule="auto"/>
              <w:ind w:left="100" w:right="100"/>
              <w:jc w:val="center"/>
            </w:pPr>
            <w:r>
              <w:rPr>
                <w:rFonts w:eastAsia="Lato Light" w:cs="Lato Light"/>
                <w:b/>
                <w:color w:val="000000"/>
                <w:sz w:val="20"/>
                <w:szCs w:val="20"/>
              </w:rPr>
              <w:t>2 (7.7%)</w:t>
            </w:r>
          </w:p>
        </w:tc>
        <w:tc>
          <w:tcPr>
            <w:tcW w:w="1701" w:type="dxa"/>
            <w:shd w:val="clear" w:color="auto" w:fill="FFFFFF"/>
            <w:tcMar>
              <w:top w:w="0" w:type="dxa"/>
              <w:left w:w="0" w:type="dxa"/>
              <w:bottom w:w="0" w:type="dxa"/>
              <w:right w:w="0" w:type="dxa"/>
            </w:tcMar>
            <w:vAlign w:val="center"/>
          </w:tcPr>
          <w:p w14:paraId="4280129C"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c>
          <w:tcPr>
            <w:tcW w:w="1701" w:type="dxa"/>
            <w:shd w:val="clear" w:color="auto" w:fill="FFFFFF"/>
            <w:tcMar>
              <w:top w:w="0" w:type="dxa"/>
              <w:left w:w="0" w:type="dxa"/>
              <w:bottom w:w="0" w:type="dxa"/>
              <w:right w:w="0" w:type="dxa"/>
            </w:tcMar>
            <w:vAlign w:val="center"/>
          </w:tcPr>
          <w:p w14:paraId="4280129D" w14:textId="77777777" w:rsidR="00C9593D" w:rsidRDefault="0069723F">
            <w:pPr>
              <w:keepNext/>
              <w:spacing w:before="100" w:after="100" w:line="240" w:lineRule="auto"/>
              <w:ind w:left="100" w:right="100"/>
              <w:jc w:val="center"/>
            </w:pPr>
            <w:r>
              <w:rPr>
                <w:rFonts w:eastAsia="Lato Light" w:cs="Lato Light"/>
                <w:color w:val="000000"/>
                <w:sz w:val="20"/>
                <w:szCs w:val="20"/>
              </w:rPr>
              <w:t>2 (22%)</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9E" w14:textId="77777777" w:rsidR="00C9593D" w:rsidRDefault="0069723F">
            <w:pPr>
              <w:keepNext/>
              <w:spacing w:before="100" w:after="100" w:line="240" w:lineRule="auto"/>
              <w:ind w:left="100" w:right="100"/>
              <w:jc w:val="center"/>
            </w:pPr>
            <w:r>
              <w:rPr>
                <w:rFonts w:eastAsia="Lato Light" w:cs="Lato Light"/>
                <w:color w:val="000000"/>
                <w:sz w:val="20"/>
                <w:szCs w:val="20"/>
              </w:rPr>
              <w:t>0 (0%)</w:t>
            </w:r>
          </w:p>
        </w:tc>
      </w:tr>
      <w:tr w:rsidR="00C9593D" w14:paraId="428012A5" w14:textId="77777777">
        <w:trPr>
          <w:cantSplit/>
          <w:jc w:val="center"/>
        </w:trPr>
        <w:tc>
          <w:tcPr>
            <w:tcW w:w="2835" w:type="dxa"/>
            <w:tcBorders>
              <w:left w:val="single" w:sz="20" w:space="0" w:color="60A3BC"/>
            </w:tcBorders>
            <w:shd w:val="clear" w:color="auto" w:fill="FFFFFF"/>
            <w:tcMar>
              <w:top w:w="0" w:type="dxa"/>
              <w:left w:w="0" w:type="dxa"/>
              <w:bottom w:w="0" w:type="dxa"/>
              <w:right w:w="0" w:type="dxa"/>
            </w:tcMar>
          </w:tcPr>
          <w:p w14:paraId="428012A0" w14:textId="77777777" w:rsidR="00C9593D" w:rsidRDefault="0069723F">
            <w:pPr>
              <w:keepNext/>
              <w:spacing w:before="100" w:after="100" w:line="240" w:lineRule="auto"/>
              <w:ind w:left="100" w:right="100"/>
              <w:jc w:val="left"/>
            </w:pPr>
            <w:r>
              <w:rPr>
                <w:rFonts w:eastAsia="Lato Light" w:cs="Lato Light"/>
                <w:b/>
                <w:color w:val="000000"/>
                <w:sz w:val="20"/>
                <w:szCs w:val="20"/>
              </w:rPr>
              <w:t>Changement de prénom</w:t>
            </w:r>
          </w:p>
        </w:tc>
        <w:tc>
          <w:tcPr>
            <w:tcW w:w="1701" w:type="dxa"/>
            <w:shd w:val="clear" w:color="auto" w:fill="FFFFFF"/>
            <w:tcMar>
              <w:top w:w="0" w:type="dxa"/>
              <w:left w:w="0" w:type="dxa"/>
              <w:bottom w:w="0" w:type="dxa"/>
              <w:right w:w="0" w:type="dxa"/>
            </w:tcMar>
            <w:vAlign w:val="center"/>
          </w:tcPr>
          <w:p w14:paraId="428012A1" w14:textId="77777777" w:rsidR="00C9593D" w:rsidRDefault="0069723F">
            <w:pPr>
              <w:keepNext/>
              <w:spacing w:before="100" w:after="100" w:line="240" w:lineRule="auto"/>
              <w:ind w:left="100" w:right="100"/>
              <w:jc w:val="center"/>
            </w:pPr>
            <w:r>
              <w:rPr>
                <w:rFonts w:eastAsia="Lato Light" w:cs="Lato Light"/>
                <w:b/>
                <w:color w:val="000000"/>
                <w:sz w:val="20"/>
                <w:szCs w:val="20"/>
              </w:rPr>
              <w:t>14 (54%)</w:t>
            </w:r>
          </w:p>
        </w:tc>
        <w:tc>
          <w:tcPr>
            <w:tcW w:w="1701" w:type="dxa"/>
            <w:shd w:val="clear" w:color="auto" w:fill="FFFFFF"/>
            <w:tcMar>
              <w:top w:w="0" w:type="dxa"/>
              <w:left w:w="0" w:type="dxa"/>
              <w:bottom w:w="0" w:type="dxa"/>
              <w:right w:w="0" w:type="dxa"/>
            </w:tcMar>
            <w:vAlign w:val="center"/>
          </w:tcPr>
          <w:p w14:paraId="428012A2" w14:textId="77777777" w:rsidR="00C9593D" w:rsidRDefault="0069723F">
            <w:pPr>
              <w:keepNext/>
              <w:spacing w:before="100" w:after="100" w:line="240" w:lineRule="auto"/>
              <w:ind w:left="100" w:right="100"/>
              <w:jc w:val="center"/>
            </w:pPr>
            <w:r>
              <w:rPr>
                <w:rFonts w:eastAsia="Lato Light" w:cs="Lato Light"/>
                <w:color w:val="000000"/>
                <w:sz w:val="20"/>
                <w:szCs w:val="20"/>
              </w:rPr>
              <w:t>5 (42%)</w:t>
            </w:r>
          </w:p>
        </w:tc>
        <w:tc>
          <w:tcPr>
            <w:tcW w:w="1701" w:type="dxa"/>
            <w:shd w:val="clear" w:color="auto" w:fill="FFFFFF"/>
            <w:tcMar>
              <w:top w:w="0" w:type="dxa"/>
              <w:left w:w="0" w:type="dxa"/>
              <w:bottom w:w="0" w:type="dxa"/>
              <w:right w:w="0" w:type="dxa"/>
            </w:tcMar>
            <w:vAlign w:val="center"/>
          </w:tcPr>
          <w:p w14:paraId="428012A3" w14:textId="77777777" w:rsidR="00C9593D" w:rsidRDefault="0069723F">
            <w:pPr>
              <w:keepNext/>
              <w:spacing w:before="100" w:after="100" w:line="240" w:lineRule="auto"/>
              <w:ind w:left="100" w:right="100"/>
              <w:jc w:val="center"/>
            </w:pPr>
            <w:r>
              <w:rPr>
                <w:rFonts w:eastAsia="Lato Light" w:cs="Lato Light"/>
                <w:color w:val="000000"/>
                <w:sz w:val="20"/>
                <w:szCs w:val="20"/>
              </w:rPr>
              <w:t>6 (67%)</w:t>
            </w:r>
          </w:p>
        </w:tc>
        <w:tc>
          <w:tcPr>
            <w:tcW w:w="1984" w:type="dxa"/>
            <w:tcBorders>
              <w:right w:val="single" w:sz="20" w:space="0" w:color="60A3BC"/>
            </w:tcBorders>
            <w:shd w:val="clear" w:color="auto" w:fill="FFFFFF"/>
            <w:tcMar>
              <w:top w:w="0" w:type="dxa"/>
              <w:left w:w="0" w:type="dxa"/>
              <w:bottom w:w="0" w:type="dxa"/>
              <w:right w:w="0" w:type="dxa"/>
            </w:tcMar>
            <w:vAlign w:val="center"/>
          </w:tcPr>
          <w:p w14:paraId="428012A4" w14:textId="77777777" w:rsidR="00C9593D" w:rsidRDefault="0069723F">
            <w:pPr>
              <w:keepNext/>
              <w:spacing w:before="100" w:after="100" w:line="240" w:lineRule="auto"/>
              <w:ind w:left="100" w:right="100"/>
              <w:jc w:val="center"/>
            </w:pPr>
            <w:r>
              <w:rPr>
                <w:rFonts w:eastAsia="Lato Light" w:cs="Lato Light"/>
                <w:color w:val="000000"/>
                <w:sz w:val="20"/>
                <w:szCs w:val="20"/>
              </w:rPr>
              <w:t>3 (60%)</w:t>
            </w:r>
          </w:p>
        </w:tc>
      </w:tr>
      <w:tr w:rsidR="00C9593D" w14:paraId="428012AB" w14:textId="77777777">
        <w:trPr>
          <w:cantSplit/>
          <w:jc w:val="center"/>
        </w:trPr>
        <w:tc>
          <w:tcPr>
            <w:tcW w:w="2835" w:type="dxa"/>
            <w:tcBorders>
              <w:left w:val="single" w:sz="20" w:space="0" w:color="60A3BC"/>
              <w:bottom w:val="single" w:sz="20" w:space="0" w:color="60A3BC"/>
            </w:tcBorders>
            <w:shd w:val="clear" w:color="auto" w:fill="FFFFFF"/>
            <w:tcMar>
              <w:top w:w="0" w:type="dxa"/>
              <w:left w:w="0" w:type="dxa"/>
              <w:bottom w:w="0" w:type="dxa"/>
              <w:right w:w="0" w:type="dxa"/>
            </w:tcMar>
          </w:tcPr>
          <w:p w14:paraId="428012A6" w14:textId="77777777" w:rsidR="00C9593D" w:rsidRPr="00311189" w:rsidRDefault="0069723F">
            <w:pPr>
              <w:keepNext/>
              <w:spacing w:before="100" w:after="100" w:line="240" w:lineRule="auto"/>
              <w:ind w:left="100" w:right="100"/>
              <w:jc w:val="left"/>
              <w:rPr>
                <w:lang w:val="fr-BE"/>
              </w:rPr>
            </w:pPr>
            <w:r w:rsidRPr="00311189">
              <w:rPr>
                <w:rFonts w:eastAsia="Lato Light" w:cs="Lato Light"/>
                <w:b/>
                <w:color w:val="000000"/>
                <w:sz w:val="20"/>
                <w:szCs w:val="20"/>
                <w:lang w:val="fr-BE"/>
              </w:rPr>
              <w:t>Changement de genre à l'état-civil</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28012A7" w14:textId="77777777" w:rsidR="00C9593D" w:rsidRDefault="0069723F">
            <w:pPr>
              <w:keepNext/>
              <w:spacing w:before="100" w:after="100" w:line="240" w:lineRule="auto"/>
              <w:ind w:left="100" w:right="100"/>
              <w:jc w:val="center"/>
            </w:pPr>
            <w:r>
              <w:rPr>
                <w:rFonts w:eastAsia="Lato Light" w:cs="Lato Light"/>
                <w:b/>
                <w:color w:val="000000"/>
                <w:sz w:val="20"/>
                <w:szCs w:val="20"/>
              </w:rPr>
              <w:t>9 (35%)</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28012A8" w14:textId="77777777" w:rsidR="00C9593D" w:rsidRDefault="0069723F">
            <w:pPr>
              <w:keepNext/>
              <w:spacing w:before="100" w:after="100" w:line="240" w:lineRule="auto"/>
              <w:ind w:left="100" w:right="100"/>
              <w:jc w:val="center"/>
            </w:pPr>
            <w:r>
              <w:rPr>
                <w:rFonts w:eastAsia="Lato Light" w:cs="Lato Light"/>
                <w:color w:val="000000"/>
                <w:sz w:val="20"/>
                <w:szCs w:val="20"/>
              </w:rPr>
              <w:t>5 (42%)</w:t>
            </w:r>
          </w:p>
        </w:tc>
        <w:tc>
          <w:tcPr>
            <w:tcW w:w="1701" w:type="dxa"/>
            <w:tcBorders>
              <w:bottom w:val="single" w:sz="20" w:space="0" w:color="60A3BC"/>
            </w:tcBorders>
            <w:shd w:val="clear" w:color="auto" w:fill="FFFFFF"/>
            <w:tcMar>
              <w:top w:w="0" w:type="dxa"/>
              <w:left w:w="0" w:type="dxa"/>
              <w:bottom w:w="0" w:type="dxa"/>
              <w:right w:w="0" w:type="dxa"/>
            </w:tcMar>
            <w:vAlign w:val="center"/>
          </w:tcPr>
          <w:p w14:paraId="428012A9" w14:textId="77777777" w:rsidR="00C9593D" w:rsidRDefault="0069723F">
            <w:pPr>
              <w:keepNext/>
              <w:spacing w:before="100" w:after="100" w:line="240" w:lineRule="auto"/>
              <w:ind w:left="100" w:right="100"/>
              <w:jc w:val="center"/>
            </w:pPr>
            <w:r>
              <w:rPr>
                <w:rFonts w:eastAsia="Lato Light" w:cs="Lato Light"/>
                <w:color w:val="000000"/>
                <w:sz w:val="20"/>
                <w:szCs w:val="20"/>
              </w:rPr>
              <w:t>2 (22%)</w:t>
            </w:r>
          </w:p>
        </w:tc>
        <w:tc>
          <w:tcPr>
            <w:tcW w:w="1984"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428012AA" w14:textId="77777777" w:rsidR="00C9593D" w:rsidRDefault="0069723F">
            <w:pPr>
              <w:keepNext/>
              <w:spacing w:before="100" w:after="100" w:line="240" w:lineRule="auto"/>
              <w:ind w:left="100" w:right="100"/>
              <w:jc w:val="center"/>
            </w:pPr>
            <w:r>
              <w:rPr>
                <w:rFonts w:eastAsia="Lato Light" w:cs="Lato Light"/>
                <w:color w:val="000000"/>
                <w:sz w:val="20"/>
                <w:szCs w:val="20"/>
              </w:rPr>
              <w:t>2 (40%)</w:t>
            </w:r>
          </w:p>
        </w:tc>
      </w:tr>
      <w:tr w:rsidR="00C9593D" w14:paraId="428012AD" w14:textId="77777777">
        <w:trPr>
          <w:cantSplit/>
          <w:jc w:val="center"/>
        </w:trPr>
        <w:tc>
          <w:tcPr>
            <w:tcW w:w="9922" w:type="dxa"/>
            <w:gridSpan w:val="5"/>
            <w:shd w:val="clear" w:color="auto" w:fill="FFFFFF"/>
            <w:tcMar>
              <w:top w:w="0" w:type="dxa"/>
              <w:left w:w="0" w:type="dxa"/>
              <w:bottom w:w="0" w:type="dxa"/>
              <w:right w:w="0" w:type="dxa"/>
            </w:tcMar>
            <w:vAlign w:val="center"/>
          </w:tcPr>
          <w:p w14:paraId="428012AC" w14:textId="77777777" w:rsidR="00C9593D" w:rsidRDefault="0069723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n (%)</w:t>
            </w:r>
          </w:p>
        </w:tc>
      </w:tr>
    </w:tbl>
    <w:p w14:paraId="428012AE" w14:textId="77777777" w:rsidR="00C9593D" w:rsidRPr="00311189" w:rsidRDefault="0069723F">
      <w:pPr>
        <w:pStyle w:val="Corpsdetexte"/>
        <w:rPr>
          <w:lang w:val="fr-BE"/>
        </w:rPr>
      </w:pPr>
      <w:r w:rsidRPr="00311189">
        <w:rPr>
          <w:lang w:val="fr-BE"/>
        </w:rPr>
        <w:t>Pour le reste de ce TFE, les hommes transgenres et personnes non-binaires transmasculines ont été fusionnées dans la catégorie “patient·e·s transmasculin·e·s” tandis que les femmes transgenres et les personnes non-binaires transféminines ont été réunies dans la catégorie “patient·e·s transféminin·e·s” afin d’obtenir suffisamment de cas dans chaque case.</w:t>
      </w:r>
    </w:p>
    <w:p w14:paraId="428012AF" w14:textId="77777777" w:rsidR="00C9593D" w:rsidRPr="00311189" w:rsidRDefault="0069723F">
      <w:pPr>
        <w:pStyle w:val="Titre3"/>
        <w:rPr>
          <w:lang w:val="fr-BE"/>
        </w:rPr>
      </w:pPr>
      <w:bookmarkStart w:id="24" w:name="_Toc101654118"/>
      <w:bookmarkStart w:id="25" w:name="problèmes-de-santé"/>
      <w:bookmarkEnd w:id="21"/>
      <w:r w:rsidRPr="00311189">
        <w:rPr>
          <w:lang w:val="fr-BE"/>
        </w:rPr>
        <w:lastRenderedPageBreak/>
        <w:t>Problèmes de santé</w:t>
      </w:r>
      <w:bookmarkEnd w:id="24"/>
    </w:p>
    <w:p w14:paraId="428012B0" w14:textId="77777777" w:rsidR="00C9593D" w:rsidRPr="00311189" w:rsidRDefault="0069723F">
      <w:pPr>
        <w:pStyle w:val="FirstParagraph"/>
        <w:rPr>
          <w:lang w:val="fr-BE"/>
        </w:rPr>
      </w:pPr>
      <w:r w:rsidRPr="00311189">
        <w:rPr>
          <w:lang w:val="fr-BE"/>
        </w:rPr>
        <w:t>Les problèmes de santé les plus représentés dans l’échantillon étaient des problèmes de santé mentale, avec 7 patient·e·s présentant un trouble dépressif majeur (soit 27% de l’échantillon), 1 patient présentant un trouble anxieux et 1 patient·e présentant un mésusage d’alcool. Les autres problèmes de santé retrouvés dans l’échantillon n’étaient présents qu’une fois : anémie ferriprive, asthme, BPCO, eczéma, syndrome de Fanconi, syndrome des ovaires micropolykystiques, rhinite chronique, et thrombophilie. En outre, 2 patient·e·s se situaient sur le spectre autistique.</w:t>
      </w:r>
    </w:p>
    <w:p w14:paraId="428012B1" w14:textId="77777777" w:rsidR="00C9593D" w:rsidRPr="00311189" w:rsidRDefault="0069723F">
      <w:pPr>
        <w:pStyle w:val="Titre3"/>
        <w:rPr>
          <w:lang w:val="fr-BE"/>
        </w:rPr>
      </w:pPr>
      <w:bookmarkStart w:id="26" w:name="_Toc101654119"/>
      <w:bookmarkStart w:id="27" w:name="durée-du-suivi"/>
      <w:bookmarkEnd w:id="25"/>
      <w:r w:rsidRPr="00311189">
        <w:rPr>
          <w:lang w:val="fr-BE"/>
        </w:rPr>
        <w:t>Durée du suivi</w:t>
      </w:r>
      <w:bookmarkEnd w:id="26"/>
    </w:p>
    <w:p w14:paraId="428012B2" w14:textId="2E7BD9DA" w:rsidR="00C9593D" w:rsidRPr="00311189" w:rsidRDefault="0069723F">
      <w:pPr>
        <w:pStyle w:val="FirstParagraph"/>
        <w:rPr>
          <w:lang w:val="fr-BE"/>
        </w:rPr>
      </w:pPr>
      <w:r w:rsidRPr="00311189">
        <w:rPr>
          <w:lang w:val="fr-BE"/>
        </w:rPr>
        <w:t xml:space="preserve">Les participants·e·s de l’étude ont été suivis entre 91 et 469 jours avec une durée médiane de 178 jours. 7 patient·e·s ont été suivi·e·s durant trois mois, 10 patient·e·s, durant six mois 4, durant neuf mois, et 5, durant douze mois ou plus. Un·e seul·e patient·e a été perdu·e de vue, suite à sa décision d’interrompre le THAG. La figure </w:t>
      </w:r>
      <w:hyperlink w:anchor="FollowPlot">
        <w:r>
          <w:fldChar w:fldCharType="begin"/>
        </w:r>
        <w:r w:rsidRPr="00311189">
          <w:rPr>
            <w:lang w:val="fr-BE"/>
          </w:rPr>
          <w:instrText xml:space="preserve"> REF FollowPlot \h</w:instrText>
        </w:r>
        <w:r>
          <w:fldChar w:fldCharType="separate"/>
        </w:r>
        <w:r w:rsidR="00862518" w:rsidRPr="00311189">
          <w:rPr>
            <w:b/>
            <w:noProof/>
            <w:lang w:val="fr-BE"/>
          </w:rPr>
          <w:t>2</w:t>
        </w:r>
        <w:r>
          <w:fldChar w:fldCharType="end"/>
        </w:r>
      </w:hyperlink>
      <w:r w:rsidRPr="00311189">
        <w:rPr>
          <w:lang w:val="fr-BE"/>
        </w:rPr>
        <w:t xml:space="preserve"> représente la durée du suivi, par genres. Dans le reste du texte, la première consultation sera abréviée T0 et chaque consultation suivante sera abréviée de T1 à T4 selon le trimestre en question.</w:t>
      </w:r>
    </w:p>
    <w:p w14:paraId="428012B3" w14:textId="77777777" w:rsidR="00C9593D" w:rsidRDefault="0069723F">
      <w:pPr>
        <w:pStyle w:val="Figure"/>
        <w:jc w:val="center"/>
      </w:pPr>
      <w:r>
        <w:rPr>
          <w:noProof/>
        </w:rPr>
        <w:drawing>
          <wp:inline distT="0" distB="0" distL="0" distR="0" wp14:anchorId="42801441" wp14:editId="42801442">
            <wp:extent cx="612648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85090" cy="50800"/>
                    </a:xfrm>
                    <a:prstGeom prst="rect">
                      <a:avLst/>
                    </a:prstGeom>
                    <a:noFill/>
                  </pic:spPr>
                </pic:pic>
              </a:graphicData>
            </a:graphic>
          </wp:inline>
        </w:drawing>
      </w:r>
    </w:p>
    <w:p w14:paraId="428012B4" w14:textId="778ED10D" w:rsidR="00C9593D" w:rsidRPr="00311189" w:rsidRDefault="0069723F">
      <w:pPr>
        <w:pStyle w:val="Lgende"/>
        <w:rPr>
          <w:lang w:val="fr-BE"/>
        </w:rPr>
      </w:pPr>
      <w:bookmarkStart w:id="28" w:name="_Toc101654144"/>
      <w:r w:rsidRPr="00311189">
        <w:rPr>
          <w:b/>
          <w:lang w:val="fr-BE"/>
        </w:rPr>
        <w:t xml:space="preserve">Figure </w:t>
      </w:r>
      <w:bookmarkStart w:id="29" w:name="FollowPlot"/>
      <w:r>
        <w:rPr>
          <w:b/>
        </w:rPr>
        <w:fldChar w:fldCharType="begin"/>
      </w:r>
      <w:r w:rsidRPr="00311189">
        <w:rPr>
          <w:b/>
          <w:lang w:val="fr-BE"/>
        </w:rPr>
        <w:instrText>SEQ fig \* Arabic</w:instrText>
      </w:r>
      <w:r>
        <w:rPr>
          <w:b/>
        </w:rPr>
        <w:fldChar w:fldCharType="separate"/>
      </w:r>
      <w:r w:rsidR="00862518" w:rsidRPr="00311189">
        <w:rPr>
          <w:b/>
          <w:noProof/>
          <w:lang w:val="fr-BE"/>
        </w:rPr>
        <w:t>2</w:t>
      </w:r>
      <w:r>
        <w:rPr>
          <w:b/>
        </w:rPr>
        <w:fldChar w:fldCharType="end"/>
      </w:r>
      <w:bookmarkEnd w:id="29"/>
      <w:r w:rsidRPr="00311189">
        <w:rPr>
          <w:lang w:val="fr-BE"/>
        </w:rPr>
        <w:t>: Nombre de patient·e·s par consultation trimestrielle et par genres</w:t>
      </w:r>
      <w:bookmarkEnd w:id="28"/>
    </w:p>
    <w:p w14:paraId="428012B5" w14:textId="77777777" w:rsidR="00C9593D" w:rsidRPr="00311189" w:rsidRDefault="0069723F">
      <w:pPr>
        <w:pStyle w:val="Titre2"/>
        <w:rPr>
          <w:lang w:val="fr-BE"/>
        </w:rPr>
      </w:pPr>
      <w:bookmarkStart w:id="30" w:name="_Toc101654120"/>
      <w:bookmarkStart w:id="31" w:name="synthèse-des-anamnèses"/>
      <w:bookmarkEnd w:id="15"/>
      <w:bookmarkEnd w:id="27"/>
      <w:r w:rsidRPr="00311189">
        <w:rPr>
          <w:lang w:val="fr-BE"/>
        </w:rPr>
        <w:lastRenderedPageBreak/>
        <w:t>Synthèse des anamnèses</w:t>
      </w:r>
      <w:bookmarkEnd w:id="30"/>
    </w:p>
    <w:p w14:paraId="428012B6" w14:textId="77777777" w:rsidR="00C9593D" w:rsidRPr="00311189" w:rsidRDefault="0069723F">
      <w:pPr>
        <w:pStyle w:val="Titre3"/>
        <w:rPr>
          <w:lang w:val="fr-BE"/>
        </w:rPr>
      </w:pPr>
      <w:bookmarkStart w:id="32" w:name="_Toc101654121"/>
      <w:bookmarkStart w:id="33" w:name="contexte-social"/>
      <w:r w:rsidRPr="00311189">
        <w:rPr>
          <w:lang w:val="fr-BE"/>
        </w:rPr>
        <w:t>Contexte social</w:t>
      </w:r>
      <w:bookmarkEnd w:id="32"/>
    </w:p>
    <w:p w14:paraId="428012B7" w14:textId="0FC969AB" w:rsidR="00C9593D" w:rsidRPr="00311189" w:rsidRDefault="0069723F">
      <w:pPr>
        <w:pStyle w:val="FirstParagraph"/>
        <w:rPr>
          <w:lang w:val="fr-BE"/>
        </w:rPr>
      </w:pPr>
      <w:r w:rsidRPr="00311189">
        <w:rPr>
          <w:lang w:val="fr-BE"/>
        </w:rPr>
        <w:t xml:space="preserve">Une des questions que je pose à l’anamnèse de la première consultation est de savoir si un </w:t>
      </w:r>
      <w:r w:rsidRPr="00311189">
        <w:rPr>
          <w:i/>
          <w:iCs/>
          <w:lang w:val="fr-BE"/>
        </w:rPr>
        <w:t>coming out</w:t>
      </w:r>
      <w:r w:rsidRPr="00311189">
        <w:rPr>
          <w:lang w:val="fr-BE"/>
        </w:rPr>
        <w:t xml:space="preserve"> a été fait et, si oui, auprès de quelles personnes et avec quelles réactions. L’objectif de cette question est d’évaluer le degré de soutien social dans le processus de transition. La figure </w:t>
      </w:r>
      <w:hyperlink w:anchor="FamPlot">
        <w:r>
          <w:fldChar w:fldCharType="begin"/>
        </w:r>
        <w:r w:rsidRPr="00311189">
          <w:rPr>
            <w:lang w:val="fr-BE"/>
          </w:rPr>
          <w:instrText xml:space="preserve"> REF FamPlot \h</w:instrText>
        </w:r>
        <w:r>
          <w:fldChar w:fldCharType="separate"/>
        </w:r>
        <w:r w:rsidR="00862518" w:rsidRPr="00311189">
          <w:rPr>
            <w:b/>
            <w:noProof/>
            <w:lang w:val="fr-BE"/>
          </w:rPr>
          <w:t>3</w:t>
        </w:r>
        <w:r>
          <w:fldChar w:fldCharType="end"/>
        </w:r>
      </w:hyperlink>
      <w:r w:rsidRPr="00311189">
        <w:rPr>
          <w:lang w:val="fr-BE"/>
        </w:rPr>
        <w:t xml:space="preserve"> montre une représentation graphique du coming out familial des patient·e·s de l’échantillon. Les patient·s· transmasculin·e·s de l’échantillon avaient tous au moins fait leur coming out à leurs deux parents tandis que 5 patient·e·s transféminin·e·s sur 13 n’avaient fait leur coming out qu’à une partie de leur famille, voire à personne pour l’une d’entre elles. A noter que l’information étaient absente du dossier pour 3 patient·e·s transmasculin·e·s.</w:t>
      </w:r>
    </w:p>
    <w:p w14:paraId="428012B8" w14:textId="77777777" w:rsidR="00C9593D" w:rsidRPr="00311189" w:rsidRDefault="0069723F">
      <w:pPr>
        <w:pStyle w:val="Corpsdetexte"/>
        <w:rPr>
          <w:lang w:val="fr-BE"/>
        </w:rPr>
      </w:pPr>
      <w:r w:rsidRPr="00311189">
        <w:rPr>
          <w:lang w:val="fr-BE"/>
        </w:rPr>
        <w:t>Parmi les patient·e·s ayant fait un coming out à leur famille, 29% ont vécu quelques difficultés dans les relations familiales par la suite dont 10% qui ont dû faire face à une réaction négative voire hostile.</w:t>
      </w:r>
    </w:p>
    <w:p w14:paraId="428012B9" w14:textId="77777777" w:rsidR="00C9593D" w:rsidRDefault="0069723F">
      <w:pPr>
        <w:pStyle w:val="Figure"/>
        <w:jc w:val="center"/>
      </w:pPr>
      <w:r>
        <w:rPr>
          <w:noProof/>
        </w:rPr>
        <w:drawing>
          <wp:inline distT="0" distB="0" distL="0" distR="0" wp14:anchorId="42801443" wp14:editId="42801444">
            <wp:extent cx="6126480" cy="3657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5090" cy="50800"/>
                    </a:xfrm>
                    <a:prstGeom prst="rect">
                      <a:avLst/>
                    </a:prstGeom>
                    <a:noFill/>
                  </pic:spPr>
                </pic:pic>
              </a:graphicData>
            </a:graphic>
          </wp:inline>
        </w:drawing>
      </w:r>
    </w:p>
    <w:p w14:paraId="428012BA" w14:textId="4982AB47" w:rsidR="00C9593D" w:rsidRPr="00311189" w:rsidRDefault="0069723F">
      <w:pPr>
        <w:pStyle w:val="Lgende"/>
        <w:rPr>
          <w:lang w:val="fr-BE"/>
        </w:rPr>
      </w:pPr>
      <w:bookmarkStart w:id="34" w:name="_Toc101654145"/>
      <w:r w:rsidRPr="00311189">
        <w:rPr>
          <w:b/>
          <w:lang w:val="fr-BE"/>
        </w:rPr>
        <w:t xml:space="preserve">Figure </w:t>
      </w:r>
      <w:bookmarkStart w:id="35" w:name="FamPlot"/>
      <w:r>
        <w:rPr>
          <w:b/>
        </w:rPr>
        <w:fldChar w:fldCharType="begin"/>
      </w:r>
      <w:r w:rsidRPr="00311189">
        <w:rPr>
          <w:b/>
          <w:lang w:val="fr-BE"/>
        </w:rPr>
        <w:instrText>SEQ fig \* Arabic</w:instrText>
      </w:r>
      <w:r>
        <w:rPr>
          <w:b/>
        </w:rPr>
        <w:fldChar w:fldCharType="separate"/>
      </w:r>
      <w:r w:rsidR="00862518" w:rsidRPr="00311189">
        <w:rPr>
          <w:b/>
          <w:noProof/>
          <w:lang w:val="fr-BE"/>
        </w:rPr>
        <w:t>3</w:t>
      </w:r>
      <w:r>
        <w:rPr>
          <w:b/>
        </w:rPr>
        <w:fldChar w:fldCharType="end"/>
      </w:r>
      <w:bookmarkEnd w:id="35"/>
      <w:r w:rsidRPr="00311189">
        <w:rPr>
          <w:lang w:val="fr-BE"/>
        </w:rPr>
        <w:t>: Membres de la famille auxquel·le·s les participant·e·s ont annoncé leur transidentité, par genres</w:t>
      </w:r>
      <w:bookmarkEnd w:id="34"/>
    </w:p>
    <w:p w14:paraId="428012BB" w14:textId="37D6C193" w:rsidR="00C9593D" w:rsidRPr="00311189" w:rsidRDefault="0069723F">
      <w:pPr>
        <w:pStyle w:val="Corpsdetexte"/>
        <w:rPr>
          <w:lang w:val="fr-BE"/>
        </w:rPr>
      </w:pPr>
      <w:r w:rsidRPr="00311189">
        <w:rPr>
          <w:lang w:val="fr-BE"/>
        </w:rPr>
        <w:lastRenderedPageBreak/>
        <w:t xml:space="preserve">Au niveau amical, la figure </w:t>
      </w:r>
      <w:hyperlink w:anchor="AmisPlot">
        <w:r>
          <w:fldChar w:fldCharType="begin"/>
        </w:r>
        <w:r w:rsidRPr="00311189">
          <w:rPr>
            <w:lang w:val="fr-BE"/>
          </w:rPr>
          <w:instrText xml:space="preserve"> REF AmisPlot \h</w:instrText>
        </w:r>
        <w:r>
          <w:fldChar w:fldCharType="separate"/>
        </w:r>
        <w:r w:rsidR="00862518" w:rsidRPr="00311189">
          <w:rPr>
            <w:b/>
            <w:noProof/>
            <w:lang w:val="fr-BE"/>
          </w:rPr>
          <w:t>4</w:t>
        </w:r>
        <w:r>
          <w:fldChar w:fldCharType="end"/>
        </w:r>
      </w:hyperlink>
      <w:r w:rsidRPr="00311189">
        <w:rPr>
          <w:lang w:val="fr-BE"/>
        </w:rPr>
        <w:t xml:space="preserve"> montre un pattern similaire à ce qui a été décrit pour le </w:t>
      </w:r>
      <w:r w:rsidRPr="00311189">
        <w:rPr>
          <w:i/>
          <w:iCs/>
          <w:lang w:val="fr-BE"/>
        </w:rPr>
        <w:t>coming out</w:t>
      </w:r>
      <w:r w:rsidRPr="00311189">
        <w:rPr>
          <w:lang w:val="fr-BE"/>
        </w:rPr>
        <w:t xml:space="preserve"> familial avec une moins grande tendance des personnes transféminines à révéler leur transidentité à leurs proches. Ces résultats doivent toutefois être interprétés prudemment dans la mesure où il manque des données pour 9 participant·e·s (5 personnes transféminines et 4 personnes transmasculines). Toutefois, puisque les valeurs manquantes ne touchaient pas disproportionnent un groupe et que les résultats étaient cohérents avec ceux de la figure </w:t>
      </w:r>
      <w:hyperlink w:anchor="FamPlot">
        <w:r>
          <w:fldChar w:fldCharType="begin"/>
        </w:r>
        <w:r w:rsidRPr="00311189">
          <w:rPr>
            <w:lang w:val="fr-BE"/>
          </w:rPr>
          <w:instrText xml:space="preserve"> REF FamPlot \h</w:instrText>
        </w:r>
        <w:r>
          <w:fldChar w:fldCharType="separate"/>
        </w:r>
        <w:r w:rsidR="00862518" w:rsidRPr="00311189">
          <w:rPr>
            <w:b/>
            <w:noProof/>
            <w:lang w:val="fr-BE"/>
          </w:rPr>
          <w:t>3</w:t>
        </w:r>
        <w:r>
          <w:fldChar w:fldCharType="end"/>
        </w:r>
      </w:hyperlink>
      <w:r w:rsidRPr="00311189">
        <w:rPr>
          <w:lang w:val="fr-BE"/>
        </w:rPr>
        <w:t>, j’ai choisi de présenter ce graphique. En ce qui concerne la réaction des ami·e·s, celle-ci a été positive pour la totalité de l’échantillon.</w:t>
      </w:r>
    </w:p>
    <w:p w14:paraId="428012BC" w14:textId="77777777" w:rsidR="00C9593D" w:rsidRDefault="0069723F">
      <w:pPr>
        <w:pStyle w:val="Figure"/>
        <w:jc w:val="center"/>
      </w:pPr>
      <w:r>
        <w:rPr>
          <w:noProof/>
        </w:rPr>
        <w:drawing>
          <wp:inline distT="0" distB="0" distL="0" distR="0" wp14:anchorId="42801445" wp14:editId="42801446">
            <wp:extent cx="6126480" cy="3657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85090" cy="50800"/>
                    </a:xfrm>
                    <a:prstGeom prst="rect">
                      <a:avLst/>
                    </a:prstGeom>
                    <a:noFill/>
                  </pic:spPr>
                </pic:pic>
              </a:graphicData>
            </a:graphic>
          </wp:inline>
        </w:drawing>
      </w:r>
    </w:p>
    <w:p w14:paraId="428012BD" w14:textId="70143417" w:rsidR="00C9593D" w:rsidRPr="00311189" w:rsidRDefault="0069723F">
      <w:pPr>
        <w:pStyle w:val="Lgende"/>
        <w:rPr>
          <w:lang w:val="fr-BE"/>
        </w:rPr>
      </w:pPr>
      <w:bookmarkStart w:id="36" w:name="_Toc101654146"/>
      <w:r w:rsidRPr="00311189">
        <w:rPr>
          <w:b/>
          <w:lang w:val="fr-BE"/>
        </w:rPr>
        <w:t xml:space="preserve">Figure </w:t>
      </w:r>
      <w:bookmarkStart w:id="37" w:name="AmisPlot"/>
      <w:r>
        <w:rPr>
          <w:b/>
        </w:rPr>
        <w:fldChar w:fldCharType="begin"/>
      </w:r>
      <w:r w:rsidRPr="00311189">
        <w:rPr>
          <w:b/>
          <w:lang w:val="fr-BE"/>
        </w:rPr>
        <w:instrText>SEQ fig \* Arabic</w:instrText>
      </w:r>
      <w:r>
        <w:rPr>
          <w:b/>
        </w:rPr>
        <w:fldChar w:fldCharType="separate"/>
      </w:r>
      <w:r w:rsidR="00862518" w:rsidRPr="00311189">
        <w:rPr>
          <w:b/>
          <w:noProof/>
          <w:lang w:val="fr-BE"/>
        </w:rPr>
        <w:t>4</w:t>
      </w:r>
      <w:r>
        <w:rPr>
          <w:b/>
        </w:rPr>
        <w:fldChar w:fldCharType="end"/>
      </w:r>
      <w:bookmarkEnd w:id="37"/>
      <w:r w:rsidRPr="00311189">
        <w:rPr>
          <w:lang w:val="fr-BE"/>
        </w:rPr>
        <w:t>: Ami·e·s auxquel·le·s les participant·e·s ont annoncé leur transidentité, par genres</w:t>
      </w:r>
      <w:bookmarkEnd w:id="36"/>
    </w:p>
    <w:p w14:paraId="428012BE" w14:textId="77777777" w:rsidR="00C9593D" w:rsidRPr="00311189" w:rsidRDefault="0069723F">
      <w:pPr>
        <w:pStyle w:val="Titre3"/>
        <w:rPr>
          <w:lang w:val="fr-BE"/>
        </w:rPr>
      </w:pPr>
      <w:bookmarkStart w:id="38" w:name="_Toc101654122"/>
      <w:bookmarkStart w:id="39" w:name="attentes-vis-à-vis-du-thag"/>
      <w:bookmarkEnd w:id="33"/>
      <w:r w:rsidRPr="00311189">
        <w:rPr>
          <w:lang w:val="fr-BE"/>
        </w:rPr>
        <w:t>Attentes vis-à-vis du THAG</w:t>
      </w:r>
      <w:bookmarkEnd w:id="38"/>
    </w:p>
    <w:p w14:paraId="428012BF" w14:textId="77777777" w:rsidR="00C9593D" w:rsidRPr="00311189" w:rsidRDefault="0069723F">
      <w:pPr>
        <w:pStyle w:val="FirstParagraph"/>
        <w:rPr>
          <w:lang w:val="fr-BE"/>
        </w:rPr>
      </w:pPr>
      <w:r w:rsidRPr="00311189">
        <w:rPr>
          <w:lang w:val="fr-BE"/>
        </w:rPr>
        <w:t>Afin de mieux cerner les attentes des patient·e·s et de leur proposer un traitement le plus adapté à ces dernières, je leur demande ensuite s’iels connaissent les effets du THAG et, si oui, s’iels identifient des effets particulièrement importants pour leur point de confort actuel.</w:t>
      </w:r>
    </w:p>
    <w:p w14:paraId="428012C0" w14:textId="77777777" w:rsidR="00C9593D" w:rsidRPr="00311189" w:rsidRDefault="0069723F">
      <w:pPr>
        <w:pStyle w:val="Corpsdetexte"/>
        <w:rPr>
          <w:lang w:val="fr-BE"/>
        </w:rPr>
      </w:pPr>
      <w:r w:rsidRPr="00311189">
        <w:rPr>
          <w:lang w:val="fr-BE"/>
        </w:rPr>
        <w:t xml:space="preserve">Pour les personnes transféminines, les effets les plus souvent mentionnés comme prioritaires étaient : une majoration de la poitrine (69% des patient·e·s), une répartition plus féminine des graisses (46%), une diminution de la pilosité (46%), et un arrêt de la progression de l’alopécie androgénique (23%). Un·e patient·e avait mentionné l’adoucissement de la peau tandis </w:t>
      </w:r>
      <w:r w:rsidRPr="00311189">
        <w:rPr>
          <w:lang w:val="fr-BE"/>
        </w:rPr>
        <w:lastRenderedPageBreak/>
        <w:t>qu’aucun·e patient·e n’avait explicitement évoqué la diminution des érections spontanées ou la diminution de la masse musculaire comme étant une priorité.</w:t>
      </w:r>
    </w:p>
    <w:p w14:paraId="428012C1" w14:textId="77777777" w:rsidR="00C9593D" w:rsidRPr="00311189" w:rsidRDefault="0069723F">
      <w:pPr>
        <w:pStyle w:val="Corpsdetexte"/>
        <w:rPr>
          <w:lang w:val="fr-BE"/>
        </w:rPr>
      </w:pPr>
      <w:r w:rsidRPr="00311189">
        <w:rPr>
          <w:lang w:val="fr-BE"/>
        </w:rPr>
        <w:t>Pour les personnes transmasculines, l’aggravation de la voix était l’effet le plus souvent recherché. Il s’agissait d’une priorité pour 92% des patient·e·s. Une répartition plus masculine des graisses et une majoration de la musculature étaient une priorité pour 46% des patient·e·s. 23% des patient·e·s considéraient la majoration de leur pilosité comme une priorité tandis qu’un·e des patient·e·s avait mentionné l’accroissement du dickclit. Aucun·e n’avait cité l’aménorrhée comme étant sa priorité à l’initiation du THAG.</w:t>
      </w:r>
    </w:p>
    <w:p w14:paraId="428012C2" w14:textId="77777777" w:rsidR="00C9593D" w:rsidRPr="00311189" w:rsidRDefault="0069723F">
      <w:pPr>
        <w:pStyle w:val="Corpsdetexte"/>
        <w:rPr>
          <w:lang w:val="fr-BE"/>
        </w:rPr>
      </w:pPr>
      <w:r w:rsidRPr="00311189">
        <w:rPr>
          <w:lang w:val="fr-BE"/>
        </w:rPr>
        <w:t>Au niveau des inquiétudes vis-à-vis de l’instauration du THAG, deux patient·e·s ont mentionné l’alopécie, un·e patient·e a évoqué l’acné, et un·e patient·e avait peur d’avoir une humeur plus instable à l’instauration du traitement.</w:t>
      </w:r>
    </w:p>
    <w:p w14:paraId="428012C3" w14:textId="77777777" w:rsidR="00C9593D" w:rsidRPr="00311189" w:rsidRDefault="0069723F">
      <w:pPr>
        <w:pStyle w:val="Corpsdetexte"/>
        <w:rPr>
          <w:lang w:val="fr-BE"/>
        </w:rPr>
      </w:pPr>
      <w:r w:rsidRPr="00311189">
        <w:rPr>
          <w:lang w:val="fr-BE"/>
        </w:rPr>
        <w:t>Vu les impacts du THAG sur la fertilité mentionnés dans l’introduction, je demande aux patient·e·s s’iels sont intéressé·e·s par la cryopréservation de leurs gamètes avant d’instaurer le THAG. Aucun patient transmasculin de l’échantillon n’a choisi de congeler ses gamètes avant THAG tandis que 5 patient·e·s transféminin·e·s ont préféré entamer les démarches de cryopréservation avant de commencer le THAG.</w:t>
      </w:r>
    </w:p>
    <w:p w14:paraId="428012C4" w14:textId="77777777" w:rsidR="00C9593D" w:rsidRPr="00311189" w:rsidRDefault="0069723F">
      <w:pPr>
        <w:pStyle w:val="Titre3"/>
        <w:rPr>
          <w:lang w:val="fr-BE"/>
        </w:rPr>
      </w:pPr>
      <w:bookmarkStart w:id="40" w:name="_Toc101654123"/>
      <w:bookmarkStart w:id="41" w:name="besoins-chirurgicaux"/>
      <w:bookmarkEnd w:id="39"/>
      <w:r w:rsidRPr="00311189">
        <w:rPr>
          <w:lang w:val="fr-BE"/>
        </w:rPr>
        <w:t>Besoins chirurgicaux</w:t>
      </w:r>
      <w:bookmarkEnd w:id="40"/>
    </w:p>
    <w:p w14:paraId="428012C5" w14:textId="77777777" w:rsidR="00C9593D" w:rsidRPr="00311189" w:rsidRDefault="0069723F">
      <w:pPr>
        <w:pStyle w:val="FirstParagraph"/>
        <w:rPr>
          <w:lang w:val="fr-BE"/>
        </w:rPr>
      </w:pPr>
      <w:r w:rsidRPr="00311189">
        <w:rPr>
          <w:lang w:val="fr-BE"/>
        </w:rPr>
        <w:t>Toujours dans l’optique d’appréhender au mieux le point de confort des patient·e·s, l’anamnèse de la première consultation recouvre aussi des questions inhérentes aux besoins en termes d’intervention chirurgicale.</w:t>
      </w:r>
    </w:p>
    <w:p w14:paraId="428012C6" w14:textId="77777777" w:rsidR="00C9593D" w:rsidRPr="00311189" w:rsidRDefault="0069723F">
      <w:pPr>
        <w:pStyle w:val="Corpsdetexte"/>
        <w:rPr>
          <w:lang w:val="fr-BE"/>
        </w:rPr>
      </w:pPr>
      <w:r w:rsidRPr="00311189">
        <w:rPr>
          <w:lang w:val="fr-BE"/>
        </w:rPr>
        <w:t>Pour les patient·e·s transféminin·e·s, la chirurgie la plus souvent identifiée comme nécessaire était la vaginoplastie (42% des patient·e·s), suivie par les FFS (25%). Une patiente avait mentionné l’augmentation mammaire et aucun·e n’avait considéré les chirurgies vocales. En plus des patient·e·s ayant déjà une idée précise des chirurgies qui leur semblent nécessaires, 2 patient·e·s hésitaient sur la FFS et une, sur la vaginoplastie. Dans l’ensemble, en ne comptant pas les patient·e·s qui hésitaient, 4 patient·e·s n’envisageaient aucune chirurgie, 7 patient·e·s en envisageaient une et 1 en envisageait deux.</w:t>
      </w:r>
    </w:p>
    <w:p w14:paraId="428012C7" w14:textId="77777777" w:rsidR="00C9593D" w:rsidRPr="00311189" w:rsidRDefault="0069723F">
      <w:pPr>
        <w:pStyle w:val="Corpsdetexte"/>
        <w:rPr>
          <w:lang w:val="fr-BE"/>
        </w:rPr>
      </w:pPr>
      <w:r w:rsidRPr="00311189">
        <w:rPr>
          <w:lang w:val="fr-BE"/>
        </w:rPr>
        <w:t xml:space="preserve">La torsoplastie était considérée comme nécessaire par 83% des patient·e·s transmasculin·e·s tandis que les 17% restant·e·s y réfléchissaient encore lors de la première consultation. L’hystérectomie était envisagée par 17% des patient·e·s. Aucun·e patient·e n’envisageait de </w:t>
      </w:r>
      <w:r w:rsidRPr="00311189">
        <w:rPr>
          <w:lang w:val="fr-BE"/>
        </w:rPr>
        <w:lastRenderedPageBreak/>
        <w:t>chirurgie génitale. Dans l’ensemble, en ne prenant en compte que les patient·e·s qui étaient sûrs de leur choix, 2 patient·e·s n’envisageaient aucune chirurgie, 8 en envisageaient une, et 2 en envisageaient deux.</w:t>
      </w:r>
    </w:p>
    <w:p w14:paraId="428012C8" w14:textId="77777777" w:rsidR="00C9593D" w:rsidRPr="00311189" w:rsidRDefault="0069723F">
      <w:pPr>
        <w:pStyle w:val="Corpsdetexte"/>
        <w:rPr>
          <w:lang w:val="fr-BE"/>
        </w:rPr>
      </w:pPr>
      <w:r w:rsidRPr="00311189">
        <w:rPr>
          <w:lang w:val="fr-BE"/>
        </w:rPr>
        <w:t>A la rédaction de ce TFE, aucune patiente transféminine n’avait réalisé de chirurgie. Dans le même temps, 2 patient·e·s transmasculin·e·s ont bénéficié d’une torsoplastie après l’initiation du THAG tandis que 2 patient·e·s avaient réalisé leur torsoplastie avant la première consultation. Enfin, 1 patient·e a réalisé une hystérectomie afin de se rapprocher de son point de confort.</w:t>
      </w:r>
    </w:p>
    <w:p w14:paraId="428012C9" w14:textId="77777777" w:rsidR="00C9593D" w:rsidRPr="00311189" w:rsidRDefault="0069723F">
      <w:pPr>
        <w:pStyle w:val="Titre2"/>
        <w:rPr>
          <w:lang w:val="fr-BE"/>
        </w:rPr>
      </w:pPr>
      <w:bookmarkStart w:id="42" w:name="_Toc101654124"/>
      <w:bookmarkStart w:id="43" w:name="évolution-lors-du-suivi"/>
      <w:bookmarkEnd w:id="31"/>
      <w:bookmarkEnd w:id="41"/>
      <w:r w:rsidRPr="00311189">
        <w:rPr>
          <w:lang w:val="fr-BE"/>
        </w:rPr>
        <w:t>Évolution lors du suivi</w:t>
      </w:r>
      <w:bookmarkEnd w:id="42"/>
    </w:p>
    <w:p w14:paraId="428012CA" w14:textId="77777777" w:rsidR="00C9593D" w:rsidRPr="00311189" w:rsidRDefault="0069723F">
      <w:pPr>
        <w:pStyle w:val="Titre3"/>
        <w:rPr>
          <w:lang w:val="fr-BE"/>
        </w:rPr>
      </w:pPr>
      <w:bookmarkStart w:id="44" w:name="_Toc101654125"/>
      <w:bookmarkStart w:id="45" w:name="patientes-transféminines"/>
      <w:r w:rsidRPr="00311189">
        <w:rPr>
          <w:lang w:val="fr-BE"/>
        </w:rPr>
        <w:t>Patient·e·s transféminin·e·s</w:t>
      </w:r>
      <w:bookmarkEnd w:id="44"/>
    </w:p>
    <w:p w14:paraId="428012CB" w14:textId="77777777" w:rsidR="00C9593D" w:rsidRPr="00311189" w:rsidRDefault="0069723F">
      <w:pPr>
        <w:pStyle w:val="Titre4"/>
        <w:rPr>
          <w:lang w:val="fr-BE"/>
        </w:rPr>
      </w:pPr>
      <w:bookmarkStart w:id="46" w:name="choix-du-traitement"/>
      <w:r w:rsidRPr="00311189">
        <w:rPr>
          <w:lang w:val="fr-BE"/>
        </w:rPr>
        <w:t>Choix du traitement</w:t>
      </w:r>
    </w:p>
    <w:p w14:paraId="428012CC" w14:textId="7B2AD741" w:rsidR="00C9593D" w:rsidRPr="00311189" w:rsidRDefault="0069723F">
      <w:pPr>
        <w:pStyle w:val="FirstParagraph"/>
        <w:rPr>
          <w:lang w:val="fr-BE"/>
        </w:rPr>
      </w:pPr>
      <w:r w:rsidRPr="00311189">
        <w:rPr>
          <w:lang w:val="fr-BE"/>
        </w:rPr>
        <w:t xml:space="preserve">Comme développé dans l’introduction, l’usage et le choix d’un antiandrogène chez les personnes transféminines demeure controversé. De ce fait, il s’agissait d’une décision partagée prenant en compte l’importance que les patient·e·s accordaient à certains effets du traitement, le coût des molécules, le besoin psychologique d’avoir une testostéronémie dans les valeurs classiques des femmes cisgenres, ainsi que les appréhensions vis-à-vis de l’usage d’un antiandrogène. Le traitement été ensuite réévalué au fil des consultations, en prenant en compte les éléments sus-cités ainsi que les résultats de la prise de sang. Afin de visualiser la répartition des traitements ainsi que les changements successifs au fil des consultations, un diagramme de Sankey a été réalisé (figure </w:t>
      </w:r>
      <w:hyperlink w:anchor="SankeyPlot">
        <w:r>
          <w:fldChar w:fldCharType="begin"/>
        </w:r>
        <w:r w:rsidRPr="00311189">
          <w:rPr>
            <w:lang w:val="fr-BE"/>
          </w:rPr>
          <w:instrText xml:space="preserve"> REF SankeyPlot \h</w:instrText>
        </w:r>
        <w:r>
          <w:fldChar w:fldCharType="separate"/>
        </w:r>
        <w:r w:rsidR="00862518" w:rsidRPr="00311189">
          <w:rPr>
            <w:b/>
            <w:noProof/>
            <w:lang w:val="fr-BE"/>
          </w:rPr>
          <w:t>5</w:t>
        </w:r>
        <w:r>
          <w:fldChar w:fldCharType="end"/>
        </w:r>
      </w:hyperlink>
      <w:r w:rsidRPr="00311189">
        <w:rPr>
          <w:lang w:val="fr-BE"/>
        </w:rPr>
        <w:t xml:space="preserve">). En début de traitement, 77% des patient·e·s ont choisi d’opter pour une monothérapie oestrogénique et les 3 patient·e·s restant·e·s ont choisi de commencer leur traitement avec de la Spironolactone comme antiandrogène. À T2, deux patient·e·s qui ne prenaient pas d’antiandrogène ont choisi d’en prendre un, en raison d’une testostéronémie trop élevée, malgré une oestradiolémie satisfaisante. Leur choix s’est alors porté sur de la Spironolactone ou du Depo-Eligard, selon les possibilités financières. De plus, un·e patient·e a préféré passer de la Spironolactone au Depo-Eligard pour des préférences personnelles. Enfin, à T3, un·e des patient·e·s a fait le même changement de molécule, en raison de troubles de la concentration sous Spironolactone. Au niveau de la posologie, la Spironolactone était administrée à raison de 100mg par jour en deux prises tandis que le Depo-Eligard était injecté trimestriellement. Au niveau de l’oestradiol, le choix entre </w:t>
      </w:r>
      <w:r w:rsidRPr="00311189">
        <w:rPr>
          <w:lang w:val="fr-BE"/>
        </w:rPr>
        <w:lastRenderedPageBreak/>
        <w:t>Dermestril et Oestrogel se basait sur des préférences sur le mode d’application ou des questions d’oubli d’application du gel. La posologie était ajustée dans l’objectif d’obtenir une oestradiolémie entre 100 et 200ng/L. La posologie de l’Oestrogel se situait entre 1.5mg/J et 3mg/J avec une valeur médiane de 3mg/J, ce qui correspond respectivement à 2 et 4 pressions par jour. Pour le Dermestril, la posologie des patchs variait entre 50µg/24h et 100µg/24h (médiane : 75µg/24h). Enfin, une patiente a fait le choix du Zumenon, à la posologie de 4mg/J. Le coût annuel du traitement variait entre 42,1€, pour les monothérapies d’Oestrogel, et 956.4€ pour la combinaison Dermestril + Depo-Eligard (coût annuel médian : 62.2€).</w:t>
      </w:r>
    </w:p>
    <w:p w14:paraId="428012CD" w14:textId="77777777" w:rsidR="00C9593D" w:rsidRDefault="0069723F">
      <w:pPr>
        <w:pStyle w:val="Figure"/>
        <w:jc w:val="center"/>
      </w:pPr>
      <w:r>
        <w:rPr>
          <w:noProof/>
        </w:rPr>
        <w:drawing>
          <wp:inline distT="0" distB="0" distL="0" distR="0" wp14:anchorId="42801447" wp14:editId="42801448">
            <wp:extent cx="612648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85090" cy="50800"/>
                    </a:xfrm>
                    <a:prstGeom prst="rect">
                      <a:avLst/>
                    </a:prstGeom>
                    <a:noFill/>
                  </pic:spPr>
                </pic:pic>
              </a:graphicData>
            </a:graphic>
          </wp:inline>
        </w:drawing>
      </w:r>
    </w:p>
    <w:p w14:paraId="428012CE" w14:textId="0CE042A8" w:rsidR="00C9593D" w:rsidRPr="00311189" w:rsidRDefault="0069723F">
      <w:pPr>
        <w:pStyle w:val="Lgende"/>
        <w:rPr>
          <w:lang w:val="fr-BE"/>
        </w:rPr>
      </w:pPr>
      <w:bookmarkStart w:id="47" w:name="_Toc101654147"/>
      <w:r w:rsidRPr="00311189">
        <w:rPr>
          <w:b/>
          <w:lang w:val="fr-BE"/>
        </w:rPr>
        <w:t xml:space="preserve">Figure </w:t>
      </w:r>
      <w:bookmarkStart w:id="48" w:name="SankeyPlot"/>
      <w:r>
        <w:rPr>
          <w:b/>
        </w:rPr>
        <w:fldChar w:fldCharType="begin"/>
      </w:r>
      <w:r w:rsidRPr="00311189">
        <w:rPr>
          <w:b/>
          <w:lang w:val="fr-BE"/>
        </w:rPr>
        <w:instrText>SEQ fig \* Arabic</w:instrText>
      </w:r>
      <w:r>
        <w:rPr>
          <w:b/>
        </w:rPr>
        <w:fldChar w:fldCharType="separate"/>
      </w:r>
      <w:r w:rsidR="00862518" w:rsidRPr="00311189">
        <w:rPr>
          <w:b/>
          <w:noProof/>
          <w:lang w:val="fr-BE"/>
        </w:rPr>
        <w:t>5</w:t>
      </w:r>
      <w:r>
        <w:rPr>
          <w:b/>
        </w:rPr>
        <w:fldChar w:fldCharType="end"/>
      </w:r>
      <w:bookmarkEnd w:id="48"/>
      <w:r w:rsidRPr="00311189">
        <w:rPr>
          <w:lang w:val="fr-BE"/>
        </w:rPr>
        <w:t>: Évolution du choix d’antiandrogène au fil des consultations</w:t>
      </w:r>
      <w:bookmarkEnd w:id="47"/>
    </w:p>
    <w:p w14:paraId="428012CF" w14:textId="77777777" w:rsidR="00C9593D" w:rsidRPr="00311189" w:rsidRDefault="0069723F">
      <w:pPr>
        <w:pStyle w:val="Titre4"/>
        <w:rPr>
          <w:lang w:val="fr-BE"/>
        </w:rPr>
      </w:pPr>
      <w:bookmarkStart w:id="49" w:name="X945efe116a02bd10b17454096d5d9733155c3eb"/>
      <w:bookmarkEnd w:id="46"/>
      <w:r w:rsidRPr="00311189">
        <w:rPr>
          <w:lang w:val="fr-BE"/>
        </w:rPr>
        <w:t>Évolution de l’axe hypothalamo-hypophyso-gonadique</w:t>
      </w:r>
    </w:p>
    <w:p w14:paraId="428012D0" w14:textId="07ED8836" w:rsidR="00C9593D" w:rsidRPr="00311189" w:rsidRDefault="0069723F">
      <w:pPr>
        <w:pStyle w:val="FirstParagraph"/>
        <w:rPr>
          <w:lang w:val="fr-BE"/>
        </w:rPr>
      </w:pPr>
      <w:r w:rsidRPr="00311189">
        <w:rPr>
          <w:lang w:val="fr-BE"/>
        </w:rPr>
        <w:t xml:space="preserve">Vu le point de controverse sur les antiandrogènes, j’ai souhaité comparer les valeurs de laboratoire des patient·e·s en fonction du traitement qu’iels prenaient. La figure </w:t>
      </w:r>
      <w:hyperlink w:anchor="OutcomePlotF">
        <w:r>
          <w:fldChar w:fldCharType="begin"/>
        </w:r>
        <w:r w:rsidRPr="00311189">
          <w:rPr>
            <w:lang w:val="fr-BE"/>
          </w:rPr>
          <w:instrText xml:space="preserve"> REF OutcomePlotF \h</w:instrText>
        </w:r>
        <w:r>
          <w:fldChar w:fldCharType="separate"/>
        </w:r>
        <w:r w:rsidR="00862518" w:rsidRPr="00311189">
          <w:rPr>
            <w:b/>
            <w:noProof/>
            <w:lang w:val="fr-BE"/>
          </w:rPr>
          <w:t>6</w:t>
        </w:r>
        <w:r>
          <w:fldChar w:fldCharType="end"/>
        </w:r>
      </w:hyperlink>
      <w:r w:rsidRPr="00311189">
        <w:rPr>
          <w:lang w:val="fr-BE"/>
        </w:rPr>
        <w:t xml:space="preserve"> propose une représentation graphique de l’évolution de l’axe hypothalamo-hypophyso-gonadique (HHG) tandis que le tableau </w:t>
      </w:r>
      <w:hyperlink w:anchor="OutcomeTableF">
        <w:r>
          <w:fldChar w:fldCharType="begin"/>
        </w:r>
        <w:r w:rsidRPr="00311189">
          <w:rPr>
            <w:lang w:val="fr-BE"/>
          </w:rPr>
          <w:instrText xml:space="preserve"> REF OutcomeTableF \h</w:instrText>
        </w:r>
        <w:r>
          <w:fldChar w:fldCharType="separate"/>
        </w:r>
        <w:r w:rsidR="00862518" w:rsidRPr="00311189">
          <w:rPr>
            <w:b/>
            <w:noProof/>
            <w:lang w:val="fr-BE"/>
          </w:rPr>
          <w:t>2</w:t>
        </w:r>
        <w:r>
          <w:fldChar w:fldCharType="end"/>
        </w:r>
      </w:hyperlink>
      <w:r w:rsidRPr="00311189">
        <w:rPr>
          <w:lang w:val="fr-BE"/>
        </w:rPr>
        <w:t xml:space="preserve"> présente les médianes des valeurs tensionnelles et des paramètres de laboratoire mesurés au fil des consultations. Pour le graphique, les valeurs de T2 d’un·e patient·e ont été exclues de l’analyse en raison d’un oubli de prise de traitement de </w:t>
      </w:r>
      <w:r w:rsidRPr="00311189">
        <w:rPr>
          <w:lang w:val="fr-BE"/>
        </w:rPr>
        <w:lastRenderedPageBreak/>
        <w:t>sa part, ce qui donnait une image erronée de l’évolution, vu le faible échantillon. En outre, deux patient·e·s ont raté leur rendez-vous trimestriel, l’une à T1 et l’autre à T2. En raison de la petitesse de l’échantillon, les valeurs présentées doivent être prises avec prudence.</w:t>
      </w:r>
    </w:p>
    <w:p w14:paraId="428012D1" w14:textId="38D0D86A" w:rsidR="00C9593D" w:rsidRPr="00311189" w:rsidRDefault="0069723F">
      <w:pPr>
        <w:pStyle w:val="Corpsdetexte"/>
        <w:rPr>
          <w:lang w:val="fr-BE"/>
        </w:rPr>
      </w:pPr>
      <w:r w:rsidRPr="00311189">
        <w:rPr>
          <w:lang w:val="fr-BE"/>
        </w:rPr>
        <w:t xml:space="preserve">La figure </w:t>
      </w:r>
      <w:hyperlink w:anchor="OutcomePlotF">
        <w:r>
          <w:fldChar w:fldCharType="begin"/>
        </w:r>
        <w:r w:rsidRPr="00311189">
          <w:rPr>
            <w:lang w:val="fr-BE"/>
          </w:rPr>
          <w:instrText xml:space="preserve"> REF OutcomePlotF \h</w:instrText>
        </w:r>
        <w:r>
          <w:fldChar w:fldCharType="separate"/>
        </w:r>
        <w:r w:rsidR="00862518" w:rsidRPr="00311189">
          <w:rPr>
            <w:b/>
            <w:noProof/>
            <w:lang w:val="fr-BE"/>
          </w:rPr>
          <w:t>6</w:t>
        </w:r>
        <w:r>
          <w:fldChar w:fldCharType="end"/>
        </w:r>
      </w:hyperlink>
      <w:r w:rsidRPr="00311189">
        <w:rPr>
          <w:lang w:val="fr-BE"/>
        </w:rPr>
        <w:t xml:space="preserve"> se divise en quatre panneaux représentant quatre angles différents de l’axe HHG, eux-même divisés en trois graphiques, selon l’antiandrogène. Pour chaque panneau, on retrouve les valeurs individuelles de T</w:t>
      </w:r>
      <w:r w:rsidRPr="00311189">
        <w:rPr>
          <w:vertAlign w:val="subscript"/>
          <w:lang w:val="fr-BE"/>
        </w:rPr>
        <w:t>s</w:t>
      </w:r>
      <w:r w:rsidRPr="00311189">
        <w:rPr>
          <w:lang w:val="fr-BE"/>
        </w:rPr>
        <w:t xml:space="preserve"> sous formes de points, avec un code couleur selon qu’elles correspondent ou non aux valeurs-cibles. Travaillant majoritairement avec le laboratoire de la Citadelle, j’ai choisi leur cutoff de 2,29nmol/L pour la T</w:t>
      </w:r>
      <w:r w:rsidRPr="00311189">
        <w:rPr>
          <w:vertAlign w:val="subscript"/>
          <w:lang w:val="fr-BE"/>
        </w:rPr>
        <w:t>s</w:t>
      </w:r>
      <w:r w:rsidRPr="00311189">
        <w:rPr>
          <w:lang w:val="fr-BE"/>
        </w:rPr>
        <w:t xml:space="preserve"> maximale chez les femmes cisgenres. Les barres représentent la valeur médiane du paramètre considéré (T</w:t>
      </w:r>
      <w:r w:rsidRPr="00311189">
        <w:rPr>
          <w:vertAlign w:val="subscript"/>
          <w:lang w:val="fr-BE"/>
        </w:rPr>
        <w:t>s</w:t>
      </w:r>
      <w:r w:rsidRPr="00311189">
        <w:rPr>
          <w:lang w:val="fr-BE"/>
        </w:rPr>
        <w:t>, pour les panneaux A à C et LH pour le panneau D). Enfin, la droite de régression montre l’évolution générale des paramètres. Le panneau A montre l’évolution de la T</w:t>
      </w:r>
      <w:r w:rsidRPr="00311189">
        <w:rPr>
          <w:vertAlign w:val="subscript"/>
          <w:lang w:val="fr-BE"/>
        </w:rPr>
        <w:t>s</w:t>
      </w:r>
      <w:r w:rsidRPr="00311189">
        <w:rPr>
          <w:lang w:val="fr-BE"/>
        </w:rPr>
        <w:t xml:space="preserve"> au fil du temps. On peut constater, à la platitude des droites de régression ainsi qu’à la dispersion des valeurs individuelles que le temps ne semble pas influencer l’équilibre hormonal. Autrement dit, l’équilibre semble atteint rapidement, dès T1, et se maintenir. On notera une T</w:t>
      </w:r>
      <w:r w:rsidRPr="00311189">
        <w:rPr>
          <w:vertAlign w:val="subscript"/>
          <w:lang w:val="fr-BE"/>
        </w:rPr>
        <w:t>s</w:t>
      </w:r>
      <w:r w:rsidRPr="00311189">
        <w:rPr>
          <w:lang w:val="fr-BE"/>
        </w:rPr>
        <w:t xml:space="preserve"> médiane anormalement élevée à T2, pour le traitement par E2 seul, vraisemblablement liée aux données manquantes à chez deux patient·e·s à ce moment. D’autres soucis de compliance thérapeutique ne sont pas à exclure, vu l’E2</w:t>
      </w:r>
      <w:r w:rsidRPr="00311189">
        <w:rPr>
          <w:vertAlign w:val="subscript"/>
          <w:lang w:val="fr-BE"/>
        </w:rPr>
        <w:t>s</w:t>
      </w:r>
      <w:r w:rsidRPr="00311189">
        <w:rPr>
          <w:lang w:val="fr-BE"/>
        </w:rPr>
        <w:t xml:space="preserve"> plus faible également (voir tableau </w:t>
      </w:r>
      <w:hyperlink w:anchor="OutcomeTableF">
        <w:r>
          <w:fldChar w:fldCharType="begin"/>
        </w:r>
        <w:r w:rsidRPr="00311189">
          <w:rPr>
            <w:lang w:val="fr-BE"/>
          </w:rPr>
          <w:instrText xml:space="preserve"> REF OutcomeTableF \h</w:instrText>
        </w:r>
        <w:r>
          <w:fldChar w:fldCharType="separate"/>
        </w:r>
        <w:r w:rsidR="00862518" w:rsidRPr="00311189">
          <w:rPr>
            <w:b/>
            <w:noProof/>
            <w:lang w:val="fr-BE"/>
          </w:rPr>
          <w:t>2</w:t>
        </w:r>
        <w:r>
          <w:fldChar w:fldCharType="end"/>
        </w:r>
      </w:hyperlink>
      <w:r w:rsidRPr="00311189">
        <w:rPr>
          <w:lang w:val="fr-BE"/>
        </w:rPr>
        <w:t>). De plus, si la Spironolactone ne semble pas contribuer à abaisser la T</w:t>
      </w:r>
      <w:r w:rsidRPr="00311189">
        <w:rPr>
          <w:vertAlign w:val="subscript"/>
          <w:lang w:val="fr-BE"/>
        </w:rPr>
        <w:t>s</w:t>
      </w:r>
      <w:r w:rsidRPr="00311189">
        <w:rPr>
          <w:lang w:val="fr-BE"/>
        </w:rPr>
        <w:t xml:space="preserve"> de manière plus marquée que l’E2 seul, le Depo-Eligard est le seul traitement pour lequel toutes les valeurs de T</w:t>
      </w:r>
      <w:r w:rsidRPr="00311189">
        <w:rPr>
          <w:vertAlign w:val="subscript"/>
          <w:lang w:val="fr-BE"/>
        </w:rPr>
        <w:t>s</w:t>
      </w:r>
      <w:r w:rsidRPr="00311189">
        <w:rPr>
          <w:lang w:val="fr-BE"/>
        </w:rPr>
        <w:t xml:space="preserve"> sont sous le cutoff. À noter que les patient·e·s sous Spironolactone présentaient des valeurs médianes d’E2s plus faibles que les autres patient·e·s. Mon hypothèse actuelle réside en une application suboptimale du gel chez deux des trois patient·e·s mais ne pourra être confirmée d’ici la publication de ce TFE. Les graphiques du panneau B suggèrent une indépendance entre l’E2</w:t>
      </w:r>
      <w:r w:rsidRPr="00311189">
        <w:rPr>
          <w:vertAlign w:val="subscript"/>
          <w:lang w:val="fr-BE"/>
        </w:rPr>
        <w:t>s</w:t>
      </w:r>
      <w:r w:rsidRPr="00311189">
        <w:rPr>
          <w:lang w:val="fr-BE"/>
        </w:rPr>
        <w:t xml:space="preserve"> et la T</w:t>
      </w:r>
      <w:r w:rsidRPr="00311189">
        <w:rPr>
          <w:vertAlign w:val="subscript"/>
          <w:lang w:val="fr-BE"/>
        </w:rPr>
        <w:t>s</w:t>
      </w:r>
      <w:r w:rsidRPr="00311189">
        <w:rPr>
          <w:lang w:val="fr-BE"/>
        </w:rPr>
        <w:t>, ce qui est surprenant. Pour creuser davantage cette relation, le panneau C montre le lien entre T</w:t>
      </w:r>
      <w:r w:rsidRPr="00311189">
        <w:rPr>
          <w:vertAlign w:val="subscript"/>
          <w:lang w:val="fr-BE"/>
        </w:rPr>
        <w:t>s</w:t>
      </w:r>
      <w:r w:rsidRPr="00311189">
        <w:rPr>
          <w:lang w:val="fr-BE"/>
        </w:rPr>
        <w:t xml:space="preserve"> et LH tandis que le panneau D, entre LH et E2</w:t>
      </w:r>
      <w:r w:rsidRPr="00311189">
        <w:rPr>
          <w:vertAlign w:val="subscript"/>
          <w:lang w:val="fr-BE"/>
        </w:rPr>
        <w:t>s</w:t>
      </w:r>
      <w:r w:rsidRPr="00311189">
        <w:rPr>
          <w:lang w:val="fr-BE"/>
        </w:rPr>
        <w:t>. Pris ensemble, ces deux panneaux permettent de mieux comprendre les liens entre E2</w:t>
      </w:r>
      <w:r w:rsidRPr="00311189">
        <w:rPr>
          <w:vertAlign w:val="subscript"/>
          <w:lang w:val="fr-BE"/>
        </w:rPr>
        <w:t>s</w:t>
      </w:r>
      <w:r w:rsidRPr="00311189">
        <w:rPr>
          <w:lang w:val="fr-BE"/>
        </w:rPr>
        <w:t>et T</w:t>
      </w:r>
      <w:r w:rsidRPr="00311189">
        <w:rPr>
          <w:vertAlign w:val="subscript"/>
          <w:lang w:val="fr-BE"/>
        </w:rPr>
        <w:t>s</w:t>
      </w:r>
      <w:r w:rsidRPr="00311189">
        <w:rPr>
          <w:lang w:val="fr-BE"/>
        </w:rPr>
        <w:t>. En effet, la T</w:t>
      </w:r>
      <w:r w:rsidRPr="00311189">
        <w:rPr>
          <w:vertAlign w:val="subscript"/>
          <w:lang w:val="fr-BE"/>
        </w:rPr>
        <w:t>s</w:t>
      </w:r>
      <w:r w:rsidRPr="00311189">
        <w:rPr>
          <w:lang w:val="fr-BE"/>
        </w:rPr>
        <w:t xml:space="preserve"> est clairement influencée par la concentration sérique de LH, avec une valeur-seuil à partir de laquelle la production de T n’est plus inhibée. La supériorité du Depo-Eligard peut alors se comprendre par son action directe sur la LH et les valeurs continuellement inférieures au seuil de LH. La Spironolactone, de son côté, ne semble pas influer sur les concentrations en LH. En outre, la LH diminue tandis que l’E2</w:t>
      </w:r>
      <w:r w:rsidRPr="00311189">
        <w:rPr>
          <w:vertAlign w:val="subscript"/>
          <w:lang w:val="fr-BE"/>
        </w:rPr>
        <w:t>s</w:t>
      </w:r>
      <w:r w:rsidRPr="00311189">
        <w:rPr>
          <w:lang w:val="fr-BE"/>
        </w:rPr>
        <w:t xml:space="preserve"> augmente mais les valeurs-cibles de 100-200ng/L recommandées dans la littérature semblent insuffisantes pour passer sous le seuil, pour la majorité des </w:t>
      </w:r>
      <w:r w:rsidRPr="00311189">
        <w:rPr>
          <w:lang w:val="fr-BE"/>
        </w:rPr>
        <w:lastRenderedPageBreak/>
        <w:t>patient·e·s. Le lien entre T</w:t>
      </w:r>
      <w:r w:rsidRPr="00311189">
        <w:rPr>
          <w:vertAlign w:val="subscript"/>
          <w:lang w:val="fr-BE"/>
        </w:rPr>
        <w:t>s</w:t>
      </w:r>
      <w:r w:rsidRPr="00311189">
        <w:rPr>
          <w:lang w:val="fr-BE"/>
        </w:rPr>
        <w:t xml:space="preserve"> et E2</w:t>
      </w:r>
      <w:r w:rsidRPr="00311189">
        <w:rPr>
          <w:vertAlign w:val="subscript"/>
          <w:lang w:val="fr-BE"/>
        </w:rPr>
        <w:t>s</w:t>
      </w:r>
      <w:r w:rsidRPr="00311189">
        <w:rPr>
          <w:lang w:val="fr-BE"/>
        </w:rPr>
        <w:t xml:space="preserve"> étant donc indirect et passant par l’inhibition de la LH, les concentrations seules d’E2</w:t>
      </w:r>
      <w:r w:rsidRPr="00311189">
        <w:rPr>
          <w:vertAlign w:val="subscript"/>
          <w:lang w:val="fr-BE"/>
        </w:rPr>
        <w:t>s</w:t>
      </w:r>
      <w:r w:rsidRPr="00311189">
        <w:rPr>
          <w:lang w:val="fr-BE"/>
        </w:rPr>
        <w:t xml:space="preserve"> ne permettent pas, dans cet échantillon limité, de prédire la T</w:t>
      </w:r>
      <w:r w:rsidRPr="00311189">
        <w:rPr>
          <w:vertAlign w:val="subscript"/>
          <w:lang w:val="fr-BE"/>
        </w:rPr>
        <w:t>s</w:t>
      </w:r>
      <w:r w:rsidRPr="00311189">
        <w:rPr>
          <w:lang w:val="fr-BE"/>
        </w:rPr>
        <w:t xml:space="preserve"> tout en l’influençant néanmoins. Vu la petitesse des échantillons par traitement et par consultation, des tests statistiques pour évaluer l’évolution des paramètres ne seraient pas informatifs.</w:t>
      </w:r>
    </w:p>
    <w:p w14:paraId="428012D2" w14:textId="77777777" w:rsidR="00C9593D" w:rsidRDefault="0069723F">
      <w:pPr>
        <w:pStyle w:val="Figure"/>
        <w:jc w:val="center"/>
      </w:pPr>
      <w:r>
        <w:rPr>
          <w:noProof/>
        </w:rPr>
        <w:drawing>
          <wp:inline distT="0" distB="0" distL="0" distR="0" wp14:anchorId="42801449" wp14:editId="4280144A">
            <wp:extent cx="612648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5090" cy="88900"/>
                    </a:xfrm>
                    <a:prstGeom prst="rect">
                      <a:avLst/>
                    </a:prstGeom>
                    <a:noFill/>
                  </pic:spPr>
                </pic:pic>
              </a:graphicData>
            </a:graphic>
          </wp:inline>
        </w:drawing>
      </w:r>
    </w:p>
    <w:p w14:paraId="428012D3" w14:textId="29362EAF" w:rsidR="00C9593D" w:rsidRPr="00311189" w:rsidRDefault="0069723F">
      <w:pPr>
        <w:pStyle w:val="Lgende"/>
        <w:rPr>
          <w:lang w:val="fr-BE"/>
        </w:rPr>
      </w:pPr>
      <w:bookmarkStart w:id="50" w:name="_Toc101654148"/>
      <w:r w:rsidRPr="00311189">
        <w:rPr>
          <w:b/>
          <w:lang w:val="fr-BE"/>
        </w:rPr>
        <w:t xml:space="preserve">Figure </w:t>
      </w:r>
      <w:bookmarkStart w:id="51" w:name="OutcomePlotF"/>
      <w:r>
        <w:rPr>
          <w:b/>
        </w:rPr>
        <w:fldChar w:fldCharType="begin"/>
      </w:r>
      <w:r w:rsidRPr="00311189">
        <w:rPr>
          <w:b/>
          <w:lang w:val="fr-BE"/>
        </w:rPr>
        <w:instrText>SEQ fig \* Arabic</w:instrText>
      </w:r>
      <w:r>
        <w:rPr>
          <w:b/>
        </w:rPr>
        <w:fldChar w:fldCharType="separate"/>
      </w:r>
      <w:r w:rsidR="00862518" w:rsidRPr="00311189">
        <w:rPr>
          <w:b/>
          <w:noProof/>
          <w:lang w:val="fr-BE"/>
        </w:rPr>
        <w:t>6</w:t>
      </w:r>
      <w:r>
        <w:rPr>
          <w:b/>
        </w:rPr>
        <w:fldChar w:fldCharType="end"/>
      </w:r>
      <w:bookmarkEnd w:id="51"/>
      <w:r w:rsidRPr="00311189">
        <w:rPr>
          <w:lang w:val="fr-BE"/>
        </w:rPr>
        <w:t>: Évolution de l’axe hypothalamo-hypophyso-gonadique chez les patient·e·s transféminin·e·s</w:t>
      </w:r>
      <w:bookmarkEnd w:id="50"/>
    </w:p>
    <w:p w14:paraId="428012D4" w14:textId="77777777" w:rsidR="00C9593D" w:rsidRPr="00311189" w:rsidRDefault="0069723F">
      <w:pPr>
        <w:rPr>
          <w:lang w:val="fr-BE"/>
        </w:rPr>
      </w:pPr>
      <w:r w:rsidRPr="00311189">
        <w:rPr>
          <w:lang w:val="fr-BE"/>
        </w:rPr>
        <w:br w:type="page"/>
      </w:r>
    </w:p>
    <w:p w14:paraId="428012D5" w14:textId="77777777" w:rsidR="00C9593D" w:rsidRPr="00311189" w:rsidRDefault="00C9593D">
      <w:pPr>
        <w:rPr>
          <w:lang w:val="fr-BE"/>
        </w:rPr>
        <w:sectPr w:rsidR="00C9593D" w:rsidRPr="00311189">
          <w:headerReference w:type="even" r:id="rId14"/>
          <w:headerReference w:type="default" r:id="rId15"/>
          <w:footerReference w:type="even" r:id="rId16"/>
          <w:footerReference w:type="default" r:id="rId17"/>
          <w:headerReference w:type="first" r:id="rId18"/>
          <w:footerReference w:type="first" r:id="rId19"/>
          <w:type w:val="continuous"/>
          <w:pgSz w:w="11952" w:h="16848"/>
          <w:pgMar w:top="1296" w:right="1296" w:bottom="1296" w:left="1296" w:header="0" w:footer="576" w:gutter="0"/>
          <w:cols w:space="720"/>
        </w:sectPr>
      </w:pPr>
    </w:p>
    <w:p w14:paraId="428012D6" w14:textId="0A86E9A0" w:rsidR="00C9593D" w:rsidRDefault="0069723F">
      <w:pPr>
        <w:pStyle w:val="Lgende1"/>
      </w:pPr>
      <w:bookmarkStart w:id="52" w:name="_Toc101654141"/>
      <w:r>
        <w:rPr>
          <w:b/>
        </w:rPr>
        <w:lastRenderedPageBreak/>
        <w:t>Tableau</w:t>
      </w:r>
      <w:bookmarkStart w:id="53" w:name="OutcomeTableF"/>
      <w:r>
        <w:rPr>
          <w:b/>
        </w:rPr>
        <w:fldChar w:fldCharType="begin"/>
      </w:r>
      <w:r>
        <w:rPr>
          <w:b/>
        </w:rPr>
        <w:instrText>SEQ tab \* Arabic</w:instrText>
      </w:r>
      <w:r>
        <w:rPr>
          <w:b/>
        </w:rPr>
        <w:fldChar w:fldCharType="separate"/>
      </w:r>
      <w:r w:rsidR="00862518">
        <w:rPr>
          <w:b/>
          <w:noProof/>
        </w:rPr>
        <w:t>2</w:t>
      </w:r>
      <w:r>
        <w:rPr>
          <w:b/>
        </w:rPr>
        <w:fldChar w:fldCharType="end"/>
      </w:r>
      <w:bookmarkEnd w:id="53"/>
      <w:r>
        <w:t>: Évolution des paramètres des patient·e·s transféminin·e·s, par consultation et par traitement</w:t>
      </w:r>
      <w:bookmarkEnd w:id="52"/>
    </w:p>
    <w:tbl>
      <w:tblPr>
        <w:tblW w:w="0" w:type="auto"/>
        <w:jc w:val="center"/>
        <w:tblLayout w:type="fixed"/>
        <w:tblLook w:val="0420" w:firstRow="1" w:lastRow="0" w:firstColumn="0" w:lastColumn="0" w:noHBand="0" w:noVBand="1"/>
      </w:tblPr>
      <w:tblGrid>
        <w:gridCol w:w="2268"/>
        <w:gridCol w:w="1417"/>
        <w:gridCol w:w="1417"/>
        <w:gridCol w:w="1417"/>
        <w:gridCol w:w="1417"/>
        <w:gridCol w:w="1417"/>
        <w:gridCol w:w="1417"/>
        <w:gridCol w:w="1417"/>
        <w:gridCol w:w="1417"/>
        <w:gridCol w:w="1417"/>
        <w:gridCol w:w="1417"/>
      </w:tblGrid>
      <w:tr w:rsidR="00C9593D" w14:paraId="428012DD" w14:textId="77777777">
        <w:trPr>
          <w:cantSplit/>
          <w:tblHeader/>
          <w:jc w:val="center"/>
        </w:trPr>
        <w:tc>
          <w:tcPr>
            <w:tcW w:w="2268" w:type="dxa"/>
            <w:tcBorders>
              <w:top w:val="single" w:sz="20" w:space="0" w:color="60A3BC"/>
              <w:left w:val="single" w:sz="20" w:space="0" w:color="60A3BC"/>
              <w:bottom w:val="single" w:sz="20" w:space="0" w:color="3C6382"/>
            </w:tcBorders>
            <w:shd w:val="clear" w:color="auto" w:fill="60A3BC"/>
            <w:tcMar>
              <w:top w:w="0" w:type="dxa"/>
              <w:left w:w="0" w:type="dxa"/>
              <w:bottom w:w="0" w:type="dxa"/>
              <w:right w:w="0" w:type="dxa"/>
            </w:tcMar>
            <w:vAlign w:val="center"/>
          </w:tcPr>
          <w:p w14:paraId="428012D7" w14:textId="77777777" w:rsidR="00C9593D" w:rsidRPr="00311189" w:rsidRDefault="0069723F">
            <w:pPr>
              <w:keepNext/>
              <w:spacing w:before="40" w:after="40" w:line="240" w:lineRule="auto"/>
              <w:ind w:left="100" w:right="100"/>
              <w:jc w:val="left"/>
              <w:rPr>
                <w:lang w:val="fr-BE"/>
              </w:rPr>
            </w:pPr>
            <w:r w:rsidRPr="00311189">
              <w:rPr>
                <w:rFonts w:ascii="Lato Bold" w:eastAsia="Lato Bold" w:hAnsi="Lato Bold" w:cs="Lato Bold"/>
                <w:b/>
                <w:color w:val="FFFFFF"/>
                <w:sz w:val="26"/>
                <w:szCs w:val="26"/>
                <w:lang w:val="fr-BE"/>
              </w:rPr>
              <w:t xml:space="preserve"> </w:t>
            </w:r>
          </w:p>
        </w:tc>
        <w:tc>
          <w:tcPr>
            <w:tcW w:w="1417" w:type="dxa"/>
            <w:tcBorders>
              <w:top w:val="single" w:sz="20" w:space="0" w:color="60A3BC"/>
              <w:bottom w:val="single" w:sz="20" w:space="0" w:color="3C6382"/>
            </w:tcBorders>
            <w:shd w:val="clear" w:color="auto" w:fill="60A3BC"/>
            <w:tcMar>
              <w:top w:w="0" w:type="dxa"/>
              <w:left w:w="0" w:type="dxa"/>
              <w:bottom w:w="0" w:type="dxa"/>
              <w:right w:w="0" w:type="dxa"/>
            </w:tcMar>
            <w:vAlign w:val="center"/>
          </w:tcPr>
          <w:p w14:paraId="428012D8" w14:textId="77777777" w:rsidR="00C9593D" w:rsidRDefault="0069723F">
            <w:pPr>
              <w:keepNext/>
              <w:spacing w:before="40" w:after="40" w:line="240" w:lineRule="auto"/>
              <w:ind w:left="100" w:right="100"/>
              <w:jc w:val="center"/>
            </w:pPr>
            <w:r>
              <w:rPr>
                <w:rFonts w:ascii="Lato Bold" w:eastAsia="Lato Bold" w:hAnsi="Lato Bold" w:cs="Lato Bold"/>
                <w:b/>
                <w:color w:val="FFFFFF"/>
                <w:sz w:val="26"/>
                <w:szCs w:val="26"/>
              </w:rPr>
              <w:t>T0</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428012D9" w14:textId="77777777" w:rsidR="00C9593D" w:rsidRDefault="0069723F">
            <w:pPr>
              <w:keepNext/>
              <w:spacing w:before="40" w:after="40" w:line="240" w:lineRule="auto"/>
              <w:ind w:left="100" w:right="100"/>
              <w:jc w:val="center"/>
            </w:pPr>
            <w:r>
              <w:rPr>
                <w:rFonts w:ascii="Lato Bold" w:eastAsia="Lato Bold" w:hAnsi="Lato Bold" w:cs="Lato Bold"/>
                <w:b/>
                <w:color w:val="FFFFFF"/>
                <w:sz w:val="26"/>
                <w:szCs w:val="26"/>
              </w:rPr>
              <w:t>T1</w:t>
            </w:r>
          </w:p>
        </w:tc>
        <w:tc>
          <w:tcPr>
            <w:tcW w:w="4251" w:type="dxa"/>
            <w:gridSpan w:val="3"/>
            <w:tcBorders>
              <w:top w:val="single" w:sz="20" w:space="0" w:color="60A3BC"/>
              <w:bottom w:val="single" w:sz="20" w:space="0" w:color="3C6382"/>
            </w:tcBorders>
            <w:shd w:val="clear" w:color="auto" w:fill="60A3BC"/>
            <w:tcMar>
              <w:top w:w="0" w:type="dxa"/>
              <w:left w:w="0" w:type="dxa"/>
              <w:bottom w:w="0" w:type="dxa"/>
              <w:right w:w="0" w:type="dxa"/>
            </w:tcMar>
            <w:vAlign w:val="center"/>
          </w:tcPr>
          <w:p w14:paraId="428012DA" w14:textId="77777777" w:rsidR="00C9593D" w:rsidRDefault="0069723F">
            <w:pPr>
              <w:keepNext/>
              <w:spacing w:before="40" w:after="40" w:line="240" w:lineRule="auto"/>
              <w:ind w:left="100" w:right="100"/>
              <w:jc w:val="center"/>
            </w:pPr>
            <w:r>
              <w:rPr>
                <w:rFonts w:ascii="Lato Bold" w:eastAsia="Lato Bold" w:hAnsi="Lato Bold" w:cs="Lato Bold"/>
                <w:b/>
                <w:color w:val="FFFFFF"/>
                <w:sz w:val="26"/>
                <w:szCs w:val="26"/>
              </w:rPr>
              <w:t>T2</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428012DB" w14:textId="77777777" w:rsidR="00C9593D" w:rsidRDefault="0069723F">
            <w:pPr>
              <w:keepNext/>
              <w:spacing w:before="40" w:after="40" w:line="240" w:lineRule="auto"/>
              <w:ind w:left="100" w:right="100"/>
              <w:jc w:val="center"/>
            </w:pPr>
            <w:r>
              <w:rPr>
                <w:rFonts w:ascii="Lato Bold" w:eastAsia="Lato Bold" w:hAnsi="Lato Bold" w:cs="Lato Bold"/>
                <w:b/>
                <w:color w:val="FFFFFF"/>
                <w:sz w:val="26"/>
                <w:szCs w:val="26"/>
              </w:rPr>
              <w:t>T3</w:t>
            </w:r>
          </w:p>
        </w:tc>
        <w:tc>
          <w:tcPr>
            <w:tcW w:w="2834" w:type="dxa"/>
            <w:gridSpan w:val="2"/>
            <w:tcBorders>
              <w:top w:val="single" w:sz="20" w:space="0" w:color="60A3BC"/>
              <w:bottom w:val="single" w:sz="20" w:space="0" w:color="3C6382"/>
            </w:tcBorders>
            <w:shd w:val="clear" w:color="auto" w:fill="60A3BC"/>
            <w:tcMar>
              <w:top w:w="0" w:type="dxa"/>
              <w:left w:w="0" w:type="dxa"/>
              <w:bottom w:w="0" w:type="dxa"/>
              <w:right w:w="0" w:type="dxa"/>
            </w:tcMar>
            <w:vAlign w:val="center"/>
          </w:tcPr>
          <w:p w14:paraId="428012DC" w14:textId="77777777" w:rsidR="00C9593D" w:rsidRDefault="0069723F">
            <w:pPr>
              <w:keepNext/>
              <w:spacing w:before="40" w:after="40" w:line="240" w:lineRule="auto"/>
              <w:ind w:left="100" w:right="100"/>
              <w:jc w:val="center"/>
            </w:pPr>
            <w:r>
              <w:rPr>
                <w:rFonts w:ascii="Lato Bold" w:eastAsia="Lato Bold" w:hAnsi="Lato Bold" w:cs="Lato Bold"/>
                <w:b/>
                <w:color w:val="FFFFFF"/>
                <w:sz w:val="26"/>
                <w:szCs w:val="26"/>
              </w:rPr>
              <w:t>T4</w:t>
            </w:r>
          </w:p>
        </w:tc>
      </w:tr>
      <w:tr w:rsidR="00C9593D" w14:paraId="428012E9" w14:textId="77777777">
        <w:trPr>
          <w:cantSplit/>
          <w:tblHeader/>
          <w:jc w:val="center"/>
        </w:trPr>
        <w:tc>
          <w:tcPr>
            <w:tcW w:w="2268" w:type="dxa"/>
            <w:tcBorders>
              <w:top w:val="single" w:sz="20" w:space="0" w:color="3C6382"/>
              <w:left w:val="single" w:sz="20" w:space="0" w:color="60A3BC"/>
              <w:bottom w:val="single" w:sz="20" w:space="0" w:color="60A3BC"/>
            </w:tcBorders>
            <w:shd w:val="clear" w:color="auto" w:fill="60A3BC"/>
            <w:tcMar>
              <w:top w:w="0" w:type="dxa"/>
              <w:left w:w="0" w:type="dxa"/>
              <w:bottom w:w="0" w:type="dxa"/>
              <w:right w:w="0" w:type="dxa"/>
            </w:tcMar>
            <w:vAlign w:val="center"/>
          </w:tcPr>
          <w:p w14:paraId="428012DE" w14:textId="77777777" w:rsidR="00C9593D" w:rsidRDefault="0069723F">
            <w:pPr>
              <w:keepNext/>
              <w:spacing w:before="40" w:after="40" w:line="240" w:lineRule="auto"/>
              <w:ind w:left="100" w:right="100"/>
              <w:jc w:val="left"/>
            </w:pPr>
            <w:r>
              <w:rPr>
                <w:rFonts w:ascii="Lato Bold" w:eastAsia="Lato Bold" w:hAnsi="Lato Bold" w:cs="Lato Bold"/>
                <w:b/>
                <w:color w:val="FFFFFF"/>
                <w:sz w:val="22"/>
                <w:szCs w:val="22"/>
              </w:rPr>
              <w:t>Paramètres</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DF"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Avant traitement, N = 13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0"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Aucun, N = 9</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1"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2"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Aucun, N = 4</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3"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Depo-Eligard,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4"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Spironolactone,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5"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Aucun, N = 2</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6"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Depo-Eligard, N = 3</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tcBorders>
            <w:shd w:val="clear" w:color="auto" w:fill="60A3BC"/>
            <w:tcMar>
              <w:top w:w="0" w:type="dxa"/>
              <w:left w:w="0" w:type="dxa"/>
              <w:bottom w:w="0" w:type="dxa"/>
              <w:right w:w="0" w:type="dxa"/>
            </w:tcMar>
            <w:vAlign w:val="center"/>
          </w:tcPr>
          <w:p w14:paraId="428012E7"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Aucun, N = 1</w:t>
            </w:r>
            <w:r>
              <w:rPr>
                <w:rFonts w:ascii="Lato Bold" w:eastAsia="Lato Bold" w:hAnsi="Lato Bold" w:cs="Lato Bold"/>
                <w:b/>
                <w:color w:val="FFFFFF"/>
                <w:sz w:val="16"/>
                <w:szCs w:val="16"/>
                <w:vertAlign w:val="superscript"/>
              </w:rPr>
              <w:t>1</w:t>
            </w:r>
          </w:p>
        </w:tc>
        <w:tc>
          <w:tcPr>
            <w:tcW w:w="1417" w:type="dxa"/>
            <w:tcBorders>
              <w:top w:val="single" w:sz="20" w:space="0" w:color="3C6382"/>
              <w:bottom w:val="single" w:sz="20" w:space="0" w:color="60A3BC"/>
              <w:right w:val="single" w:sz="20" w:space="0" w:color="60A3BC"/>
            </w:tcBorders>
            <w:shd w:val="clear" w:color="auto" w:fill="60A3BC"/>
            <w:tcMar>
              <w:top w:w="0" w:type="dxa"/>
              <w:left w:w="0" w:type="dxa"/>
              <w:bottom w:w="0" w:type="dxa"/>
              <w:right w:w="0" w:type="dxa"/>
            </w:tcMar>
            <w:vAlign w:val="center"/>
          </w:tcPr>
          <w:p w14:paraId="428012E8" w14:textId="77777777" w:rsidR="00C9593D" w:rsidRDefault="0069723F">
            <w:pPr>
              <w:keepNext/>
              <w:spacing w:before="40" w:after="40" w:line="240" w:lineRule="auto"/>
              <w:ind w:left="100" w:right="100"/>
              <w:jc w:val="center"/>
            </w:pPr>
            <w:r>
              <w:rPr>
                <w:rFonts w:ascii="Lato Bold" w:eastAsia="Lato Bold" w:hAnsi="Lato Bold" w:cs="Lato Bold"/>
                <w:b/>
                <w:color w:val="FFFFFF"/>
                <w:sz w:val="16"/>
                <w:szCs w:val="16"/>
              </w:rPr>
              <w:t>Depo-Eligard, N = 1</w:t>
            </w:r>
            <w:r>
              <w:rPr>
                <w:rFonts w:ascii="Lato Bold" w:eastAsia="Lato Bold" w:hAnsi="Lato Bold" w:cs="Lato Bold"/>
                <w:b/>
                <w:color w:val="FFFFFF"/>
                <w:sz w:val="16"/>
                <w:szCs w:val="16"/>
                <w:vertAlign w:val="superscript"/>
              </w:rPr>
              <w:t>1</w:t>
            </w:r>
          </w:p>
        </w:tc>
      </w:tr>
      <w:tr w:rsidR="00C9593D" w14:paraId="428012F5"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428012EA" w14:textId="77777777" w:rsidR="00C9593D" w:rsidRDefault="0069723F">
            <w:pPr>
              <w:keepNext/>
              <w:spacing w:before="100" w:after="100" w:line="240" w:lineRule="auto"/>
              <w:ind w:left="100" w:right="100"/>
              <w:jc w:val="left"/>
            </w:pPr>
            <w:r>
              <w:rPr>
                <w:rFonts w:eastAsia="Lato Light" w:cs="Lato Light"/>
                <w:b/>
                <w:color w:val="000000"/>
                <w:sz w:val="18"/>
                <w:szCs w:val="18"/>
              </w:rPr>
              <w:t>Systolique (mmHg)</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2EB" w14:textId="77777777" w:rsidR="00C9593D" w:rsidRDefault="0069723F">
            <w:pPr>
              <w:keepNext/>
              <w:spacing w:before="100" w:after="100" w:line="240" w:lineRule="auto"/>
              <w:ind w:left="100" w:right="100"/>
              <w:jc w:val="center"/>
            </w:pPr>
            <w:r>
              <w:rPr>
                <w:rFonts w:eastAsia="Lato Light" w:cs="Lato Light"/>
                <w:color w:val="000000"/>
                <w:sz w:val="18"/>
                <w:szCs w:val="18"/>
              </w:rPr>
              <w:t>120</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2EC" w14:textId="77777777" w:rsidR="00C9593D" w:rsidRDefault="0069723F">
            <w:pPr>
              <w:keepNext/>
              <w:spacing w:before="100" w:after="100" w:line="240" w:lineRule="auto"/>
              <w:ind w:left="100" w:right="100"/>
              <w:jc w:val="center"/>
            </w:pPr>
            <w:r>
              <w:rPr>
                <w:rFonts w:eastAsia="Lato Light" w:cs="Lato Light"/>
                <w:color w:val="000000"/>
                <w:sz w:val="18"/>
                <w:szCs w:val="18"/>
              </w:rPr>
              <w:t>115</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2ED" w14:textId="77777777" w:rsidR="00C9593D" w:rsidRDefault="0069723F">
            <w:pPr>
              <w:keepNext/>
              <w:spacing w:before="100" w:after="100" w:line="240" w:lineRule="auto"/>
              <w:ind w:left="100" w:right="100"/>
              <w:jc w:val="center"/>
            </w:pPr>
            <w:r>
              <w:rPr>
                <w:rFonts w:eastAsia="Lato Light" w:cs="Lato Light"/>
                <w:color w:val="000000"/>
                <w:sz w:val="18"/>
                <w:szCs w:val="18"/>
              </w:rPr>
              <w:t>122</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2EE" w14:textId="77777777" w:rsidR="00C9593D" w:rsidRDefault="0069723F">
            <w:pPr>
              <w:keepNext/>
              <w:spacing w:before="100" w:after="100" w:line="240" w:lineRule="auto"/>
              <w:ind w:left="100" w:right="100"/>
              <w:jc w:val="center"/>
            </w:pPr>
            <w:r>
              <w:rPr>
                <w:rFonts w:eastAsia="Lato Light" w:cs="Lato Light"/>
                <w:color w:val="000000"/>
                <w:sz w:val="18"/>
                <w:szCs w:val="18"/>
              </w:rPr>
              <w:t>120</w:t>
            </w:r>
          </w:p>
        </w:tc>
        <w:tc>
          <w:tcPr>
            <w:tcW w:w="1417" w:type="dxa"/>
            <w:shd w:val="clear" w:color="auto" w:fill="FFFFFF"/>
            <w:tcMar>
              <w:top w:w="0" w:type="dxa"/>
              <w:left w:w="0" w:type="dxa"/>
              <w:bottom w:w="0" w:type="dxa"/>
              <w:right w:w="0" w:type="dxa"/>
            </w:tcMar>
            <w:vAlign w:val="center"/>
          </w:tcPr>
          <w:p w14:paraId="428012EF" w14:textId="77777777" w:rsidR="00C9593D" w:rsidRDefault="0069723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2F0" w14:textId="77777777" w:rsidR="00C9593D" w:rsidRDefault="0069723F">
            <w:pPr>
              <w:keepNext/>
              <w:spacing w:before="100" w:after="100" w:line="240" w:lineRule="auto"/>
              <w:ind w:left="100" w:right="100"/>
              <w:jc w:val="center"/>
            </w:pPr>
            <w:r>
              <w:rPr>
                <w:rFonts w:eastAsia="Lato Light" w:cs="Lato Light"/>
                <w:color w:val="000000"/>
                <w:sz w:val="18"/>
                <w:szCs w:val="18"/>
              </w:rPr>
              <w:t>128</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2F1" w14:textId="77777777" w:rsidR="00C9593D" w:rsidRDefault="0069723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2F2" w14:textId="77777777" w:rsidR="00C9593D" w:rsidRDefault="0069723F">
            <w:pPr>
              <w:keepNext/>
              <w:spacing w:before="100" w:after="100" w:line="240" w:lineRule="auto"/>
              <w:ind w:left="100" w:right="100"/>
              <w:jc w:val="center"/>
            </w:pPr>
            <w:r>
              <w:rPr>
                <w:rFonts w:eastAsia="Lato Light" w:cs="Lato Light"/>
                <w:color w:val="000000"/>
                <w:sz w:val="18"/>
                <w:szCs w:val="18"/>
              </w:rPr>
              <w:t>125</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2F3" w14:textId="77777777" w:rsidR="00C9593D" w:rsidRDefault="0069723F">
            <w:pPr>
              <w:keepNext/>
              <w:spacing w:before="100" w:after="100" w:line="240" w:lineRule="auto"/>
              <w:ind w:left="100" w:right="100"/>
              <w:jc w:val="center"/>
            </w:pPr>
            <w:r>
              <w:rPr>
                <w:rFonts w:eastAsia="Lato Light" w:cs="Lato Light"/>
                <w:color w:val="000000"/>
                <w:sz w:val="18"/>
                <w:szCs w:val="18"/>
              </w:rPr>
              <w:t>120</w:t>
            </w:r>
          </w:p>
        </w:tc>
        <w:tc>
          <w:tcPr>
            <w:tcW w:w="1417" w:type="dxa"/>
            <w:tcBorders>
              <w:right w:val="single" w:sz="20" w:space="0" w:color="60A3BC"/>
            </w:tcBorders>
            <w:shd w:val="clear" w:color="auto" w:fill="FFFFFF"/>
            <w:tcMar>
              <w:top w:w="0" w:type="dxa"/>
              <w:left w:w="0" w:type="dxa"/>
              <w:bottom w:w="0" w:type="dxa"/>
              <w:right w:w="0" w:type="dxa"/>
            </w:tcMar>
            <w:vAlign w:val="center"/>
          </w:tcPr>
          <w:p w14:paraId="428012F4"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r>
      <w:tr w:rsidR="00C9593D" w14:paraId="42801301"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428012F6" w14:textId="77777777" w:rsidR="00C9593D" w:rsidRDefault="0069723F">
            <w:pPr>
              <w:keepNext/>
              <w:spacing w:before="100" w:after="100" w:line="240" w:lineRule="auto"/>
              <w:ind w:left="100" w:right="100"/>
              <w:jc w:val="left"/>
            </w:pPr>
            <w:r>
              <w:rPr>
                <w:rFonts w:eastAsia="Lato Light" w:cs="Lato Light"/>
                <w:b/>
                <w:color w:val="000000"/>
                <w:sz w:val="18"/>
                <w:szCs w:val="18"/>
              </w:rPr>
              <w:t>Diastolique (mmHg)</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2F7" w14:textId="77777777" w:rsidR="00C9593D" w:rsidRDefault="0069723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2F8" w14:textId="77777777" w:rsidR="00C9593D" w:rsidRDefault="0069723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2F9" w14:textId="77777777" w:rsidR="00C9593D" w:rsidRDefault="0069723F">
            <w:pPr>
              <w:keepNext/>
              <w:spacing w:before="100" w:after="100" w:line="240" w:lineRule="auto"/>
              <w:ind w:left="100" w:right="100"/>
              <w:jc w:val="center"/>
            </w:pPr>
            <w:r>
              <w:rPr>
                <w:rFonts w:eastAsia="Lato Light" w:cs="Lato Light"/>
                <w:color w:val="000000"/>
                <w:sz w:val="18"/>
                <w:szCs w:val="18"/>
              </w:rPr>
              <w:t>75</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2FA" w14:textId="77777777" w:rsidR="00C9593D" w:rsidRDefault="0069723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tcBorders>
            <w:shd w:val="clear" w:color="auto" w:fill="FFFFFF"/>
            <w:tcMar>
              <w:top w:w="0" w:type="dxa"/>
              <w:left w:w="0" w:type="dxa"/>
              <w:bottom w:w="0" w:type="dxa"/>
              <w:right w:w="0" w:type="dxa"/>
            </w:tcMar>
            <w:vAlign w:val="center"/>
          </w:tcPr>
          <w:p w14:paraId="428012FB" w14:textId="77777777" w:rsidR="00C9593D" w:rsidRDefault="0069723F">
            <w:pPr>
              <w:keepNext/>
              <w:spacing w:before="100" w:after="100" w:line="240" w:lineRule="auto"/>
              <w:ind w:left="100" w:right="100"/>
              <w:jc w:val="center"/>
            </w:pPr>
            <w:r>
              <w:rPr>
                <w:rFonts w:eastAsia="Lato Light" w:cs="Lato Light"/>
                <w:color w:val="000000"/>
                <w:sz w:val="18"/>
                <w:szCs w:val="18"/>
              </w:rPr>
              <w:t>70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2FC" w14:textId="77777777" w:rsidR="00C9593D" w:rsidRDefault="0069723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2FD" w14:textId="77777777" w:rsidR="00C9593D" w:rsidRDefault="0069723F">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2FE" w14:textId="77777777" w:rsidR="00C9593D" w:rsidRDefault="0069723F">
            <w:pPr>
              <w:keepNext/>
              <w:spacing w:before="100" w:after="100" w:line="240" w:lineRule="auto"/>
              <w:ind w:left="100" w:right="100"/>
              <w:jc w:val="center"/>
            </w:pPr>
            <w:r>
              <w:rPr>
                <w:rFonts w:eastAsia="Lato Light" w:cs="Lato Light"/>
                <w:color w:val="000000"/>
                <w:sz w:val="18"/>
                <w:szCs w:val="18"/>
              </w:rPr>
              <w:t>80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2FF" w14:textId="77777777" w:rsidR="00C9593D" w:rsidRDefault="0069723F">
            <w:pPr>
              <w:keepNext/>
              <w:spacing w:before="100" w:after="100" w:line="240" w:lineRule="auto"/>
              <w:ind w:left="100" w:right="100"/>
              <w:jc w:val="center"/>
            </w:pPr>
            <w:r>
              <w:rPr>
                <w:rFonts w:eastAsia="Lato Light" w:cs="Lato Light"/>
                <w:color w:val="000000"/>
                <w:sz w:val="18"/>
                <w:szCs w:val="18"/>
              </w:rPr>
              <w:t>80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00"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r>
      <w:tr w:rsidR="00C9593D" w14:paraId="4280130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42801302" w14:textId="77777777" w:rsidR="00C9593D" w:rsidRDefault="0069723F">
            <w:pPr>
              <w:keepNext/>
              <w:spacing w:before="100" w:after="100" w:line="240" w:lineRule="auto"/>
              <w:ind w:left="100" w:right="100"/>
              <w:jc w:val="left"/>
            </w:pPr>
            <w:r>
              <w:rPr>
                <w:rFonts w:eastAsia="Lato Light" w:cs="Lato Light"/>
                <w:b/>
                <w:color w:val="000000"/>
                <w:sz w:val="18"/>
                <w:szCs w:val="18"/>
              </w:rPr>
              <w:t>FSH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03" w14:textId="77777777" w:rsidR="00C9593D" w:rsidRDefault="0069723F">
            <w:pPr>
              <w:keepNext/>
              <w:spacing w:before="100" w:after="100" w:line="240" w:lineRule="auto"/>
              <w:ind w:left="100" w:right="100"/>
              <w:jc w:val="center"/>
            </w:pPr>
            <w:r>
              <w:rPr>
                <w:rFonts w:eastAsia="Lato Light" w:cs="Lato Light"/>
                <w:color w:val="000000"/>
                <w:sz w:val="18"/>
                <w:szCs w:val="18"/>
              </w:rPr>
              <w:t>4</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04" w14:textId="77777777" w:rsidR="00C9593D" w:rsidRDefault="0069723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05" w14:textId="77777777" w:rsidR="00C9593D" w:rsidRDefault="0069723F">
            <w:pPr>
              <w:keepNext/>
              <w:spacing w:before="100" w:after="100" w:line="240" w:lineRule="auto"/>
              <w:ind w:left="100" w:right="100"/>
              <w:jc w:val="center"/>
            </w:pPr>
            <w:r>
              <w:rPr>
                <w:rFonts w:eastAsia="Lato Light" w:cs="Lato Light"/>
                <w:color w:val="000000"/>
                <w:sz w:val="18"/>
                <w:szCs w:val="18"/>
              </w:rPr>
              <w:t>2.40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06" w14:textId="77777777" w:rsidR="00C9593D" w:rsidRDefault="0069723F">
            <w:pPr>
              <w:keepNext/>
              <w:spacing w:before="100" w:after="100" w:line="240" w:lineRule="auto"/>
              <w:ind w:left="100" w:right="100"/>
              <w:jc w:val="center"/>
            </w:pPr>
            <w:r>
              <w:rPr>
                <w:rFonts w:eastAsia="Lato Light" w:cs="Lato Light"/>
                <w:color w:val="000000"/>
                <w:sz w:val="18"/>
                <w:szCs w:val="18"/>
              </w:rPr>
              <w:t>2.50</w:t>
            </w:r>
          </w:p>
        </w:tc>
        <w:tc>
          <w:tcPr>
            <w:tcW w:w="1417" w:type="dxa"/>
            <w:tcBorders>
              <w:top w:val="single" w:sz="4" w:space="0" w:color="3C6382"/>
            </w:tcBorders>
            <w:shd w:val="clear" w:color="auto" w:fill="FFFFFF"/>
            <w:tcMar>
              <w:top w:w="0" w:type="dxa"/>
              <w:left w:w="0" w:type="dxa"/>
              <w:bottom w:w="0" w:type="dxa"/>
              <w:right w:w="0" w:type="dxa"/>
            </w:tcMar>
            <w:vAlign w:val="center"/>
          </w:tcPr>
          <w:p w14:paraId="42801307" w14:textId="77777777" w:rsidR="00C9593D" w:rsidRDefault="0069723F">
            <w:pPr>
              <w:keepNext/>
              <w:spacing w:before="100" w:after="100" w:line="240" w:lineRule="auto"/>
              <w:ind w:left="100" w:right="100"/>
              <w:jc w:val="center"/>
            </w:pPr>
            <w:r>
              <w:rPr>
                <w:rFonts w:eastAsia="Lato Light" w:cs="Lato Light"/>
                <w:color w:val="000000"/>
                <w:sz w:val="18"/>
                <w:szCs w:val="18"/>
              </w:rPr>
              <w:t>0.20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08" w14:textId="77777777" w:rsidR="00C9593D" w:rsidRDefault="0069723F">
            <w:pPr>
              <w:keepNext/>
              <w:spacing w:before="100" w:after="100" w:line="240" w:lineRule="auto"/>
              <w:ind w:left="100" w:right="100"/>
              <w:jc w:val="center"/>
            </w:pPr>
            <w:r>
              <w:rPr>
                <w:rFonts w:eastAsia="Lato Light" w:cs="Lato Light"/>
                <w:color w:val="000000"/>
                <w:sz w:val="18"/>
                <w:szCs w:val="18"/>
              </w:rPr>
              <w:t>2.30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09" w14:textId="77777777" w:rsidR="00C9593D" w:rsidRDefault="0069723F">
            <w:pPr>
              <w:keepNext/>
              <w:spacing w:before="100" w:after="100" w:line="240" w:lineRule="auto"/>
              <w:ind w:left="100" w:right="100"/>
              <w:jc w:val="center"/>
            </w:pPr>
            <w:r>
              <w:rPr>
                <w:rFonts w:eastAsia="Lato Light" w:cs="Lato Light"/>
                <w:color w:val="000000"/>
                <w:sz w:val="18"/>
                <w:szCs w:val="18"/>
              </w:rPr>
              <w:t>0.60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0A" w14:textId="77777777" w:rsidR="00C9593D" w:rsidRDefault="0069723F">
            <w:pPr>
              <w:keepNext/>
              <w:spacing w:before="100" w:after="100" w:line="240" w:lineRule="auto"/>
              <w:ind w:left="100" w:right="100"/>
              <w:jc w:val="center"/>
            </w:pPr>
            <w:r>
              <w:rPr>
                <w:rFonts w:eastAsia="Lato Light" w:cs="Lato Light"/>
                <w:color w:val="000000"/>
                <w:sz w:val="18"/>
                <w:szCs w:val="18"/>
              </w:rPr>
              <w:t>0.40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0B" w14:textId="77777777" w:rsidR="00C9593D" w:rsidRDefault="0069723F">
            <w:pPr>
              <w:keepNext/>
              <w:spacing w:before="100" w:after="100" w:line="240" w:lineRule="auto"/>
              <w:ind w:left="100" w:right="100"/>
              <w:jc w:val="center"/>
            </w:pPr>
            <w:r>
              <w:rPr>
                <w:rFonts w:eastAsia="Lato Light" w:cs="Lato Light"/>
                <w:color w:val="000000"/>
                <w:sz w:val="18"/>
                <w:szCs w:val="18"/>
              </w:rPr>
              <w:t>1.70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0C" w14:textId="77777777" w:rsidR="00C9593D" w:rsidRDefault="0069723F">
            <w:pPr>
              <w:keepNext/>
              <w:spacing w:before="100" w:after="100" w:line="240" w:lineRule="auto"/>
              <w:ind w:left="100" w:right="100"/>
              <w:jc w:val="center"/>
            </w:pPr>
            <w:r>
              <w:rPr>
                <w:rFonts w:eastAsia="Lato Light" w:cs="Lato Light"/>
                <w:color w:val="000000"/>
                <w:sz w:val="18"/>
                <w:szCs w:val="18"/>
              </w:rPr>
              <w:t>0.30</w:t>
            </w:r>
          </w:p>
        </w:tc>
      </w:tr>
      <w:tr w:rsidR="00C9593D" w14:paraId="42801319"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4280130E" w14:textId="77777777" w:rsidR="00C9593D" w:rsidRDefault="0069723F">
            <w:pPr>
              <w:keepNext/>
              <w:spacing w:before="100" w:after="100" w:line="240" w:lineRule="auto"/>
              <w:ind w:left="100" w:right="100"/>
              <w:jc w:val="left"/>
            </w:pPr>
            <w:r>
              <w:rPr>
                <w:rFonts w:eastAsia="Lato Light" w:cs="Lato Light"/>
                <w:b/>
                <w:color w:val="000000"/>
                <w:sz w:val="18"/>
                <w:szCs w:val="18"/>
              </w:rPr>
              <w:t>LH (U/L)</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0F" w14:textId="77777777" w:rsidR="00C9593D" w:rsidRDefault="0069723F">
            <w:pPr>
              <w:keepNext/>
              <w:spacing w:before="100" w:after="100" w:line="240" w:lineRule="auto"/>
              <w:ind w:left="100" w:right="100"/>
              <w:jc w:val="center"/>
            </w:pPr>
            <w:r>
              <w:rPr>
                <w:rFonts w:eastAsia="Lato Light" w:cs="Lato Light"/>
                <w:color w:val="000000"/>
                <w:sz w:val="18"/>
                <w:szCs w:val="18"/>
              </w:rPr>
              <w:t>4.5</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0" w14:textId="77777777" w:rsidR="00C9593D" w:rsidRDefault="0069723F">
            <w:pPr>
              <w:keepNext/>
              <w:spacing w:before="100" w:after="100" w:line="240" w:lineRule="auto"/>
              <w:ind w:left="100" w:right="100"/>
              <w:jc w:val="center"/>
            </w:pPr>
            <w:r>
              <w:rPr>
                <w:rFonts w:eastAsia="Lato Light" w:cs="Lato Light"/>
                <w:color w:val="000000"/>
                <w:sz w:val="18"/>
                <w:szCs w:val="18"/>
              </w:rPr>
              <w:t>4.10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11" w14:textId="77777777" w:rsidR="00C9593D" w:rsidRDefault="0069723F">
            <w:pPr>
              <w:keepNext/>
              <w:spacing w:before="100" w:after="100" w:line="240" w:lineRule="auto"/>
              <w:ind w:left="100" w:right="100"/>
              <w:jc w:val="center"/>
            </w:pPr>
            <w:r>
              <w:rPr>
                <w:rFonts w:eastAsia="Lato Light" w:cs="Lato Light"/>
                <w:color w:val="000000"/>
                <w:sz w:val="18"/>
                <w:szCs w:val="18"/>
              </w:rPr>
              <w:t>3.40</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2" w14:textId="77777777" w:rsidR="00C9593D" w:rsidRDefault="0069723F">
            <w:pPr>
              <w:keepNext/>
              <w:spacing w:before="100" w:after="100" w:line="240" w:lineRule="auto"/>
              <w:ind w:left="100" w:right="100"/>
              <w:jc w:val="center"/>
            </w:pPr>
            <w:r>
              <w:rPr>
                <w:rFonts w:eastAsia="Lato Light" w:cs="Lato Light"/>
                <w:color w:val="000000"/>
                <w:sz w:val="18"/>
                <w:szCs w:val="18"/>
              </w:rPr>
              <w:t>4.80</w:t>
            </w:r>
          </w:p>
        </w:tc>
        <w:tc>
          <w:tcPr>
            <w:tcW w:w="1417" w:type="dxa"/>
            <w:shd w:val="clear" w:color="auto" w:fill="FFFFFF"/>
            <w:tcMar>
              <w:top w:w="0" w:type="dxa"/>
              <w:left w:w="0" w:type="dxa"/>
              <w:bottom w:w="0" w:type="dxa"/>
              <w:right w:w="0" w:type="dxa"/>
            </w:tcMar>
            <w:vAlign w:val="center"/>
          </w:tcPr>
          <w:p w14:paraId="42801313" w14:textId="77777777" w:rsidR="00C9593D" w:rsidRDefault="0069723F">
            <w:pPr>
              <w:keepNext/>
              <w:spacing w:before="100" w:after="100" w:line="240" w:lineRule="auto"/>
              <w:ind w:left="100" w:right="100"/>
              <w:jc w:val="center"/>
            </w:pPr>
            <w:r>
              <w:rPr>
                <w:rFonts w:eastAsia="Lato Light" w:cs="Lato Light"/>
                <w:color w:val="000000"/>
                <w:sz w:val="18"/>
                <w:szCs w:val="18"/>
              </w:rPr>
              <w:t>0.15</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14" w14:textId="77777777" w:rsidR="00C9593D" w:rsidRDefault="0069723F">
            <w:pPr>
              <w:keepNext/>
              <w:spacing w:before="100" w:after="100" w:line="240" w:lineRule="auto"/>
              <w:ind w:left="100" w:right="100"/>
              <w:jc w:val="center"/>
            </w:pPr>
            <w:r>
              <w:rPr>
                <w:rFonts w:eastAsia="Lato Light" w:cs="Lato Light"/>
                <w:color w:val="000000"/>
                <w:sz w:val="18"/>
                <w:szCs w:val="18"/>
              </w:rPr>
              <w:t>3.10</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5" w14:textId="77777777" w:rsidR="00C9593D" w:rsidRDefault="0069723F">
            <w:pPr>
              <w:keepNext/>
              <w:spacing w:before="100" w:after="100" w:line="240" w:lineRule="auto"/>
              <w:ind w:left="100" w:right="100"/>
              <w:jc w:val="center"/>
            </w:pPr>
            <w:r>
              <w:rPr>
                <w:rFonts w:eastAsia="Lato Light" w:cs="Lato Light"/>
                <w:color w:val="000000"/>
                <w:sz w:val="18"/>
                <w:szCs w:val="18"/>
              </w:rPr>
              <w:t>2.40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16" w14:textId="77777777" w:rsidR="00C9593D" w:rsidRDefault="0069723F">
            <w:pPr>
              <w:keepNext/>
              <w:spacing w:before="100" w:after="100" w:line="240" w:lineRule="auto"/>
              <w:ind w:left="100" w:right="100"/>
              <w:jc w:val="center"/>
            </w:pPr>
            <w:r>
              <w:rPr>
                <w:rFonts w:eastAsia="Lato Light" w:cs="Lato Light"/>
                <w:color w:val="000000"/>
                <w:sz w:val="18"/>
                <w:szCs w:val="18"/>
              </w:rPr>
              <w:t>0.20</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7" w14:textId="77777777" w:rsidR="00C9593D" w:rsidRDefault="0069723F">
            <w:pPr>
              <w:keepNext/>
              <w:spacing w:before="100" w:after="100" w:line="240" w:lineRule="auto"/>
              <w:ind w:left="100" w:right="100"/>
              <w:jc w:val="center"/>
            </w:pPr>
            <w:r>
              <w:rPr>
                <w:rFonts w:eastAsia="Lato Light" w:cs="Lato Light"/>
                <w:color w:val="000000"/>
                <w:sz w:val="18"/>
                <w:szCs w:val="18"/>
              </w:rPr>
              <w:t>1.40</w:t>
            </w:r>
          </w:p>
        </w:tc>
        <w:tc>
          <w:tcPr>
            <w:tcW w:w="1417" w:type="dxa"/>
            <w:tcBorders>
              <w:right w:val="single" w:sz="20" w:space="0" w:color="60A3BC"/>
            </w:tcBorders>
            <w:shd w:val="clear" w:color="auto" w:fill="FFFFFF"/>
            <w:tcMar>
              <w:top w:w="0" w:type="dxa"/>
              <w:left w:w="0" w:type="dxa"/>
              <w:bottom w:w="0" w:type="dxa"/>
              <w:right w:w="0" w:type="dxa"/>
            </w:tcMar>
            <w:vAlign w:val="center"/>
          </w:tcPr>
          <w:p w14:paraId="42801318" w14:textId="77777777" w:rsidR="00C9593D" w:rsidRDefault="0069723F">
            <w:pPr>
              <w:keepNext/>
              <w:spacing w:before="100" w:after="100" w:line="240" w:lineRule="auto"/>
              <w:ind w:left="100" w:right="100"/>
              <w:jc w:val="center"/>
            </w:pPr>
            <w:r>
              <w:rPr>
                <w:rFonts w:eastAsia="Lato Light" w:cs="Lato Light"/>
                <w:color w:val="000000"/>
                <w:sz w:val="18"/>
                <w:szCs w:val="18"/>
              </w:rPr>
              <w:t>0.20</w:t>
            </w:r>
          </w:p>
        </w:tc>
      </w:tr>
      <w:tr w:rsidR="00C9593D" w14:paraId="42801325"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4280131A" w14:textId="77777777" w:rsidR="00C9593D" w:rsidRDefault="0069723F">
            <w:pPr>
              <w:keepNext/>
              <w:spacing w:before="100" w:after="100" w:line="240" w:lineRule="auto"/>
              <w:ind w:left="100" w:right="100"/>
              <w:jc w:val="left"/>
            </w:pPr>
            <w:r>
              <w:rPr>
                <w:rFonts w:eastAsia="Lato Light" w:cs="Lato Light"/>
                <w:b/>
                <w:color w:val="000000"/>
                <w:sz w:val="18"/>
                <w:szCs w:val="18"/>
              </w:rPr>
              <w:t>Estradiol (ng/L)</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1B" w14:textId="77777777" w:rsidR="00C9593D" w:rsidRDefault="0069723F">
            <w:pPr>
              <w:keepNext/>
              <w:spacing w:before="100" w:after="100" w:line="240" w:lineRule="auto"/>
              <w:ind w:left="100" w:right="100"/>
              <w:jc w:val="center"/>
            </w:pPr>
            <w:r>
              <w:rPr>
                <w:rFonts w:eastAsia="Lato Light" w:cs="Lato Light"/>
                <w:color w:val="000000"/>
                <w:sz w:val="18"/>
                <w:szCs w:val="18"/>
              </w:rPr>
              <w:t>31</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C" w14:textId="77777777" w:rsidR="00C9593D" w:rsidRDefault="0069723F">
            <w:pPr>
              <w:keepNext/>
              <w:spacing w:before="100" w:after="100" w:line="240" w:lineRule="auto"/>
              <w:ind w:left="100" w:right="100"/>
              <w:jc w:val="center"/>
            </w:pPr>
            <w:r>
              <w:rPr>
                <w:rFonts w:eastAsia="Lato Light" w:cs="Lato Light"/>
                <w:color w:val="000000"/>
                <w:sz w:val="18"/>
                <w:szCs w:val="18"/>
              </w:rPr>
              <w:t>144</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1D" w14:textId="77777777" w:rsidR="00C9593D" w:rsidRDefault="0069723F">
            <w:pPr>
              <w:keepNext/>
              <w:spacing w:before="100" w:after="100" w:line="240" w:lineRule="auto"/>
              <w:ind w:left="100" w:right="100"/>
              <w:jc w:val="center"/>
            </w:pPr>
            <w:r>
              <w:rPr>
                <w:rFonts w:eastAsia="Lato Light" w:cs="Lato Light"/>
                <w:color w:val="000000"/>
                <w:sz w:val="18"/>
                <w:szCs w:val="18"/>
              </w:rPr>
              <w:t>53</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1E" w14:textId="77777777" w:rsidR="00C9593D" w:rsidRDefault="0069723F">
            <w:pPr>
              <w:keepNext/>
              <w:spacing w:before="100" w:after="100" w:line="240" w:lineRule="auto"/>
              <w:ind w:left="100" w:right="100"/>
              <w:jc w:val="center"/>
            </w:pPr>
            <w:r>
              <w:rPr>
                <w:rFonts w:eastAsia="Lato Light" w:cs="Lato Light"/>
                <w:color w:val="000000"/>
                <w:sz w:val="18"/>
                <w:szCs w:val="18"/>
              </w:rPr>
              <w:t>77</w:t>
            </w:r>
          </w:p>
        </w:tc>
        <w:tc>
          <w:tcPr>
            <w:tcW w:w="1417" w:type="dxa"/>
            <w:shd w:val="clear" w:color="auto" w:fill="FFFFFF"/>
            <w:tcMar>
              <w:top w:w="0" w:type="dxa"/>
              <w:left w:w="0" w:type="dxa"/>
              <w:bottom w:w="0" w:type="dxa"/>
              <w:right w:w="0" w:type="dxa"/>
            </w:tcMar>
            <w:vAlign w:val="center"/>
          </w:tcPr>
          <w:p w14:paraId="4280131F" w14:textId="77777777" w:rsidR="00C9593D" w:rsidRDefault="0069723F">
            <w:pPr>
              <w:keepNext/>
              <w:spacing w:before="100" w:after="100" w:line="240" w:lineRule="auto"/>
              <w:ind w:left="100" w:right="100"/>
              <w:jc w:val="center"/>
            </w:pPr>
            <w:r>
              <w:rPr>
                <w:rFonts w:eastAsia="Lato Light" w:cs="Lato Light"/>
                <w:color w:val="000000"/>
                <w:sz w:val="18"/>
                <w:szCs w:val="18"/>
              </w:rPr>
              <w:t>134</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0" w14:textId="77777777" w:rsidR="00C9593D" w:rsidRDefault="0069723F">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1" w14:textId="77777777" w:rsidR="00C9593D" w:rsidRDefault="0069723F">
            <w:pPr>
              <w:keepNext/>
              <w:spacing w:before="100" w:after="100" w:line="240" w:lineRule="auto"/>
              <w:ind w:left="100" w:right="100"/>
              <w:jc w:val="center"/>
            </w:pPr>
            <w:r>
              <w:rPr>
                <w:rFonts w:eastAsia="Lato Light" w:cs="Lato Light"/>
                <w:color w:val="000000"/>
                <w:sz w:val="18"/>
                <w:szCs w:val="18"/>
              </w:rPr>
              <w:t>132</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2" w14:textId="77777777" w:rsidR="00C9593D" w:rsidRDefault="0069723F">
            <w:pPr>
              <w:keepNext/>
              <w:spacing w:before="100" w:after="100" w:line="240" w:lineRule="auto"/>
              <w:ind w:left="100" w:right="100"/>
              <w:jc w:val="center"/>
            </w:pPr>
            <w:r>
              <w:rPr>
                <w:rFonts w:eastAsia="Lato Light" w:cs="Lato Light"/>
                <w:color w:val="000000"/>
                <w:sz w:val="18"/>
                <w:szCs w:val="18"/>
              </w:rPr>
              <w:t>198</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3" w14:textId="77777777" w:rsidR="00C9593D" w:rsidRDefault="0069723F">
            <w:pPr>
              <w:keepNext/>
              <w:spacing w:before="100" w:after="100" w:line="240" w:lineRule="auto"/>
              <w:ind w:left="100" w:right="100"/>
              <w:jc w:val="center"/>
            </w:pPr>
            <w:r>
              <w:rPr>
                <w:rFonts w:eastAsia="Lato Light" w:cs="Lato Light"/>
                <w:color w:val="000000"/>
                <w:sz w:val="18"/>
                <w:szCs w:val="18"/>
              </w:rPr>
              <w:t>302</w:t>
            </w:r>
          </w:p>
        </w:tc>
        <w:tc>
          <w:tcPr>
            <w:tcW w:w="1417" w:type="dxa"/>
            <w:tcBorders>
              <w:right w:val="single" w:sz="20" w:space="0" w:color="60A3BC"/>
            </w:tcBorders>
            <w:shd w:val="clear" w:color="auto" w:fill="FFFFFF"/>
            <w:tcMar>
              <w:top w:w="0" w:type="dxa"/>
              <w:left w:w="0" w:type="dxa"/>
              <w:bottom w:w="0" w:type="dxa"/>
              <w:right w:w="0" w:type="dxa"/>
            </w:tcMar>
            <w:vAlign w:val="center"/>
          </w:tcPr>
          <w:p w14:paraId="42801324" w14:textId="77777777" w:rsidR="00C9593D" w:rsidRDefault="0069723F">
            <w:pPr>
              <w:keepNext/>
              <w:spacing w:before="100" w:after="100" w:line="240" w:lineRule="auto"/>
              <w:ind w:left="100" w:right="100"/>
              <w:jc w:val="center"/>
            </w:pPr>
            <w:r>
              <w:rPr>
                <w:rFonts w:eastAsia="Lato Light" w:cs="Lato Light"/>
                <w:color w:val="000000"/>
                <w:sz w:val="18"/>
                <w:szCs w:val="18"/>
              </w:rPr>
              <w:t>336</w:t>
            </w:r>
          </w:p>
        </w:tc>
      </w:tr>
      <w:tr w:rsidR="00C9593D" w14:paraId="42801331"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42801326" w14:textId="77777777" w:rsidR="00C9593D" w:rsidRDefault="0069723F">
            <w:pPr>
              <w:keepNext/>
              <w:spacing w:before="100" w:after="100" w:line="240" w:lineRule="auto"/>
              <w:ind w:left="100" w:right="100"/>
              <w:jc w:val="left"/>
            </w:pPr>
            <w:r>
              <w:rPr>
                <w:rFonts w:eastAsia="Lato Light" w:cs="Lato Light"/>
                <w:b/>
                <w:color w:val="000000"/>
                <w:sz w:val="18"/>
                <w:szCs w:val="18"/>
              </w:rPr>
              <w:t>Testostérone totale (nmol/L)</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7" w14:textId="77777777" w:rsidR="00C9593D" w:rsidRDefault="0069723F">
            <w:pPr>
              <w:keepNext/>
              <w:spacing w:before="100" w:after="100" w:line="240" w:lineRule="auto"/>
              <w:ind w:left="100" w:right="100"/>
              <w:jc w:val="center"/>
            </w:pPr>
            <w:r>
              <w:rPr>
                <w:rFonts w:eastAsia="Lato Light" w:cs="Lato Light"/>
                <w:color w:val="000000"/>
                <w:sz w:val="18"/>
                <w:szCs w:val="18"/>
              </w:rPr>
              <w:t>19.7</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8" w14:textId="77777777" w:rsidR="00C9593D" w:rsidRDefault="0069723F">
            <w:pPr>
              <w:keepNext/>
              <w:spacing w:before="100" w:after="100" w:line="240" w:lineRule="auto"/>
              <w:ind w:left="100" w:right="100"/>
              <w:jc w:val="center"/>
            </w:pPr>
            <w:r>
              <w:rPr>
                <w:rFonts w:eastAsia="Lato Light" w:cs="Lato Light"/>
                <w:color w:val="000000"/>
                <w:sz w:val="18"/>
                <w:szCs w:val="18"/>
              </w:rPr>
              <w:t>2.7</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9" w14:textId="77777777" w:rsidR="00C9593D" w:rsidRDefault="0069723F">
            <w:pPr>
              <w:keepNext/>
              <w:spacing w:before="100" w:after="100" w:line="240" w:lineRule="auto"/>
              <w:ind w:left="100" w:right="100"/>
              <w:jc w:val="center"/>
            </w:pPr>
            <w:r>
              <w:rPr>
                <w:rFonts w:eastAsia="Lato Light" w:cs="Lato Light"/>
                <w:color w:val="000000"/>
                <w:sz w:val="18"/>
                <w:szCs w:val="18"/>
              </w:rPr>
              <w:t>13.1</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A" w14:textId="77777777" w:rsidR="00C9593D" w:rsidRDefault="0069723F">
            <w:pPr>
              <w:keepNext/>
              <w:spacing w:before="100" w:after="100" w:line="240" w:lineRule="auto"/>
              <w:ind w:left="100" w:right="100"/>
              <w:jc w:val="center"/>
            </w:pPr>
            <w:r>
              <w:rPr>
                <w:rFonts w:eastAsia="Lato Light" w:cs="Lato Light"/>
                <w:color w:val="000000"/>
                <w:sz w:val="18"/>
                <w:szCs w:val="18"/>
              </w:rPr>
              <w:t>16.3</w:t>
            </w:r>
          </w:p>
        </w:tc>
        <w:tc>
          <w:tcPr>
            <w:tcW w:w="1417" w:type="dxa"/>
            <w:shd w:val="clear" w:color="auto" w:fill="FFFFFF"/>
            <w:tcMar>
              <w:top w:w="0" w:type="dxa"/>
              <w:left w:w="0" w:type="dxa"/>
              <w:bottom w:w="0" w:type="dxa"/>
              <w:right w:w="0" w:type="dxa"/>
            </w:tcMar>
            <w:vAlign w:val="center"/>
          </w:tcPr>
          <w:p w14:paraId="4280132B" w14:textId="77777777" w:rsidR="00C9593D" w:rsidRDefault="0069723F">
            <w:pPr>
              <w:keepNext/>
              <w:spacing w:before="100" w:after="100" w:line="240" w:lineRule="auto"/>
              <w:ind w:left="100" w:right="100"/>
              <w:jc w:val="center"/>
            </w:pPr>
            <w:r>
              <w:rPr>
                <w:rFonts w:eastAsia="Lato Light" w:cs="Lato Light"/>
                <w:color w:val="000000"/>
                <w:sz w:val="18"/>
                <w:szCs w:val="18"/>
              </w:rPr>
              <w:t>1.3</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C" w14:textId="77777777" w:rsidR="00C9593D" w:rsidRDefault="0069723F">
            <w:pPr>
              <w:keepNext/>
              <w:spacing w:before="100" w:after="100" w:line="240" w:lineRule="auto"/>
              <w:ind w:left="100" w:right="100"/>
              <w:jc w:val="center"/>
            </w:pPr>
            <w:r>
              <w:rPr>
                <w:rFonts w:eastAsia="Lato Light" w:cs="Lato Light"/>
                <w:color w:val="000000"/>
                <w:sz w:val="18"/>
                <w:szCs w:val="18"/>
              </w:rPr>
              <w:t>13.2</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D" w14:textId="77777777" w:rsidR="00C9593D" w:rsidRDefault="0069723F">
            <w:pPr>
              <w:keepNext/>
              <w:spacing w:before="100" w:after="100" w:line="240" w:lineRule="auto"/>
              <w:ind w:left="100" w:right="100"/>
              <w:jc w:val="center"/>
            </w:pPr>
            <w:r>
              <w:rPr>
                <w:rFonts w:eastAsia="Lato Light" w:cs="Lato Light"/>
                <w:color w:val="000000"/>
                <w:sz w:val="18"/>
                <w:szCs w:val="18"/>
              </w:rPr>
              <w:t>2.0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2E" w14:textId="77777777" w:rsidR="00C9593D" w:rsidRDefault="0069723F">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2F" w14:textId="77777777" w:rsidR="00C9593D" w:rsidRDefault="0069723F">
            <w:pPr>
              <w:keepNext/>
              <w:spacing w:before="100" w:after="100" w:line="240" w:lineRule="auto"/>
              <w:ind w:left="100" w:right="100"/>
              <w:jc w:val="center"/>
            </w:pPr>
            <w:r>
              <w:rPr>
                <w:rFonts w:eastAsia="Lato Light" w:cs="Lato Light"/>
                <w:color w:val="000000"/>
                <w:sz w:val="18"/>
                <w:szCs w:val="18"/>
              </w:rPr>
              <w:t>3.8</w:t>
            </w:r>
          </w:p>
        </w:tc>
        <w:tc>
          <w:tcPr>
            <w:tcW w:w="1417" w:type="dxa"/>
            <w:tcBorders>
              <w:right w:val="single" w:sz="20" w:space="0" w:color="60A3BC"/>
            </w:tcBorders>
            <w:shd w:val="clear" w:color="auto" w:fill="FFFFFF"/>
            <w:tcMar>
              <w:top w:w="0" w:type="dxa"/>
              <w:left w:w="0" w:type="dxa"/>
              <w:bottom w:w="0" w:type="dxa"/>
              <w:right w:w="0" w:type="dxa"/>
            </w:tcMar>
            <w:vAlign w:val="center"/>
          </w:tcPr>
          <w:p w14:paraId="42801330" w14:textId="77777777" w:rsidR="00C9593D" w:rsidRDefault="0069723F">
            <w:pPr>
              <w:keepNext/>
              <w:spacing w:before="100" w:after="100" w:line="240" w:lineRule="auto"/>
              <w:ind w:left="100" w:right="100"/>
              <w:jc w:val="center"/>
            </w:pPr>
            <w:r>
              <w:rPr>
                <w:rFonts w:eastAsia="Lato Light" w:cs="Lato Light"/>
                <w:color w:val="000000"/>
                <w:sz w:val="18"/>
                <w:szCs w:val="18"/>
              </w:rPr>
              <w:t>0.9</w:t>
            </w:r>
          </w:p>
        </w:tc>
      </w:tr>
      <w:tr w:rsidR="00C9593D" w14:paraId="4280133D"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42801332" w14:textId="77777777" w:rsidR="00C9593D" w:rsidRDefault="0069723F">
            <w:pPr>
              <w:keepNext/>
              <w:spacing w:before="100" w:after="100" w:line="240" w:lineRule="auto"/>
              <w:ind w:left="100" w:right="100"/>
              <w:jc w:val="left"/>
            </w:pPr>
            <w:r>
              <w:rPr>
                <w:rFonts w:eastAsia="Lato Light" w:cs="Lato Light"/>
                <w:b/>
                <w:color w:val="000000"/>
                <w:sz w:val="18"/>
                <w:szCs w:val="18"/>
              </w:rPr>
              <w:t>Prolactine (mUI/L)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33" w14:textId="77777777" w:rsidR="00C9593D" w:rsidRDefault="0069723F">
            <w:pPr>
              <w:keepNext/>
              <w:spacing w:before="100" w:after="100" w:line="240" w:lineRule="auto"/>
              <w:ind w:left="100" w:right="100"/>
              <w:jc w:val="center"/>
            </w:pPr>
            <w:r>
              <w:rPr>
                <w:rFonts w:eastAsia="Lato Light" w:cs="Lato Light"/>
                <w:color w:val="000000"/>
                <w:sz w:val="18"/>
                <w:szCs w:val="18"/>
              </w:rPr>
              <w:t>123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34" w14:textId="77777777" w:rsidR="00C9593D" w:rsidRDefault="0069723F">
            <w:pPr>
              <w:keepNext/>
              <w:spacing w:before="100" w:after="100" w:line="240" w:lineRule="auto"/>
              <w:ind w:left="100" w:right="100"/>
              <w:jc w:val="center"/>
            </w:pPr>
            <w:r>
              <w:rPr>
                <w:rFonts w:eastAsia="Lato Light" w:cs="Lato Light"/>
                <w:color w:val="000000"/>
                <w:sz w:val="18"/>
                <w:szCs w:val="18"/>
              </w:rPr>
              <w:t>233</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35" w14:textId="77777777" w:rsidR="00C9593D" w:rsidRDefault="0069723F">
            <w:pPr>
              <w:keepNext/>
              <w:spacing w:before="100" w:after="100" w:line="240" w:lineRule="auto"/>
              <w:ind w:left="100" w:right="100"/>
              <w:jc w:val="center"/>
            </w:pPr>
            <w:r>
              <w:rPr>
                <w:rFonts w:eastAsia="Lato Light" w:cs="Lato Light"/>
                <w:color w:val="000000"/>
                <w:sz w:val="18"/>
                <w:szCs w:val="18"/>
              </w:rPr>
              <w:t>137</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36" w14:textId="77777777" w:rsidR="00C9593D" w:rsidRDefault="0069723F">
            <w:pPr>
              <w:keepNext/>
              <w:spacing w:before="100" w:after="100" w:line="240" w:lineRule="auto"/>
              <w:ind w:left="100" w:right="100"/>
              <w:jc w:val="center"/>
            </w:pPr>
            <w:r>
              <w:rPr>
                <w:rFonts w:eastAsia="Lato Light" w:cs="Lato Light"/>
                <w:color w:val="000000"/>
                <w:sz w:val="18"/>
                <w:szCs w:val="18"/>
              </w:rPr>
              <w:t>177</w:t>
            </w:r>
          </w:p>
        </w:tc>
        <w:tc>
          <w:tcPr>
            <w:tcW w:w="1417" w:type="dxa"/>
            <w:tcBorders>
              <w:bottom w:val="single" w:sz="4" w:space="0" w:color="3C6382"/>
            </w:tcBorders>
            <w:shd w:val="clear" w:color="auto" w:fill="FFFFFF"/>
            <w:tcMar>
              <w:top w:w="0" w:type="dxa"/>
              <w:left w:w="0" w:type="dxa"/>
              <w:bottom w:w="0" w:type="dxa"/>
              <w:right w:w="0" w:type="dxa"/>
            </w:tcMar>
            <w:vAlign w:val="center"/>
          </w:tcPr>
          <w:p w14:paraId="42801337"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38" w14:textId="77777777" w:rsidR="00C9593D" w:rsidRDefault="0069723F">
            <w:pPr>
              <w:keepNext/>
              <w:spacing w:before="100" w:after="100" w:line="240" w:lineRule="auto"/>
              <w:ind w:left="100" w:right="100"/>
              <w:jc w:val="center"/>
            </w:pPr>
            <w:r>
              <w:rPr>
                <w:rFonts w:eastAsia="Lato Light" w:cs="Lato Light"/>
                <w:color w:val="000000"/>
                <w:sz w:val="18"/>
                <w:szCs w:val="18"/>
              </w:rPr>
              <w:t>149</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39" w14:textId="77777777" w:rsidR="00C9593D" w:rsidRDefault="0069723F">
            <w:pPr>
              <w:keepNext/>
              <w:spacing w:before="100" w:after="100" w:line="240" w:lineRule="auto"/>
              <w:ind w:left="100" w:right="100"/>
              <w:jc w:val="center"/>
            </w:pPr>
            <w:r>
              <w:rPr>
                <w:rFonts w:eastAsia="Lato Light" w:cs="Lato Light"/>
                <w:color w:val="000000"/>
                <w:sz w:val="18"/>
                <w:szCs w:val="18"/>
              </w:rPr>
              <w:t>297</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3A" w14:textId="77777777" w:rsidR="00C9593D" w:rsidRDefault="0069723F">
            <w:pPr>
              <w:keepNext/>
              <w:spacing w:before="100" w:after="100" w:line="240" w:lineRule="auto"/>
              <w:ind w:left="100" w:right="100"/>
              <w:jc w:val="center"/>
            </w:pPr>
            <w:r>
              <w:rPr>
                <w:rFonts w:eastAsia="Lato Light" w:cs="Lato Light"/>
                <w:color w:val="000000"/>
                <w:sz w:val="18"/>
                <w:szCs w:val="18"/>
              </w:rPr>
              <w:t>178</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3B" w14:textId="77777777" w:rsidR="00C9593D" w:rsidRDefault="0069723F">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3C" w14:textId="77777777" w:rsidR="00C9593D" w:rsidRDefault="0069723F">
            <w:pPr>
              <w:keepNext/>
              <w:spacing w:before="100" w:after="100" w:line="240" w:lineRule="auto"/>
              <w:ind w:left="100" w:right="100"/>
              <w:jc w:val="center"/>
            </w:pPr>
            <w:r>
              <w:rPr>
                <w:rFonts w:eastAsia="Lato Light" w:cs="Lato Light"/>
                <w:color w:val="000000"/>
                <w:sz w:val="18"/>
                <w:szCs w:val="18"/>
              </w:rPr>
              <w:t>202</w:t>
            </w:r>
          </w:p>
        </w:tc>
      </w:tr>
      <w:tr w:rsidR="00C9593D" w14:paraId="42801349" w14:textId="77777777">
        <w:trPr>
          <w:cantSplit/>
          <w:jc w:val="center"/>
        </w:trPr>
        <w:tc>
          <w:tcPr>
            <w:tcW w:w="2268" w:type="dxa"/>
            <w:tcBorders>
              <w:top w:val="single" w:sz="4" w:space="0" w:color="3C6382"/>
              <w:left w:val="single" w:sz="20" w:space="0" w:color="60A3BC"/>
              <w:bottom w:val="single" w:sz="4" w:space="0" w:color="3C6382"/>
            </w:tcBorders>
            <w:shd w:val="clear" w:color="auto" w:fill="FFFFFF"/>
            <w:tcMar>
              <w:top w:w="0" w:type="dxa"/>
              <w:left w:w="0" w:type="dxa"/>
              <w:bottom w:w="0" w:type="dxa"/>
              <w:right w:w="0" w:type="dxa"/>
            </w:tcMar>
          </w:tcPr>
          <w:p w14:paraId="4280133E" w14:textId="77777777" w:rsidR="00C9593D" w:rsidRDefault="0069723F">
            <w:pPr>
              <w:keepNext/>
              <w:spacing w:before="100" w:after="100" w:line="240" w:lineRule="auto"/>
              <w:ind w:left="100" w:right="100"/>
              <w:jc w:val="left"/>
            </w:pPr>
            <w:r>
              <w:rPr>
                <w:rFonts w:eastAsia="Lato Light" w:cs="Lato Light"/>
                <w:b/>
                <w:color w:val="000000"/>
                <w:sz w:val="18"/>
                <w:szCs w:val="18"/>
              </w:rPr>
              <w:t>Hémoglobine (g/dL)</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4280133F" w14:textId="77777777" w:rsidR="00C9593D" w:rsidRDefault="0069723F">
            <w:pPr>
              <w:keepNext/>
              <w:spacing w:before="100" w:after="100" w:line="240" w:lineRule="auto"/>
              <w:ind w:left="100" w:right="100"/>
              <w:jc w:val="center"/>
            </w:pPr>
            <w:r>
              <w:rPr>
                <w:rFonts w:eastAsia="Lato Light" w:cs="Lato Light"/>
                <w:color w:val="000000"/>
                <w:sz w:val="18"/>
                <w:szCs w:val="18"/>
              </w:rPr>
              <w:t>15.4</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42801340" w14:textId="77777777" w:rsidR="00C9593D" w:rsidRDefault="0069723F">
            <w:pPr>
              <w:keepNext/>
              <w:spacing w:before="100" w:after="100" w:line="240" w:lineRule="auto"/>
              <w:ind w:left="100" w:right="100"/>
              <w:jc w:val="center"/>
            </w:pPr>
            <w:r>
              <w:rPr>
                <w:rFonts w:eastAsia="Lato Light" w:cs="Lato Light"/>
                <w:color w:val="000000"/>
                <w:sz w:val="18"/>
                <w:szCs w:val="18"/>
              </w:rPr>
              <w:t>14.6</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42801341" w14:textId="77777777" w:rsidR="00C9593D" w:rsidRDefault="0069723F">
            <w:pPr>
              <w:keepNext/>
              <w:spacing w:before="100" w:after="100" w:line="240" w:lineRule="auto"/>
              <w:ind w:left="100" w:right="100"/>
              <w:jc w:val="center"/>
            </w:pPr>
            <w:r>
              <w:rPr>
                <w:rFonts w:eastAsia="Lato Light" w:cs="Lato Light"/>
                <w:color w:val="000000"/>
                <w:sz w:val="18"/>
                <w:szCs w:val="18"/>
              </w:rPr>
              <w:t>14.7</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42801342" w14:textId="77777777" w:rsidR="00C9593D" w:rsidRDefault="0069723F">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bottom w:val="single" w:sz="4" w:space="0" w:color="3C6382"/>
            </w:tcBorders>
            <w:shd w:val="clear" w:color="auto" w:fill="FFFFFF"/>
            <w:tcMar>
              <w:top w:w="0" w:type="dxa"/>
              <w:left w:w="0" w:type="dxa"/>
              <w:bottom w:w="0" w:type="dxa"/>
              <w:right w:w="0" w:type="dxa"/>
            </w:tcMar>
            <w:vAlign w:val="center"/>
          </w:tcPr>
          <w:p w14:paraId="42801343" w14:textId="77777777" w:rsidR="00C9593D" w:rsidRDefault="0069723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42801344" w14:textId="77777777" w:rsidR="00C9593D" w:rsidRDefault="0069723F">
            <w:pPr>
              <w:keepNext/>
              <w:spacing w:before="100" w:after="100" w:line="240" w:lineRule="auto"/>
              <w:ind w:left="100" w:right="100"/>
              <w:jc w:val="center"/>
            </w:pPr>
            <w:r>
              <w:rPr>
                <w:rFonts w:eastAsia="Lato Light" w:cs="Lato Light"/>
                <w:color w:val="000000"/>
                <w:sz w:val="18"/>
                <w:szCs w:val="18"/>
              </w:rPr>
              <w:t>15.1</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42801345" w14:textId="77777777" w:rsidR="00C9593D" w:rsidRDefault="0069723F">
            <w:pPr>
              <w:keepNext/>
              <w:spacing w:before="100" w:after="100" w:line="240" w:lineRule="auto"/>
              <w:ind w:left="100" w:right="100"/>
              <w:jc w:val="center"/>
            </w:pPr>
            <w:r>
              <w:rPr>
                <w:rFonts w:eastAsia="Lato Light" w:cs="Lato Light"/>
                <w:color w:val="000000"/>
                <w:sz w:val="18"/>
                <w:szCs w:val="18"/>
              </w:rPr>
              <w:t>14.8</w:t>
            </w:r>
          </w:p>
        </w:tc>
        <w:tc>
          <w:tcPr>
            <w:tcW w:w="1417" w:type="dxa"/>
            <w:tcBorders>
              <w:top w:val="single" w:sz="4" w:space="0" w:color="3C6382"/>
              <w:bottom w:val="single" w:sz="4" w:space="0" w:color="3C6382"/>
              <w:right w:val="dashed" w:sz="4" w:space="0" w:color="3C6382"/>
            </w:tcBorders>
            <w:shd w:val="clear" w:color="auto" w:fill="FFFFFF"/>
            <w:tcMar>
              <w:top w:w="0" w:type="dxa"/>
              <w:left w:w="0" w:type="dxa"/>
              <w:bottom w:w="0" w:type="dxa"/>
              <w:right w:w="0" w:type="dxa"/>
            </w:tcMar>
            <w:vAlign w:val="center"/>
          </w:tcPr>
          <w:p w14:paraId="42801346" w14:textId="77777777" w:rsidR="00C9593D" w:rsidRDefault="0069723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bottom w:val="single" w:sz="4" w:space="0" w:color="3C6382"/>
            </w:tcBorders>
            <w:shd w:val="clear" w:color="auto" w:fill="FFFFFF"/>
            <w:tcMar>
              <w:top w:w="0" w:type="dxa"/>
              <w:left w:w="0" w:type="dxa"/>
              <w:bottom w:w="0" w:type="dxa"/>
              <w:right w:w="0" w:type="dxa"/>
            </w:tcMar>
            <w:vAlign w:val="center"/>
          </w:tcPr>
          <w:p w14:paraId="42801347" w14:textId="77777777" w:rsidR="00C9593D" w:rsidRDefault="0069723F">
            <w:pPr>
              <w:keepNext/>
              <w:spacing w:before="100" w:after="100" w:line="240" w:lineRule="auto"/>
              <w:ind w:left="100" w:right="100"/>
              <w:jc w:val="center"/>
            </w:pPr>
            <w:r>
              <w:rPr>
                <w:rFonts w:eastAsia="Lato Light" w:cs="Lato Light"/>
                <w:color w:val="000000"/>
                <w:sz w:val="18"/>
                <w:szCs w:val="18"/>
              </w:rPr>
              <w:t>15.2</w:t>
            </w:r>
          </w:p>
        </w:tc>
        <w:tc>
          <w:tcPr>
            <w:tcW w:w="1417" w:type="dxa"/>
            <w:tcBorders>
              <w:top w:val="single" w:sz="4" w:space="0" w:color="3C6382"/>
              <w:bottom w:val="single" w:sz="4" w:space="0" w:color="3C6382"/>
              <w:right w:val="single" w:sz="20" w:space="0" w:color="60A3BC"/>
            </w:tcBorders>
            <w:shd w:val="clear" w:color="auto" w:fill="FFFFFF"/>
            <w:tcMar>
              <w:top w:w="0" w:type="dxa"/>
              <w:left w:w="0" w:type="dxa"/>
              <w:bottom w:w="0" w:type="dxa"/>
              <w:right w:w="0" w:type="dxa"/>
            </w:tcMar>
            <w:vAlign w:val="center"/>
          </w:tcPr>
          <w:p w14:paraId="42801348" w14:textId="77777777" w:rsidR="00C9593D" w:rsidRDefault="0069723F">
            <w:pPr>
              <w:keepNext/>
              <w:spacing w:before="100" w:after="100" w:line="240" w:lineRule="auto"/>
              <w:ind w:left="100" w:right="100"/>
              <w:jc w:val="center"/>
            </w:pPr>
            <w:r>
              <w:rPr>
                <w:rFonts w:eastAsia="Lato Light" w:cs="Lato Light"/>
                <w:color w:val="000000"/>
                <w:sz w:val="18"/>
                <w:szCs w:val="18"/>
              </w:rPr>
              <w:t>13.6</w:t>
            </w:r>
          </w:p>
        </w:tc>
      </w:tr>
      <w:tr w:rsidR="00C9593D" w14:paraId="4280135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4280134A" w14:textId="77777777" w:rsidR="00C9593D" w:rsidRDefault="0069723F">
            <w:pPr>
              <w:keepNext/>
              <w:spacing w:before="100" w:after="100" w:line="240" w:lineRule="auto"/>
              <w:ind w:left="100" w:right="100"/>
              <w:jc w:val="left"/>
            </w:pPr>
            <w:r>
              <w:rPr>
                <w:rFonts w:eastAsia="Lato Light" w:cs="Lato Light"/>
                <w:b/>
                <w:color w:val="000000"/>
                <w:sz w:val="18"/>
                <w:szCs w:val="18"/>
              </w:rPr>
              <w:t>Créatinine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4B" w14:textId="77777777" w:rsidR="00C9593D" w:rsidRDefault="0069723F">
            <w:pPr>
              <w:keepNext/>
              <w:spacing w:before="100" w:after="100" w:line="240" w:lineRule="auto"/>
              <w:ind w:left="100" w:right="100"/>
              <w:jc w:val="center"/>
            </w:pPr>
            <w:r>
              <w:rPr>
                <w:rFonts w:eastAsia="Lato Light" w:cs="Lato Light"/>
                <w:color w:val="000000"/>
                <w:sz w:val="18"/>
                <w:szCs w:val="18"/>
              </w:rPr>
              <w:t>0.83</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4C" w14:textId="77777777" w:rsidR="00C9593D" w:rsidRDefault="0069723F">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4D" w14:textId="77777777" w:rsidR="00C9593D" w:rsidRDefault="0069723F">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4E" w14:textId="77777777" w:rsidR="00C9593D" w:rsidRDefault="0069723F">
            <w:pPr>
              <w:keepNext/>
              <w:spacing w:before="100" w:after="100" w:line="240" w:lineRule="auto"/>
              <w:ind w:left="100" w:right="100"/>
              <w:jc w:val="center"/>
            </w:pPr>
            <w:r>
              <w:rPr>
                <w:rFonts w:eastAsia="Lato Light" w:cs="Lato Light"/>
                <w:color w:val="000000"/>
                <w:sz w:val="18"/>
                <w:szCs w:val="18"/>
              </w:rPr>
              <w:t>0.78</w:t>
            </w:r>
          </w:p>
        </w:tc>
        <w:tc>
          <w:tcPr>
            <w:tcW w:w="1417" w:type="dxa"/>
            <w:tcBorders>
              <w:top w:val="single" w:sz="4" w:space="0" w:color="3C6382"/>
            </w:tcBorders>
            <w:shd w:val="clear" w:color="auto" w:fill="FFFFFF"/>
            <w:tcMar>
              <w:top w:w="0" w:type="dxa"/>
              <w:left w:w="0" w:type="dxa"/>
              <w:bottom w:w="0" w:type="dxa"/>
              <w:right w:w="0" w:type="dxa"/>
            </w:tcMar>
            <w:vAlign w:val="center"/>
          </w:tcPr>
          <w:p w14:paraId="4280134F" w14:textId="77777777" w:rsidR="00C9593D" w:rsidRDefault="0069723F">
            <w:pPr>
              <w:keepNext/>
              <w:spacing w:before="100" w:after="100" w:line="240" w:lineRule="auto"/>
              <w:ind w:left="100" w:right="100"/>
              <w:jc w:val="center"/>
            </w:pPr>
            <w:r>
              <w:rPr>
                <w:rFonts w:eastAsia="Lato Light" w:cs="Lato Light"/>
                <w:color w:val="000000"/>
                <w:sz w:val="18"/>
                <w:szCs w:val="18"/>
              </w:rPr>
              <w:t>0.79</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50" w14:textId="77777777" w:rsidR="00C9593D" w:rsidRDefault="0069723F">
            <w:pPr>
              <w:keepNext/>
              <w:spacing w:before="100" w:after="100" w:line="240" w:lineRule="auto"/>
              <w:ind w:left="100" w:right="100"/>
              <w:jc w:val="center"/>
            </w:pPr>
            <w:r>
              <w:rPr>
                <w:rFonts w:eastAsia="Lato Light" w:cs="Lato Light"/>
                <w:color w:val="000000"/>
                <w:sz w:val="18"/>
                <w:szCs w:val="18"/>
              </w:rPr>
              <w:t>0.81</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51" w14:textId="77777777" w:rsidR="00C9593D" w:rsidRDefault="0069723F">
            <w:pPr>
              <w:keepNext/>
              <w:spacing w:before="100" w:after="100" w:line="240" w:lineRule="auto"/>
              <w:ind w:left="100" w:right="100"/>
              <w:jc w:val="center"/>
            </w:pPr>
            <w:r>
              <w:rPr>
                <w:rFonts w:eastAsia="Lato Light" w:cs="Lato Light"/>
                <w:color w:val="000000"/>
                <w:sz w:val="18"/>
                <w:szCs w:val="18"/>
              </w:rPr>
              <w:t>0.66</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52" w14:textId="77777777" w:rsidR="00C9593D" w:rsidRDefault="0069723F">
            <w:pPr>
              <w:keepNext/>
              <w:spacing w:before="100" w:after="100" w:line="240" w:lineRule="auto"/>
              <w:ind w:left="100" w:right="100"/>
              <w:jc w:val="center"/>
            </w:pPr>
            <w:r>
              <w:rPr>
                <w:rFonts w:eastAsia="Lato Light" w:cs="Lato Light"/>
                <w:color w:val="000000"/>
                <w:sz w:val="18"/>
                <w:szCs w:val="18"/>
              </w:rPr>
              <w:t>0.68</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53" w14:textId="77777777" w:rsidR="00C9593D" w:rsidRDefault="0069723F">
            <w:pPr>
              <w:keepNext/>
              <w:spacing w:before="100" w:after="100" w:line="240" w:lineRule="auto"/>
              <w:ind w:left="100" w:right="100"/>
              <w:jc w:val="center"/>
            </w:pPr>
            <w:r>
              <w:rPr>
                <w:rFonts w:eastAsia="Lato Light" w:cs="Lato Light"/>
                <w:color w:val="000000"/>
                <w:sz w:val="18"/>
                <w:szCs w:val="18"/>
              </w:rPr>
              <w:t>0.72</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54" w14:textId="77777777" w:rsidR="00C9593D" w:rsidRDefault="0069723F">
            <w:pPr>
              <w:keepNext/>
              <w:spacing w:before="100" w:after="100" w:line="240" w:lineRule="auto"/>
              <w:ind w:left="100" w:right="100"/>
              <w:jc w:val="center"/>
            </w:pPr>
            <w:r>
              <w:rPr>
                <w:rFonts w:eastAsia="Lato Light" w:cs="Lato Light"/>
                <w:color w:val="000000"/>
                <w:sz w:val="18"/>
                <w:szCs w:val="18"/>
              </w:rPr>
              <w:t>0.71</w:t>
            </w:r>
          </w:p>
        </w:tc>
      </w:tr>
      <w:tr w:rsidR="00C9593D" w14:paraId="42801361"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42801356" w14:textId="77777777" w:rsidR="00C9593D" w:rsidRDefault="0069723F">
            <w:pPr>
              <w:keepNext/>
              <w:spacing w:before="100" w:after="100" w:line="240" w:lineRule="auto"/>
              <w:ind w:left="100" w:right="100"/>
              <w:jc w:val="left"/>
            </w:pPr>
            <w:r>
              <w:rPr>
                <w:rFonts w:eastAsia="Lato Light" w:cs="Lato Light"/>
                <w:b/>
                <w:color w:val="000000"/>
                <w:sz w:val="18"/>
                <w:szCs w:val="18"/>
              </w:rPr>
              <w:t>Potassium (mmol/L)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57" w14:textId="77777777" w:rsidR="00C9593D" w:rsidRDefault="0069723F">
            <w:pPr>
              <w:keepNext/>
              <w:spacing w:before="100" w:after="100" w:line="240" w:lineRule="auto"/>
              <w:ind w:left="100" w:right="100"/>
              <w:jc w:val="center"/>
            </w:pPr>
            <w:r>
              <w:rPr>
                <w:rFonts w:eastAsia="Lato Light" w:cs="Lato Light"/>
                <w:color w:val="000000"/>
                <w:sz w:val="18"/>
                <w:szCs w:val="18"/>
              </w:rPr>
              <w:t>4.20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58" w14:textId="77777777" w:rsidR="00C9593D" w:rsidRDefault="0069723F">
            <w:pPr>
              <w:keepNext/>
              <w:spacing w:before="100" w:after="100" w:line="240" w:lineRule="auto"/>
              <w:ind w:left="100" w:right="100"/>
              <w:jc w:val="center"/>
            </w:pPr>
            <w:r>
              <w:rPr>
                <w:rFonts w:eastAsia="Lato Light" w:cs="Lato Light"/>
                <w:color w:val="000000"/>
                <w:sz w:val="18"/>
                <w:szCs w:val="18"/>
              </w:rPr>
              <w:t>4.20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59" w14:textId="77777777" w:rsidR="00C9593D" w:rsidRDefault="0069723F">
            <w:pPr>
              <w:keepNext/>
              <w:spacing w:before="100" w:after="100" w:line="240" w:lineRule="auto"/>
              <w:ind w:left="100" w:right="100"/>
              <w:jc w:val="center"/>
            </w:pPr>
            <w:r>
              <w:rPr>
                <w:rFonts w:eastAsia="Lato Light" w:cs="Lato Light"/>
                <w:color w:val="000000"/>
                <w:sz w:val="18"/>
                <w:szCs w:val="18"/>
              </w:rPr>
              <w:t>3.70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5A" w14:textId="77777777" w:rsidR="00C9593D" w:rsidRDefault="0069723F">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tcBorders>
            <w:shd w:val="clear" w:color="auto" w:fill="FFFFFF"/>
            <w:tcMar>
              <w:top w:w="0" w:type="dxa"/>
              <w:left w:w="0" w:type="dxa"/>
              <w:bottom w:w="0" w:type="dxa"/>
              <w:right w:w="0" w:type="dxa"/>
            </w:tcMar>
            <w:vAlign w:val="center"/>
          </w:tcPr>
          <w:p w14:paraId="4280135B" w14:textId="77777777" w:rsidR="00C9593D" w:rsidRDefault="0069723F">
            <w:pPr>
              <w:keepNext/>
              <w:spacing w:before="100" w:after="100" w:line="240" w:lineRule="auto"/>
              <w:ind w:left="100" w:right="100"/>
              <w:jc w:val="center"/>
            </w:pPr>
            <w:r>
              <w:rPr>
                <w:rFonts w:eastAsia="Lato Light" w:cs="Lato Light"/>
                <w:color w:val="000000"/>
                <w:sz w:val="18"/>
                <w:szCs w:val="18"/>
              </w:rPr>
              <w:t>4.00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5C" w14:textId="77777777" w:rsidR="00C9593D" w:rsidRDefault="0069723F">
            <w:pPr>
              <w:keepNext/>
              <w:spacing w:before="100" w:after="100" w:line="240" w:lineRule="auto"/>
              <w:ind w:left="100" w:right="100"/>
              <w:jc w:val="center"/>
            </w:pPr>
            <w:r>
              <w:rPr>
                <w:rFonts w:eastAsia="Lato Light" w:cs="Lato Light"/>
                <w:color w:val="000000"/>
                <w:sz w:val="18"/>
                <w:szCs w:val="18"/>
              </w:rPr>
              <w:t>4.90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5D" w14:textId="77777777" w:rsidR="00C9593D" w:rsidRDefault="0069723F">
            <w:pPr>
              <w:keepNext/>
              <w:spacing w:before="100" w:after="100" w:line="240" w:lineRule="auto"/>
              <w:ind w:left="100" w:right="100"/>
              <w:jc w:val="center"/>
            </w:pPr>
            <w:r>
              <w:rPr>
                <w:rFonts w:eastAsia="Lato Light" w:cs="Lato Light"/>
                <w:color w:val="000000"/>
                <w:sz w:val="18"/>
                <w:szCs w:val="18"/>
              </w:rPr>
              <w:t>4.10</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5E" w14:textId="77777777" w:rsidR="00C9593D" w:rsidRDefault="0069723F">
            <w:pPr>
              <w:keepNext/>
              <w:spacing w:before="100" w:after="100" w:line="240" w:lineRule="auto"/>
              <w:ind w:left="100" w:right="100"/>
              <w:jc w:val="center"/>
            </w:pPr>
            <w:r>
              <w:rPr>
                <w:rFonts w:eastAsia="Lato Light" w:cs="Lato Light"/>
                <w:color w:val="000000"/>
                <w:sz w:val="18"/>
                <w:szCs w:val="18"/>
              </w:rPr>
              <w:t>3.86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5F" w14:textId="77777777" w:rsidR="00C9593D" w:rsidRDefault="0069723F">
            <w:pPr>
              <w:keepNext/>
              <w:spacing w:before="100" w:after="100" w:line="240" w:lineRule="auto"/>
              <w:ind w:left="100" w:right="100"/>
              <w:jc w:val="center"/>
            </w:pPr>
            <w:r>
              <w:rPr>
                <w:rFonts w:eastAsia="Lato Light" w:cs="Lato Light"/>
                <w:color w:val="000000"/>
                <w:sz w:val="18"/>
                <w:szCs w:val="18"/>
              </w:rPr>
              <w:t>4.40</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60" w14:textId="77777777" w:rsidR="00C9593D" w:rsidRDefault="0069723F">
            <w:pPr>
              <w:keepNext/>
              <w:spacing w:before="100" w:after="100" w:line="240" w:lineRule="auto"/>
              <w:ind w:left="100" w:right="100"/>
              <w:jc w:val="center"/>
            </w:pPr>
            <w:r>
              <w:rPr>
                <w:rFonts w:eastAsia="Lato Light" w:cs="Lato Light"/>
                <w:color w:val="000000"/>
                <w:sz w:val="18"/>
                <w:szCs w:val="18"/>
              </w:rPr>
              <w:t>3.70</w:t>
            </w:r>
          </w:p>
        </w:tc>
      </w:tr>
      <w:tr w:rsidR="00C9593D" w14:paraId="4280136D"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42801362" w14:textId="77777777" w:rsidR="00C9593D" w:rsidRDefault="0069723F">
            <w:pPr>
              <w:keepNext/>
              <w:spacing w:before="100" w:after="100" w:line="240" w:lineRule="auto"/>
              <w:ind w:left="100" w:right="100"/>
              <w:jc w:val="left"/>
            </w:pPr>
            <w:r>
              <w:rPr>
                <w:rFonts w:eastAsia="Lato Light" w:cs="Lato Light"/>
                <w:b/>
                <w:color w:val="000000"/>
                <w:sz w:val="18"/>
                <w:szCs w:val="18"/>
              </w:rPr>
              <w:t>TGO (U/L)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63" w14:textId="77777777" w:rsidR="00C9593D" w:rsidRDefault="0069723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64" w14:textId="77777777" w:rsidR="00C9593D" w:rsidRDefault="0069723F">
            <w:pPr>
              <w:keepNext/>
              <w:spacing w:before="100" w:after="100" w:line="240" w:lineRule="auto"/>
              <w:ind w:left="100" w:right="100"/>
              <w:jc w:val="center"/>
            </w:pPr>
            <w:r>
              <w:rPr>
                <w:rFonts w:eastAsia="Lato Light" w:cs="Lato Light"/>
                <w:color w:val="000000"/>
                <w:sz w:val="18"/>
                <w:szCs w:val="18"/>
              </w:rPr>
              <w:t>20.5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65" w14:textId="77777777" w:rsidR="00C9593D" w:rsidRDefault="0069723F">
            <w:pPr>
              <w:keepNext/>
              <w:spacing w:before="100" w:after="100" w:line="240" w:lineRule="auto"/>
              <w:ind w:left="100" w:right="100"/>
              <w:jc w:val="center"/>
            </w:pPr>
            <w:r>
              <w:rPr>
                <w:rFonts w:eastAsia="Lato Light" w:cs="Lato Light"/>
                <w:color w:val="000000"/>
                <w:sz w:val="18"/>
                <w:szCs w:val="18"/>
              </w:rPr>
              <w:t>14.0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66" w14:textId="77777777" w:rsidR="00C9593D" w:rsidRDefault="0069723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tcBorders>
            <w:shd w:val="clear" w:color="auto" w:fill="FFFFFF"/>
            <w:tcMar>
              <w:top w:w="0" w:type="dxa"/>
              <w:left w:w="0" w:type="dxa"/>
              <w:bottom w:w="0" w:type="dxa"/>
              <w:right w:w="0" w:type="dxa"/>
            </w:tcMar>
            <w:vAlign w:val="center"/>
          </w:tcPr>
          <w:p w14:paraId="42801367" w14:textId="77777777" w:rsidR="00C9593D" w:rsidRDefault="0069723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68" w14:textId="77777777" w:rsidR="00C9593D" w:rsidRDefault="0069723F">
            <w:pPr>
              <w:keepNext/>
              <w:spacing w:before="100" w:after="100" w:line="240" w:lineRule="auto"/>
              <w:ind w:left="100" w:right="100"/>
              <w:jc w:val="center"/>
            </w:pPr>
            <w:r>
              <w:rPr>
                <w:rFonts w:eastAsia="Lato Light" w:cs="Lato Light"/>
                <w:color w:val="000000"/>
                <w:sz w:val="18"/>
                <w:szCs w:val="18"/>
              </w:rPr>
              <w:t>22.0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69" w14:textId="77777777" w:rsidR="00C9593D" w:rsidRDefault="0069723F">
            <w:pPr>
              <w:keepNext/>
              <w:spacing w:before="100" w:after="100" w:line="240" w:lineRule="auto"/>
              <w:ind w:left="100" w:right="100"/>
              <w:jc w:val="center"/>
            </w:pPr>
            <w:r>
              <w:rPr>
                <w:rFonts w:eastAsia="Lato Light" w:cs="Lato Light"/>
                <w:color w:val="000000"/>
                <w:sz w:val="18"/>
                <w:szCs w:val="18"/>
              </w:rPr>
              <w:t>25.5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6A" w14:textId="77777777" w:rsidR="00C9593D" w:rsidRDefault="0069723F">
            <w:pPr>
              <w:keepNext/>
              <w:spacing w:before="100" w:after="100" w:line="240" w:lineRule="auto"/>
              <w:ind w:left="100" w:right="100"/>
              <w:jc w:val="center"/>
            </w:pPr>
            <w:r>
              <w:rPr>
                <w:rFonts w:eastAsia="Lato Light" w:cs="Lato Light"/>
                <w:color w:val="000000"/>
                <w:sz w:val="18"/>
                <w:szCs w:val="18"/>
              </w:rPr>
              <w:t>20.0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6B" w14:textId="77777777" w:rsidR="00C9593D" w:rsidRDefault="0069723F">
            <w:pPr>
              <w:keepNext/>
              <w:spacing w:before="100" w:after="100" w:line="240" w:lineRule="auto"/>
              <w:ind w:left="100" w:right="100"/>
              <w:jc w:val="center"/>
            </w:pPr>
            <w:r>
              <w:rPr>
                <w:rFonts w:eastAsia="Lato Light" w:cs="Lato Light"/>
                <w:color w:val="000000"/>
                <w:sz w:val="18"/>
                <w:szCs w:val="18"/>
              </w:rPr>
              <w:t>36.0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6C" w14:textId="77777777" w:rsidR="00C9593D" w:rsidRDefault="0069723F">
            <w:pPr>
              <w:keepNext/>
              <w:spacing w:before="100" w:after="100" w:line="240" w:lineRule="auto"/>
              <w:ind w:left="100" w:right="100"/>
              <w:jc w:val="center"/>
            </w:pPr>
            <w:r>
              <w:rPr>
                <w:rFonts w:eastAsia="Lato Light" w:cs="Lato Light"/>
                <w:color w:val="000000"/>
                <w:sz w:val="18"/>
                <w:szCs w:val="18"/>
              </w:rPr>
              <w:t>18.0</w:t>
            </w:r>
          </w:p>
        </w:tc>
      </w:tr>
      <w:tr w:rsidR="00C9593D" w14:paraId="42801379" w14:textId="77777777">
        <w:trPr>
          <w:cantSplit/>
          <w:jc w:val="center"/>
        </w:trPr>
        <w:tc>
          <w:tcPr>
            <w:tcW w:w="2268" w:type="dxa"/>
            <w:tcBorders>
              <w:left w:val="single" w:sz="20" w:space="0" w:color="60A3BC"/>
              <w:bottom w:val="single" w:sz="4" w:space="0" w:color="3C6382"/>
            </w:tcBorders>
            <w:shd w:val="clear" w:color="auto" w:fill="FFFFFF"/>
            <w:tcMar>
              <w:top w:w="0" w:type="dxa"/>
              <w:left w:w="0" w:type="dxa"/>
              <w:bottom w:w="0" w:type="dxa"/>
              <w:right w:w="0" w:type="dxa"/>
            </w:tcMar>
          </w:tcPr>
          <w:p w14:paraId="4280136E" w14:textId="77777777" w:rsidR="00C9593D" w:rsidRDefault="0069723F">
            <w:pPr>
              <w:keepNext/>
              <w:spacing w:before="100" w:after="100" w:line="240" w:lineRule="auto"/>
              <w:ind w:left="100" w:right="100"/>
              <w:jc w:val="left"/>
            </w:pPr>
            <w:r>
              <w:rPr>
                <w:rFonts w:eastAsia="Lato Light" w:cs="Lato Light"/>
                <w:b/>
                <w:color w:val="000000"/>
                <w:sz w:val="18"/>
                <w:szCs w:val="18"/>
              </w:rPr>
              <w:t>TGP (U/L)</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6F" w14:textId="77777777" w:rsidR="00C9593D" w:rsidRDefault="0069723F">
            <w:pPr>
              <w:keepNext/>
              <w:spacing w:before="100" w:after="100" w:line="240" w:lineRule="auto"/>
              <w:ind w:left="100" w:right="100"/>
              <w:jc w:val="center"/>
            </w:pPr>
            <w:r>
              <w:rPr>
                <w:rFonts w:eastAsia="Lato Light" w:cs="Lato Light"/>
                <w:color w:val="000000"/>
                <w:sz w:val="18"/>
                <w:szCs w:val="18"/>
              </w:rPr>
              <w:t>23</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70" w14:textId="77777777" w:rsidR="00C9593D" w:rsidRDefault="0069723F">
            <w:pPr>
              <w:keepNext/>
              <w:spacing w:before="100" w:after="100" w:line="240" w:lineRule="auto"/>
              <w:ind w:left="100" w:right="100"/>
              <w:jc w:val="center"/>
            </w:pPr>
            <w:r>
              <w:rPr>
                <w:rFonts w:eastAsia="Lato Light" w:cs="Lato Light"/>
                <w:color w:val="000000"/>
                <w:sz w:val="18"/>
                <w:szCs w:val="18"/>
              </w:rPr>
              <w:t>29</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71" w14:textId="77777777" w:rsidR="00C9593D" w:rsidRDefault="0069723F">
            <w:pPr>
              <w:keepNext/>
              <w:spacing w:before="100" w:after="100" w:line="240" w:lineRule="auto"/>
              <w:ind w:left="100" w:right="100"/>
              <w:jc w:val="center"/>
            </w:pPr>
            <w:r>
              <w:rPr>
                <w:rFonts w:eastAsia="Lato Light" w:cs="Lato Light"/>
                <w:color w:val="000000"/>
                <w:sz w:val="18"/>
                <w:szCs w:val="18"/>
              </w:rPr>
              <w:t>20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72" w14:textId="77777777" w:rsidR="00C9593D" w:rsidRDefault="0069723F">
            <w:pPr>
              <w:keepNext/>
              <w:spacing w:before="100" w:after="100" w:line="240" w:lineRule="auto"/>
              <w:ind w:left="100" w:right="100"/>
              <w:jc w:val="center"/>
            </w:pPr>
            <w:r>
              <w:rPr>
                <w:rFonts w:eastAsia="Lato Light" w:cs="Lato Light"/>
                <w:color w:val="000000"/>
                <w:sz w:val="18"/>
                <w:szCs w:val="18"/>
              </w:rPr>
              <w:t>26.5</w:t>
            </w:r>
          </w:p>
        </w:tc>
        <w:tc>
          <w:tcPr>
            <w:tcW w:w="1417" w:type="dxa"/>
            <w:tcBorders>
              <w:bottom w:val="single" w:sz="4" w:space="0" w:color="3C6382"/>
            </w:tcBorders>
            <w:shd w:val="clear" w:color="auto" w:fill="FFFFFF"/>
            <w:tcMar>
              <w:top w:w="0" w:type="dxa"/>
              <w:left w:w="0" w:type="dxa"/>
              <w:bottom w:w="0" w:type="dxa"/>
              <w:right w:w="0" w:type="dxa"/>
            </w:tcMar>
            <w:vAlign w:val="center"/>
          </w:tcPr>
          <w:p w14:paraId="42801373" w14:textId="77777777" w:rsidR="00C9593D" w:rsidRDefault="0069723F">
            <w:pPr>
              <w:keepNext/>
              <w:spacing w:before="100" w:after="100" w:line="240" w:lineRule="auto"/>
              <w:ind w:left="100" w:right="100"/>
              <w:jc w:val="center"/>
            </w:pPr>
            <w:r>
              <w:rPr>
                <w:rFonts w:eastAsia="Lato Light" w:cs="Lato Light"/>
                <w:color w:val="000000"/>
                <w:sz w:val="18"/>
                <w:szCs w:val="18"/>
              </w:rPr>
              <w:t>14.5</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74" w14:textId="77777777" w:rsidR="00C9593D" w:rsidRDefault="0069723F">
            <w:pPr>
              <w:keepNext/>
              <w:spacing w:before="100" w:after="100" w:line="240" w:lineRule="auto"/>
              <w:ind w:left="100" w:right="100"/>
              <w:jc w:val="center"/>
            </w:pPr>
            <w:r>
              <w:rPr>
                <w:rFonts w:eastAsia="Lato Light" w:cs="Lato Light"/>
                <w:color w:val="000000"/>
                <w:sz w:val="18"/>
                <w:szCs w:val="18"/>
              </w:rPr>
              <w:t>25.0</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75" w14:textId="77777777" w:rsidR="00C9593D" w:rsidRDefault="0069723F">
            <w:pPr>
              <w:keepNext/>
              <w:spacing w:before="100" w:after="100" w:line="240" w:lineRule="auto"/>
              <w:ind w:left="100" w:right="100"/>
              <w:jc w:val="center"/>
            </w:pPr>
            <w:r>
              <w:rPr>
                <w:rFonts w:eastAsia="Lato Light" w:cs="Lato Light"/>
                <w:color w:val="000000"/>
                <w:sz w:val="18"/>
                <w:szCs w:val="18"/>
              </w:rPr>
              <w:t>52</w:t>
            </w:r>
          </w:p>
        </w:tc>
        <w:tc>
          <w:tcPr>
            <w:tcW w:w="1417" w:type="dxa"/>
            <w:tcBorders>
              <w:bottom w:val="single" w:sz="4" w:space="0" w:color="3C6382"/>
              <w:right w:val="dashed" w:sz="4" w:space="0" w:color="3C6382"/>
            </w:tcBorders>
            <w:shd w:val="clear" w:color="auto" w:fill="FFFFFF"/>
            <w:tcMar>
              <w:top w:w="0" w:type="dxa"/>
              <w:left w:w="0" w:type="dxa"/>
              <w:bottom w:w="0" w:type="dxa"/>
              <w:right w:w="0" w:type="dxa"/>
            </w:tcMar>
            <w:vAlign w:val="center"/>
          </w:tcPr>
          <w:p w14:paraId="42801376" w14:textId="77777777" w:rsidR="00C9593D" w:rsidRDefault="0069723F">
            <w:pPr>
              <w:keepNext/>
              <w:spacing w:before="100" w:after="100" w:line="240" w:lineRule="auto"/>
              <w:ind w:left="100" w:right="100"/>
              <w:jc w:val="center"/>
            </w:pPr>
            <w:r>
              <w:rPr>
                <w:rFonts w:eastAsia="Lato Light" w:cs="Lato Light"/>
                <w:color w:val="000000"/>
                <w:sz w:val="18"/>
                <w:szCs w:val="18"/>
              </w:rPr>
              <w:t>16</w:t>
            </w:r>
          </w:p>
        </w:tc>
        <w:tc>
          <w:tcPr>
            <w:tcW w:w="1417" w:type="dxa"/>
            <w:tcBorders>
              <w:left w:val="dashed" w:sz="4" w:space="0" w:color="3C6382"/>
              <w:bottom w:val="single" w:sz="4" w:space="0" w:color="3C6382"/>
            </w:tcBorders>
            <w:shd w:val="clear" w:color="auto" w:fill="FFFFFF"/>
            <w:tcMar>
              <w:top w:w="0" w:type="dxa"/>
              <w:left w:w="0" w:type="dxa"/>
              <w:bottom w:w="0" w:type="dxa"/>
              <w:right w:w="0" w:type="dxa"/>
            </w:tcMar>
            <w:vAlign w:val="center"/>
          </w:tcPr>
          <w:p w14:paraId="42801377" w14:textId="77777777" w:rsidR="00C9593D" w:rsidRDefault="0069723F">
            <w:pPr>
              <w:keepNext/>
              <w:spacing w:before="100" w:after="100" w:line="240" w:lineRule="auto"/>
              <w:ind w:left="100" w:right="100"/>
              <w:jc w:val="center"/>
            </w:pPr>
            <w:r>
              <w:rPr>
                <w:rFonts w:eastAsia="Lato Light" w:cs="Lato Light"/>
                <w:color w:val="000000"/>
                <w:sz w:val="18"/>
                <w:szCs w:val="18"/>
              </w:rPr>
              <w:t>92</w:t>
            </w:r>
          </w:p>
        </w:tc>
        <w:tc>
          <w:tcPr>
            <w:tcW w:w="1417"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78" w14:textId="77777777" w:rsidR="00C9593D" w:rsidRDefault="0069723F">
            <w:pPr>
              <w:keepNext/>
              <w:spacing w:before="100" w:after="100" w:line="240" w:lineRule="auto"/>
              <w:ind w:left="100" w:right="100"/>
              <w:jc w:val="center"/>
            </w:pPr>
            <w:r>
              <w:rPr>
                <w:rFonts w:eastAsia="Lato Light" w:cs="Lato Light"/>
                <w:color w:val="000000"/>
                <w:sz w:val="18"/>
                <w:szCs w:val="18"/>
              </w:rPr>
              <w:t>16</w:t>
            </w:r>
          </w:p>
        </w:tc>
      </w:tr>
      <w:tr w:rsidR="00C9593D" w14:paraId="42801385" w14:textId="77777777">
        <w:trPr>
          <w:cantSplit/>
          <w:jc w:val="center"/>
        </w:trPr>
        <w:tc>
          <w:tcPr>
            <w:tcW w:w="2268" w:type="dxa"/>
            <w:tcBorders>
              <w:top w:val="single" w:sz="4" w:space="0" w:color="3C6382"/>
              <w:left w:val="single" w:sz="20" w:space="0" w:color="60A3BC"/>
            </w:tcBorders>
            <w:shd w:val="clear" w:color="auto" w:fill="FFFFFF"/>
            <w:tcMar>
              <w:top w:w="0" w:type="dxa"/>
              <w:left w:w="0" w:type="dxa"/>
              <w:bottom w:w="0" w:type="dxa"/>
              <w:right w:w="0" w:type="dxa"/>
            </w:tcMar>
          </w:tcPr>
          <w:p w14:paraId="4280137A" w14:textId="77777777" w:rsidR="00C9593D" w:rsidRDefault="0069723F">
            <w:pPr>
              <w:keepNext/>
              <w:spacing w:before="100" w:after="100" w:line="240" w:lineRule="auto"/>
              <w:ind w:left="100" w:right="100"/>
              <w:jc w:val="left"/>
            </w:pPr>
            <w:r>
              <w:rPr>
                <w:rFonts w:eastAsia="Lato Light" w:cs="Lato Light"/>
                <w:b/>
                <w:color w:val="000000"/>
                <w:sz w:val="18"/>
                <w:szCs w:val="18"/>
              </w:rPr>
              <w:t>LDL-cholestérol (mg/dL)</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7B" w14:textId="77777777" w:rsidR="00C9593D" w:rsidRDefault="0069723F">
            <w:pPr>
              <w:keepNext/>
              <w:spacing w:before="100" w:after="100" w:line="240" w:lineRule="auto"/>
              <w:ind w:left="100" w:right="100"/>
              <w:jc w:val="center"/>
            </w:pPr>
            <w:r>
              <w:rPr>
                <w:rFonts w:eastAsia="Lato Light" w:cs="Lato Light"/>
                <w:color w:val="000000"/>
                <w:sz w:val="18"/>
                <w:szCs w:val="18"/>
              </w:rPr>
              <w:t>98.0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7C" w14:textId="77777777" w:rsidR="00C9593D" w:rsidRDefault="0069723F">
            <w:pPr>
              <w:keepNext/>
              <w:spacing w:before="100" w:after="100" w:line="240" w:lineRule="auto"/>
              <w:ind w:left="100" w:right="100"/>
              <w:jc w:val="center"/>
            </w:pPr>
            <w:r>
              <w:rPr>
                <w:rFonts w:eastAsia="Lato Light" w:cs="Lato Light"/>
                <w:color w:val="000000"/>
                <w:sz w:val="18"/>
                <w:szCs w:val="18"/>
              </w:rPr>
              <w:t>88.0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7D"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7E" w14:textId="77777777" w:rsidR="00C9593D" w:rsidRDefault="0069723F">
            <w:pPr>
              <w:keepNext/>
              <w:spacing w:before="100" w:after="100" w:line="240" w:lineRule="auto"/>
              <w:ind w:left="100" w:right="100"/>
              <w:jc w:val="center"/>
            </w:pPr>
            <w:r>
              <w:rPr>
                <w:rFonts w:eastAsia="Lato Light" w:cs="Lato Light"/>
                <w:color w:val="000000"/>
                <w:sz w:val="18"/>
                <w:szCs w:val="18"/>
              </w:rPr>
              <w:t>87.0</w:t>
            </w:r>
          </w:p>
        </w:tc>
        <w:tc>
          <w:tcPr>
            <w:tcW w:w="1417" w:type="dxa"/>
            <w:tcBorders>
              <w:top w:val="single" w:sz="4" w:space="0" w:color="3C6382"/>
            </w:tcBorders>
            <w:shd w:val="clear" w:color="auto" w:fill="FFFFFF"/>
            <w:tcMar>
              <w:top w:w="0" w:type="dxa"/>
              <w:left w:w="0" w:type="dxa"/>
              <w:bottom w:w="0" w:type="dxa"/>
              <w:right w:w="0" w:type="dxa"/>
            </w:tcMar>
            <w:vAlign w:val="center"/>
          </w:tcPr>
          <w:p w14:paraId="4280137F" w14:textId="77777777" w:rsidR="00C9593D" w:rsidRDefault="0069723F">
            <w:pPr>
              <w:keepNext/>
              <w:spacing w:before="100" w:after="100" w:line="240" w:lineRule="auto"/>
              <w:ind w:left="100" w:right="100"/>
              <w:jc w:val="center"/>
            </w:pPr>
            <w:r>
              <w:rPr>
                <w:rFonts w:eastAsia="Lato Light" w:cs="Lato Light"/>
                <w:color w:val="000000"/>
                <w:sz w:val="18"/>
                <w:szCs w:val="18"/>
              </w:rPr>
              <w:t>91.0</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80" w14:textId="77777777" w:rsidR="00C9593D" w:rsidRDefault="0069723F">
            <w:pPr>
              <w:keepNext/>
              <w:spacing w:before="100" w:after="100" w:line="240" w:lineRule="auto"/>
              <w:ind w:left="100" w:right="100"/>
              <w:jc w:val="center"/>
            </w:pPr>
            <w:r>
              <w:rPr>
                <w:rFonts w:eastAsia="Lato Light" w:cs="Lato Light"/>
                <w:color w:val="000000"/>
                <w:sz w:val="18"/>
                <w:szCs w:val="18"/>
              </w:rPr>
              <w:t>128.0</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81" w14:textId="77777777" w:rsidR="00C9593D" w:rsidRDefault="0069723F">
            <w:pPr>
              <w:keepNext/>
              <w:spacing w:before="100" w:after="100" w:line="240" w:lineRule="auto"/>
              <w:ind w:left="100" w:right="100"/>
              <w:jc w:val="center"/>
            </w:pPr>
            <w:r>
              <w:rPr>
                <w:rFonts w:eastAsia="Lato Light" w:cs="Lato Light"/>
                <w:color w:val="000000"/>
                <w:sz w:val="18"/>
                <w:szCs w:val="18"/>
              </w:rPr>
              <w:t>127.5</w:t>
            </w:r>
          </w:p>
        </w:tc>
        <w:tc>
          <w:tcPr>
            <w:tcW w:w="1417" w:type="dxa"/>
            <w:tcBorders>
              <w:top w:val="single" w:sz="4" w:space="0" w:color="3C6382"/>
              <w:right w:val="dashed" w:sz="4" w:space="0" w:color="3C6382"/>
            </w:tcBorders>
            <w:shd w:val="clear" w:color="auto" w:fill="FFFFFF"/>
            <w:tcMar>
              <w:top w:w="0" w:type="dxa"/>
              <w:left w:w="0" w:type="dxa"/>
              <w:bottom w:w="0" w:type="dxa"/>
              <w:right w:w="0" w:type="dxa"/>
            </w:tcMar>
            <w:vAlign w:val="center"/>
          </w:tcPr>
          <w:p w14:paraId="42801382"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top w:val="single" w:sz="4" w:space="0" w:color="3C6382"/>
              <w:left w:val="dashed" w:sz="4" w:space="0" w:color="3C6382"/>
            </w:tcBorders>
            <w:shd w:val="clear" w:color="auto" w:fill="FFFFFF"/>
            <w:tcMar>
              <w:top w:w="0" w:type="dxa"/>
              <w:left w:w="0" w:type="dxa"/>
              <w:bottom w:w="0" w:type="dxa"/>
              <w:right w:w="0" w:type="dxa"/>
            </w:tcMar>
            <w:vAlign w:val="center"/>
          </w:tcPr>
          <w:p w14:paraId="42801383" w14:textId="77777777" w:rsidR="00C9593D" w:rsidRDefault="0069723F">
            <w:pPr>
              <w:keepNext/>
              <w:spacing w:before="100" w:after="100" w:line="240" w:lineRule="auto"/>
              <w:ind w:left="100" w:right="100"/>
              <w:jc w:val="center"/>
            </w:pPr>
            <w:r>
              <w:rPr>
                <w:rFonts w:eastAsia="Lato Light" w:cs="Lato Light"/>
                <w:color w:val="000000"/>
                <w:sz w:val="18"/>
                <w:szCs w:val="18"/>
              </w:rPr>
              <w:t>100.0</w:t>
            </w:r>
          </w:p>
        </w:tc>
        <w:tc>
          <w:tcPr>
            <w:tcW w:w="1417"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84" w14:textId="77777777" w:rsidR="00C9593D" w:rsidRDefault="0069723F">
            <w:pPr>
              <w:keepNext/>
              <w:spacing w:before="100" w:after="100" w:line="240" w:lineRule="auto"/>
              <w:ind w:left="100" w:right="100"/>
              <w:jc w:val="center"/>
            </w:pPr>
            <w:r>
              <w:rPr>
                <w:rFonts w:eastAsia="Lato Light" w:cs="Lato Light"/>
                <w:color w:val="000000"/>
                <w:sz w:val="18"/>
                <w:szCs w:val="18"/>
              </w:rPr>
              <w:t>101.0</w:t>
            </w:r>
          </w:p>
        </w:tc>
      </w:tr>
      <w:tr w:rsidR="00C9593D" w14:paraId="42801391" w14:textId="77777777">
        <w:trPr>
          <w:cantSplit/>
          <w:jc w:val="center"/>
        </w:trPr>
        <w:tc>
          <w:tcPr>
            <w:tcW w:w="2268" w:type="dxa"/>
            <w:tcBorders>
              <w:left w:val="single" w:sz="20" w:space="0" w:color="60A3BC"/>
            </w:tcBorders>
            <w:shd w:val="clear" w:color="auto" w:fill="FFFFFF"/>
            <w:tcMar>
              <w:top w:w="0" w:type="dxa"/>
              <w:left w:w="0" w:type="dxa"/>
              <w:bottom w:w="0" w:type="dxa"/>
              <w:right w:w="0" w:type="dxa"/>
            </w:tcMar>
          </w:tcPr>
          <w:p w14:paraId="42801386" w14:textId="77777777" w:rsidR="00C9593D" w:rsidRDefault="0069723F">
            <w:pPr>
              <w:keepNext/>
              <w:spacing w:before="100" w:after="100" w:line="240" w:lineRule="auto"/>
              <w:ind w:left="100" w:right="100"/>
              <w:jc w:val="left"/>
            </w:pPr>
            <w:r>
              <w:rPr>
                <w:rFonts w:eastAsia="Lato Light" w:cs="Lato Light"/>
                <w:b/>
                <w:color w:val="000000"/>
                <w:sz w:val="18"/>
                <w:szCs w:val="18"/>
              </w:rPr>
              <w:t>HDL-cholestérol (mg/dL)</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87" w14:textId="77777777" w:rsidR="00C9593D" w:rsidRDefault="0069723F">
            <w:pPr>
              <w:keepNext/>
              <w:spacing w:before="100" w:after="100" w:line="240" w:lineRule="auto"/>
              <w:ind w:left="100" w:right="100"/>
              <w:jc w:val="center"/>
            </w:pPr>
            <w:r>
              <w:rPr>
                <w:rFonts w:eastAsia="Lato Light" w:cs="Lato Light"/>
                <w:color w:val="000000"/>
                <w:sz w:val="18"/>
                <w:szCs w:val="18"/>
              </w:rPr>
              <w:t>43</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88" w14:textId="77777777" w:rsidR="00C9593D" w:rsidRDefault="0069723F">
            <w:pPr>
              <w:keepNext/>
              <w:spacing w:before="100" w:after="100" w:line="240" w:lineRule="auto"/>
              <w:ind w:left="100" w:right="100"/>
              <w:jc w:val="center"/>
            </w:pPr>
            <w:r>
              <w:rPr>
                <w:rFonts w:eastAsia="Lato Light" w:cs="Lato Light"/>
                <w:color w:val="000000"/>
                <w:sz w:val="18"/>
                <w:szCs w:val="18"/>
              </w:rPr>
              <w:t>52</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89"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8A" w14:textId="77777777" w:rsidR="00C9593D" w:rsidRDefault="0069723F">
            <w:pPr>
              <w:keepNext/>
              <w:spacing w:before="100" w:after="100" w:line="240" w:lineRule="auto"/>
              <w:ind w:left="100" w:right="100"/>
              <w:jc w:val="center"/>
            </w:pPr>
            <w:r>
              <w:rPr>
                <w:rFonts w:eastAsia="Lato Light" w:cs="Lato Light"/>
                <w:color w:val="000000"/>
                <w:sz w:val="18"/>
                <w:szCs w:val="18"/>
              </w:rPr>
              <w:t>59</w:t>
            </w:r>
          </w:p>
        </w:tc>
        <w:tc>
          <w:tcPr>
            <w:tcW w:w="1417" w:type="dxa"/>
            <w:shd w:val="clear" w:color="auto" w:fill="FFFFFF"/>
            <w:tcMar>
              <w:top w:w="0" w:type="dxa"/>
              <w:left w:w="0" w:type="dxa"/>
              <w:bottom w:w="0" w:type="dxa"/>
              <w:right w:w="0" w:type="dxa"/>
            </w:tcMar>
            <w:vAlign w:val="center"/>
          </w:tcPr>
          <w:p w14:paraId="4280138B" w14:textId="77777777" w:rsidR="00C9593D" w:rsidRDefault="0069723F">
            <w:pPr>
              <w:keepNext/>
              <w:spacing w:before="100" w:after="100" w:line="240" w:lineRule="auto"/>
              <w:ind w:left="100" w:right="100"/>
              <w:jc w:val="center"/>
            </w:pPr>
            <w:r>
              <w:rPr>
                <w:rFonts w:eastAsia="Lato Light" w:cs="Lato Light"/>
                <w:color w:val="000000"/>
                <w:sz w:val="18"/>
                <w:szCs w:val="18"/>
              </w:rPr>
              <w:t>49</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8C" w14:textId="77777777" w:rsidR="00C9593D" w:rsidRDefault="0069723F">
            <w:pPr>
              <w:keepNext/>
              <w:spacing w:before="100" w:after="100" w:line="240" w:lineRule="auto"/>
              <w:ind w:left="100" w:right="100"/>
              <w:jc w:val="center"/>
            </w:pPr>
            <w:r>
              <w:rPr>
                <w:rFonts w:eastAsia="Lato Light" w:cs="Lato Light"/>
                <w:color w:val="000000"/>
                <w:sz w:val="18"/>
                <w:szCs w:val="18"/>
              </w:rPr>
              <w:t>48</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8D" w14:textId="77777777" w:rsidR="00C9593D" w:rsidRDefault="0069723F">
            <w:pPr>
              <w:keepNext/>
              <w:spacing w:before="100" w:after="100" w:line="240" w:lineRule="auto"/>
              <w:ind w:left="100" w:right="100"/>
              <w:jc w:val="center"/>
            </w:pPr>
            <w:r>
              <w:rPr>
                <w:rFonts w:eastAsia="Lato Light" w:cs="Lato Light"/>
                <w:color w:val="000000"/>
                <w:sz w:val="18"/>
                <w:szCs w:val="18"/>
              </w:rPr>
              <w:t>38.90</w:t>
            </w:r>
          </w:p>
        </w:tc>
        <w:tc>
          <w:tcPr>
            <w:tcW w:w="1417" w:type="dxa"/>
            <w:tcBorders>
              <w:right w:val="dashed" w:sz="4" w:space="0" w:color="3C6382"/>
            </w:tcBorders>
            <w:shd w:val="clear" w:color="auto" w:fill="FFFFFF"/>
            <w:tcMar>
              <w:top w:w="0" w:type="dxa"/>
              <w:left w:w="0" w:type="dxa"/>
              <w:bottom w:w="0" w:type="dxa"/>
              <w:right w:w="0" w:type="dxa"/>
            </w:tcMar>
            <w:vAlign w:val="center"/>
          </w:tcPr>
          <w:p w14:paraId="4280138E"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tcBorders>
            <w:shd w:val="clear" w:color="auto" w:fill="FFFFFF"/>
            <w:tcMar>
              <w:top w:w="0" w:type="dxa"/>
              <w:left w:w="0" w:type="dxa"/>
              <w:bottom w:w="0" w:type="dxa"/>
              <w:right w:w="0" w:type="dxa"/>
            </w:tcMar>
            <w:vAlign w:val="center"/>
          </w:tcPr>
          <w:p w14:paraId="4280138F" w14:textId="77777777" w:rsidR="00C9593D" w:rsidRDefault="0069723F">
            <w:pPr>
              <w:keepNext/>
              <w:spacing w:before="100" w:after="100" w:line="240" w:lineRule="auto"/>
              <w:ind w:left="100" w:right="100"/>
              <w:jc w:val="center"/>
            </w:pPr>
            <w:r>
              <w:rPr>
                <w:rFonts w:eastAsia="Lato Light" w:cs="Lato Light"/>
                <w:color w:val="000000"/>
                <w:sz w:val="18"/>
                <w:szCs w:val="18"/>
              </w:rPr>
              <w:t>39.70</w:t>
            </w:r>
          </w:p>
        </w:tc>
        <w:tc>
          <w:tcPr>
            <w:tcW w:w="1417" w:type="dxa"/>
            <w:tcBorders>
              <w:right w:val="single" w:sz="20" w:space="0" w:color="60A3BC"/>
            </w:tcBorders>
            <w:shd w:val="clear" w:color="auto" w:fill="FFFFFF"/>
            <w:tcMar>
              <w:top w:w="0" w:type="dxa"/>
              <w:left w:w="0" w:type="dxa"/>
              <w:bottom w:w="0" w:type="dxa"/>
              <w:right w:w="0" w:type="dxa"/>
            </w:tcMar>
            <w:vAlign w:val="center"/>
          </w:tcPr>
          <w:p w14:paraId="42801390" w14:textId="77777777" w:rsidR="00C9593D" w:rsidRDefault="0069723F">
            <w:pPr>
              <w:keepNext/>
              <w:spacing w:before="100" w:after="100" w:line="240" w:lineRule="auto"/>
              <w:ind w:left="100" w:right="100"/>
              <w:jc w:val="center"/>
            </w:pPr>
            <w:r>
              <w:rPr>
                <w:rFonts w:eastAsia="Lato Light" w:cs="Lato Light"/>
                <w:color w:val="000000"/>
                <w:sz w:val="18"/>
                <w:szCs w:val="18"/>
              </w:rPr>
              <w:t>45.30</w:t>
            </w:r>
          </w:p>
        </w:tc>
      </w:tr>
      <w:tr w:rsidR="00C9593D" w14:paraId="4280139D" w14:textId="77777777">
        <w:trPr>
          <w:cantSplit/>
          <w:jc w:val="center"/>
        </w:trPr>
        <w:tc>
          <w:tcPr>
            <w:tcW w:w="2268" w:type="dxa"/>
            <w:tcBorders>
              <w:left w:val="single" w:sz="20" w:space="0" w:color="60A3BC"/>
              <w:bottom w:val="single" w:sz="20" w:space="0" w:color="60A3BC"/>
            </w:tcBorders>
            <w:shd w:val="clear" w:color="auto" w:fill="FFFFFF"/>
            <w:tcMar>
              <w:top w:w="0" w:type="dxa"/>
              <w:left w:w="0" w:type="dxa"/>
              <w:bottom w:w="0" w:type="dxa"/>
              <w:right w:w="0" w:type="dxa"/>
            </w:tcMar>
          </w:tcPr>
          <w:p w14:paraId="42801392" w14:textId="77777777" w:rsidR="00C9593D" w:rsidRDefault="0069723F">
            <w:pPr>
              <w:keepNext/>
              <w:spacing w:before="100" w:after="100" w:line="240" w:lineRule="auto"/>
              <w:ind w:left="100" w:right="100"/>
              <w:jc w:val="left"/>
            </w:pPr>
            <w:r>
              <w:rPr>
                <w:rFonts w:eastAsia="Lato Light" w:cs="Lato Light"/>
                <w:b/>
                <w:color w:val="000000"/>
                <w:sz w:val="18"/>
                <w:szCs w:val="18"/>
              </w:rPr>
              <w:t>Triglycérides (mg/dL)</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42801393" w14:textId="77777777" w:rsidR="00C9593D" w:rsidRDefault="0069723F">
            <w:pPr>
              <w:keepNext/>
              <w:spacing w:before="100" w:after="100" w:line="240" w:lineRule="auto"/>
              <w:ind w:left="100" w:right="100"/>
              <w:jc w:val="center"/>
            </w:pPr>
            <w:r>
              <w:rPr>
                <w:rFonts w:eastAsia="Lato Light" w:cs="Lato Light"/>
                <w:color w:val="000000"/>
                <w:sz w:val="18"/>
                <w:szCs w:val="18"/>
              </w:rPr>
              <w:t>96.0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42801394" w14:textId="77777777" w:rsidR="00C9593D" w:rsidRDefault="0069723F">
            <w:pPr>
              <w:keepNext/>
              <w:spacing w:before="100" w:after="100" w:line="240" w:lineRule="auto"/>
              <w:ind w:left="100" w:right="100"/>
              <w:jc w:val="center"/>
            </w:pPr>
            <w:r>
              <w:rPr>
                <w:rFonts w:eastAsia="Lato Light" w:cs="Lato Light"/>
                <w:color w:val="000000"/>
                <w:sz w:val="18"/>
                <w:szCs w:val="18"/>
              </w:rPr>
              <w:t>113.0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42801395"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42801396" w14:textId="77777777" w:rsidR="00C9593D" w:rsidRDefault="0069723F">
            <w:pPr>
              <w:keepNext/>
              <w:spacing w:before="100" w:after="100" w:line="240" w:lineRule="auto"/>
              <w:ind w:left="100" w:right="100"/>
              <w:jc w:val="center"/>
            </w:pPr>
            <w:r>
              <w:rPr>
                <w:rFonts w:eastAsia="Lato Light" w:cs="Lato Light"/>
                <w:color w:val="000000"/>
                <w:sz w:val="18"/>
                <w:szCs w:val="18"/>
              </w:rPr>
              <w:t>64.0</w:t>
            </w:r>
          </w:p>
        </w:tc>
        <w:tc>
          <w:tcPr>
            <w:tcW w:w="1417" w:type="dxa"/>
            <w:tcBorders>
              <w:bottom w:val="single" w:sz="20" w:space="0" w:color="60A3BC"/>
            </w:tcBorders>
            <w:shd w:val="clear" w:color="auto" w:fill="FFFFFF"/>
            <w:tcMar>
              <w:top w:w="0" w:type="dxa"/>
              <w:left w:w="0" w:type="dxa"/>
              <w:bottom w:w="0" w:type="dxa"/>
              <w:right w:w="0" w:type="dxa"/>
            </w:tcMar>
            <w:vAlign w:val="center"/>
          </w:tcPr>
          <w:p w14:paraId="42801397" w14:textId="77777777" w:rsidR="00C9593D" w:rsidRDefault="0069723F">
            <w:pPr>
              <w:keepNext/>
              <w:spacing w:before="100" w:after="100" w:line="240" w:lineRule="auto"/>
              <w:ind w:left="100" w:right="100"/>
              <w:jc w:val="center"/>
            </w:pPr>
            <w:r>
              <w:rPr>
                <w:rFonts w:eastAsia="Lato Light" w:cs="Lato Light"/>
                <w:color w:val="000000"/>
                <w:sz w:val="18"/>
                <w:szCs w:val="18"/>
              </w:rPr>
              <w:t>67.0</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42801398" w14:textId="77777777" w:rsidR="00C9593D" w:rsidRDefault="0069723F">
            <w:pPr>
              <w:keepNext/>
              <w:spacing w:before="100" w:after="100" w:line="240" w:lineRule="auto"/>
              <w:ind w:left="100" w:right="100"/>
              <w:jc w:val="center"/>
            </w:pPr>
            <w:r>
              <w:rPr>
                <w:rFonts w:eastAsia="Lato Light" w:cs="Lato Light"/>
                <w:color w:val="000000"/>
                <w:sz w:val="18"/>
                <w:szCs w:val="18"/>
              </w:rPr>
              <w:t>123.0</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42801399" w14:textId="77777777" w:rsidR="00C9593D" w:rsidRDefault="0069723F">
            <w:pPr>
              <w:keepNext/>
              <w:spacing w:before="100" w:after="100" w:line="240" w:lineRule="auto"/>
              <w:ind w:left="100" w:right="100"/>
              <w:jc w:val="center"/>
            </w:pPr>
            <w:r>
              <w:rPr>
                <w:rFonts w:eastAsia="Lato Light" w:cs="Lato Light"/>
                <w:color w:val="000000"/>
                <w:sz w:val="18"/>
                <w:szCs w:val="18"/>
              </w:rPr>
              <w:t>119.5</w:t>
            </w:r>
          </w:p>
        </w:tc>
        <w:tc>
          <w:tcPr>
            <w:tcW w:w="1417" w:type="dxa"/>
            <w:tcBorders>
              <w:bottom w:val="single" w:sz="20" w:space="0" w:color="60A3BC"/>
              <w:right w:val="dashed" w:sz="4" w:space="0" w:color="3C6382"/>
            </w:tcBorders>
            <w:shd w:val="clear" w:color="auto" w:fill="FFFFFF"/>
            <w:tcMar>
              <w:top w:w="0" w:type="dxa"/>
              <w:left w:w="0" w:type="dxa"/>
              <w:bottom w:w="0" w:type="dxa"/>
              <w:right w:w="0" w:type="dxa"/>
            </w:tcMar>
            <w:vAlign w:val="center"/>
          </w:tcPr>
          <w:p w14:paraId="4280139A" w14:textId="77777777" w:rsidR="00C9593D" w:rsidRDefault="0069723F">
            <w:pPr>
              <w:keepNext/>
              <w:spacing w:before="100" w:after="100" w:line="240" w:lineRule="auto"/>
              <w:ind w:left="100" w:right="100"/>
              <w:jc w:val="center"/>
            </w:pPr>
            <w:r>
              <w:rPr>
                <w:rFonts w:eastAsia="Lato Light" w:cs="Lato Light"/>
                <w:color w:val="000000"/>
                <w:sz w:val="18"/>
                <w:szCs w:val="18"/>
              </w:rPr>
              <w:t>NA</w:t>
            </w:r>
          </w:p>
        </w:tc>
        <w:tc>
          <w:tcPr>
            <w:tcW w:w="1417" w:type="dxa"/>
            <w:tcBorders>
              <w:left w:val="dashed" w:sz="4" w:space="0" w:color="3C6382"/>
              <w:bottom w:val="single" w:sz="20" w:space="0" w:color="60A3BC"/>
            </w:tcBorders>
            <w:shd w:val="clear" w:color="auto" w:fill="FFFFFF"/>
            <w:tcMar>
              <w:top w:w="0" w:type="dxa"/>
              <w:left w:w="0" w:type="dxa"/>
              <w:bottom w:w="0" w:type="dxa"/>
              <w:right w:w="0" w:type="dxa"/>
            </w:tcMar>
            <w:vAlign w:val="center"/>
          </w:tcPr>
          <w:p w14:paraId="4280139B" w14:textId="77777777" w:rsidR="00C9593D" w:rsidRDefault="0069723F">
            <w:pPr>
              <w:keepNext/>
              <w:spacing w:before="100" w:after="100" w:line="240" w:lineRule="auto"/>
              <w:ind w:left="100" w:right="100"/>
              <w:jc w:val="center"/>
            </w:pPr>
            <w:r>
              <w:rPr>
                <w:rFonts w:eastAsia="Lato Light" w:cs="Lato Light"/>
                <w:color w:val="000000"/>
                <w:sz w:val="18"/>
                <w:szCs w:val="18"/>
              </w:rPr>
              <w:t>69.0</w:t>
            </w:r>
          </w:p>
        </w:tc>
        <w:tc>
          <w:tcPr>
            <w:tcW w:w="1417"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4280139C" w14:textId="77777777" w:rsidR="00C9593D" w:rsidRDefault="0069723F">
            <w:pPr>
              <w:keepNext/>
              <w:spacing w:before="100" w:after="100" w:line="240" w:lineRule="auto"/>
              <w:ind w:left="100" w:right="100"/>
              <w:jc w:val="center"/>
            </w:pPr>
            <w:r>
              <w:rPr>
                <w:rFonts w:eastAsia="Lato Light" w:cs="Lato Light"/>
                <w:color w:val="000000"/>
                <w:sz w:val="18"/>
                <w:szCs w:val="18"/>
              </w:rPr>
              <w:t>109.0</w:t>
            </w:r>
          </w:p>
        </w:tc>
      </w:tr>
      <w:tr w:rsidR="00C9593D" w14:paraId="4280139F" w14:textId="77777777">
        <w:trPr>
          <w:cantSplit/>
          <w:jc w:val="center"/>
        </w:trPr>
        <w:tc>
          <w:tcPr>
            <w:tcW w:w="16438" w:type="dxa"/>
            <w:gridSpan w:val="11"/>
            <w:shd w:val="clear" w:color="auto" w:fill="FFFFFF"/>
            <w:tcMar>
              <w:top w:w="0" w:type="dxa"/>
              <w:left w:w="0" w:type="dxa"/>
              <w:bottom w:w="0" w:type="dxa"/>
              <w:right w:w="0" w:type="dxa"/>
            </w:tcMar>
            <w:vAlign w:val="center"/>
          </w:tcPr>
          <w:p w14:paraId="4280139E" w14:textId="77777777" w:rsidR="00C9593D" w:rsidRDefault="0069723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428013A0" w14:textId="77777777" w:rsidR="00C9593D" w:rsidRDefault="00C9593D">
      <w:pPr>
        <w:sectPr w:rsidR="00C9593D">
          <w:headerReference w:type="even" r:id="rId20"/>
          <w:headerReference w:type="default" r:id="rId21"/>
          <w:footerReference w:type="even" r:id="rId22"/>
          <w:footerReference w:type="default" r:id="rId23"/>
          <w:headerReference w:type="first" r:id="rId24"/>
          <w:footerReference w:type="first" r:id="rId25"/>
          <w:type w:val="oddPage"/>
          <w:pgSz w:w="16838" w:h="11906" w:orient="landscape"/>
          <w:pgMar w:top="1296" w:right="1296" w:bottom="1296" w:left="1296" w:header="0" w:footer="576" w:gutter="0"/>
          <w:cols w:space="720"/>
        </w:sectPr>
      </w:pPr>
    </w:p>
    <w:p w14:paraId="428013A1" w14:textId="77777777" w:rsidR="00C9593D" w:rsidRDefault="0069723F">
      <w:pPr>
        <w:pStyle w:val="Titre3"/>
      </w:pPr>
      <w:bookmarkStart w:id="54" w:name="_Toc101654126"/>
      <w:bookmarkStart w:id="55" w:name="patientes-transmasculines"/>
      <w:bookmarkEnd w:id="45"/>
      <w:bookmarkEnd w:id="49"/>
      <w:r>
        <w:lastRenderedPageBreak/>
        <w:t>Patient·e·s transmasculin·e·s</w:t>
      </w:r>
      <w:bookmarkEnd w:id="54"/>
    </w:p>
    <w:p w14:paraId="428013A2" w14:textId="77777777" w:rsidR="00C9593D" w:rsidRDefault="0069723F">
      <w:pPr>
        <w:pStyle w:val="Titre4"/>
      </w:pPr>
      <w:bookmarkStart w:id="56" w:name="choix-du-traitement-1"/>
      <w:r>
        <w:t>Choix du traitement</w:t>
      </w:r>
    </w:p>
    <w:p w14:paraId="428013A3" w14:textId="77777777" w:rsidR="00C9593D" w:rsidRPr="00311189" w:rsidRDefault="0069723F">
      <w:pPr>
        <w:pStyle w:val="FirstParagraph"/>
        <w:rPr>
          <w:lang w:val="fr-BE"/>
        </w:rPr>
      </w:pPr>
      <w:r w:rsidRPr="00311189">
        <w:rPr>
          <w:lang w:val="fr-BE"/>
        </w:rPr>
        <w:t>La totalité des patient·e·s de l’échantillon étaient sous Sustanon, à l’exception d’un patient qui a préféré passer au Nebido pour limiter le nombre d’injections. La posologie du Sustanon était d’une injection toutes les trois semaines, hormis pour deux patient·e·s. Le premier est passé à une injection tous les quinze jours en raison d’un manque d’énergie dans les derniers jours précédant l’injection. Ce sentiment était corrélé à une T</w:t>
      </w:r>
      <w:r w:rsidRPr="00311189">
        <w:rPr>
          <w:vertAlign w:val="subscript"/>
          <w:lang w:val="fr-BE"/>
        </w:rPr>
        <w:t>s</w:t>
      </w:r>
      <w:r w:rsidRPr="00311189">
        <w:rPr>
          <w:lang w:val="fr-BE"/>
        </w:rPr>
        <w:t xml:space="preserve"> inférieure aux valeurs-cibles à ce moment (10,26nmol/L). Dans l’autre cas, l’intervalle a été augmenté à 28 jours à cause d’une majoration excessive de l’hématocrite. Le coût annuel du traitement s’étendait de 138.2€ pour le Sustanon injecté toutes les quatre semaines à 464.8€ pour le Nebido injecté toutes les 12 semaines (coût annuel médian : 184.2€).</w:t>
      </w:r>
    </w:p>
    <w:p w14:paraId="428013A4" w14:textId="77777777" w:rsidR="00C9593D" w:rsidRPr="00311189" w:rsidRDefault="0069723F">
      <w:pPr>
        <w:pStyle w:val="Titre4"/>
        <w:rPr>
          <w:lang w:val="fr-BE"/>
        </w:rPr>
      </w:pPr>
      <w:bookmarkStart w:id="57" w:name="X21f729e32354f91e7b3074327ae684043c524c5"/>
      <w:bookmarkEnd w:id="56"/>
      <w:r w:rsidRPr="00311189">
        <w:rPr>
          <w:lang w:val="fr-BE"/>
        </w:rPr>
        <w:t>Évolution de l’axe hypothalamo-hypophyso-gonadique</w:t>
      </w:r>
    </w:p>
    <w:p w14:paraId="428013A5" w14:textId="77777777" w:rsidR="00C9593D" w:rsidRPr="00311189" w:rsidRDefault="0069723F">
      <w:pPr>
        <w:pStyle w:val="FirstParagraph"/>
        <w:rPr>
          <w:lang w:val="fr-BE"/>
        </w:rPr>
      </w:pPr>
      <w:r w:rsidRPr="00311189">
        <w:rPr>
          <w:lang w:val="fr-BE"/>
        </w:rPr>
        <w:t>Étant donné l’homogénéité des traitements, aucune analyse spécifique n’a été conduite en fonction du type d’androgène utilisé. Les données de deux patient·e·s sont manquantes en raison de consultations non honorées à T1 et T3. En outre, les valeurs de deux patient·e·s ont été exclues du graphique à T1 et T3 en raison d’une prise de sang réalisée &lt; 24h après l’injection, entraînant un pic de T</w:t>
      </w:r>
      <w:r w:rsidRPr="00311189">
        <w:rPr>
          <w:vertAlign w:val="subscript"/>
          <w:lang w:val="fr-BE"/>
        </w:rPr>
        <w:t>s</w:t>
      </w:r>
      <w:r w:rsidRPr="00311189">
        <w:rPr>
          <w:lang w:val="fr-BE"/>
        </w:rPr>
        <w:t xml:space="preserve"> qui les rendait ininterprétables.</w:t>
      </w:r>
    </w:p>
    <w:p w14:paraId="428013A6" w14:textId="01F9CE71" w:rsidR="00C9593D" w:rsidRPr="00311189" w:rsidRDefault="0069723F">
      <w:pPr>
        <w:pStyle w:val="Corpsdetexte"/>
        <w:rPr>
          <w:lang w:val="fr-BE"/>
        </w:rPr>
      </w:pPr>
      <w:r w:rsidRPr="00311189">
        <w:rPr>
          <w:lang w:val="fr-BE"/>
        </w:rPr>
        <w:t xml:space="preserve">De manière similaire à ce qui a été présenté plus haut, la figure </w:t>
      </w:r>
      <w:hyperlink w:anchor="OutcomePlotM">
        <w:r>
          <w:fldChar w:fldCharType="begin"/>
        </w:r>
        <w:r w:rsidRPr="00311189">
          <w:rPr>
            <w:lang w:val="fr-BE"/>
          </w:rPr>
          <w:instrText xml:space="preserve"> REF OutcomePlotM \h</w:instrText>
        </w:r>
        <w:r>
          <w:fldChar w:fldCharType="separate"/>
        </w:r>
        <w:r w:rsidR="00862518" w:rsidRPr="00311189">
          <w:rPr>
            <w:b/>
            <w:noProof/>
            <w:lang w:val="fr-BE"/>
          </w:rPr>
          <w:t>7</w:t>
        </w:r>
        <w:r>
          <w:fldChar w:fldCharType="end"/>
        </w:r>
      </w:hyperlink>
      <w:r w:rsidRPr="00311189">
        <w:rPr>
          <w:lang w:val="fr-BE"/>
        </w:rPr>
        <w:t xml:space="preserve"> se divise en 4 panneaux, ceux-ci mesurant désormais l’évolution de la T</w:t>
      </w:r>
      <w:r w:rsidRPr="00311189">
        <w:rPr>
          <w:vertAlign w:val="subscript"/>
          <w:lang w:val="fr-BE"/>
        </w:rPr>
        <w:t>s</w:t>
      </w:r>
      <w:r w:rsidRPr="00311189">
        <w:rPr>
          <w:lang w:val="fr-BE"/>
        </w:rPr>
        <w:t xml:space="preserve"> en fonction du temps (A), l’évolution de l’E2</w:t>
      </w:r>
      <w:r w:rsidRPr="00311189">
        <w:rPr>
          <w:vertAlign w:val="subscript"/>
          <w:lang w:val="fr-BE"/>
        </w:rPr>
        <w:t>s</w:t>
      </w:r>
      <w:r w:rsidRPr="00311189">
        <w:rPr>
          <w:lang w:val="fr-BE"/>
        </w:rPr>
        <w:t xml:space="preserve"> en fonction de la T</w:t>
      </w:r>
      <w:r w:rsidRPr="00311189">
        <w:rPr>
          <w:vertAlign w:val="subscript"/>
          <w:lang w:val="fr-BE"/>
        </w:rPr>
        <w:t>s</w:t>
      </w:r>
      <w:r w:rsidRPr="00311189">
        <w:rPr>
          <w:lang w:val="fr-BE"/>
        </w:rPr>
        <w:t xml:space="preserve"> (B), l’évolution de la FSH en fonction de l’E2</w:t>
      </w:r>
      <w:r w:rsidRPr="00311189">
        <w:rPr>
          <w:vertAlign w:val="subscript"/>
          <w:lang w:val="fr-BE"/>
        </w:rPr>
        <w:t>s</w:t>
      </w:r>
      <w:r w:rsidRPr="00311189">
        <w:rPr>
          <w:lang w:val="fr-BE"/>
        </w:rPr>
        <w:t xml:space="preserve"> (C), ainsi que l’évolution de la FSH en fonction de la T</w:t>
      </w:r>
      <w:r w:rsidRPr="00311189">
        <w:rPr>
          <w:vertAlign w:val="subscript"/>
          <w:lang w:val="fr-BE"/>
        </w:rPr>
        <w:t>s</w:t>
      </w:r>
      <w:r w:rsidRPr="00311189">
        <w:rPr>
          <w:lang w:val="fr-BE"/>
        </w:rPr>
        <w:t xml:space="preserve"> (D). Les mêmes éléments graphiques et couleurs ont été utilisés, avec des valeurs cibles de 14-24nmol/L pour la Ts. Comme pour les patient·e·s transféminin·e·s, on ne remarque pas d’influence du temps sur la T</w:t>
      </w:r>
      <w:r w:rsidRPr="00311189">
        <w:rPr>
          <w:vertAlign w:val="subscript"/>
          <w:lang w:val="fr-BE"/>
        </w:rPr>
        <w:t>s</w:t>
      </w:r>
      <w:r w:rsidRPr="00311189">
        <w:rPr>
          <w:lang w:val="fr-BE"/>
        </w:rPr>
        <w:t>, ce qui suggère, une fois encore, que l’équilibre hormonal est rapidement atteint et n’évolue plus, à posologie identique. De manière surprenante, l’E2</w:t>
      </w:r>
      <w:r w:rsidRPr="00311189">
        <w:rPr>
          <w:vertAlign w:val="subscript"/>
          <w:lang w:val="fr-BE"/>
        </w:rPr>
        <w:t>s</w:t>
      </w:r>
      <w:r w:rsidRPr="00311189">
        <w:rPr>
          <w:lang w:val="fr-BE"/>
        </w:rPr>
        <w:t xml:space="preserve"> n’est pas influencée par la T</w:t>
      </w:r>
      <w:r w:rsidRPr="00311189">
        <w:rPr>
          <w:vertAlign w:val="subscript"/>
          <w:lang w:val="fr-BE"/>
        </w:rPr>
        <w:t>s</w:t>
      </w:r>
      <w:r w:rsidRPr="00311189">
        <w:rPr>
          <w:lang w:val="fr-BE"/>
        </w:rPr>
        <w:t>. En analysant plus en détail l’axe HHG, on peut constater une relation inversement proportionnelle entre FSH et E2</w:t>
      </w:r>
      <w:r w:rsidRPr="00311189">
        <w:rPr>
          <w:vertAlign w:val="subscript"/>
          <w:lang w:val="fr-BE"/>
        </w:rPr>
        <w:t>s</w:t>
      </w:r>
      <w:r w:rsidRPr="00311189">
        <w:rPr>
          <w:lang w:val="fr-BE"/>
        </w:rPr>
        <w:t xml:space="preserve"> ainsi qu’entre FSH et testostérone sérique. L’explication de ces résultats nécessite un détour théorique sur le rétrocontrôle de l’axe HHG et sera donc développée dans la discussion. Au niveau des autres valeurs de laboratoire, le nombre de patient·e·s n’étant pas divisé entre de multiples traitement, l’effectif était suffisant pour un test statistique comparant les valeurs à T0 et celles </w:t>
      </w:r>
      <w:r w:rsidRPr="00311189">
        <w:rPr>
          <w:lang w:val="fr-BE"/>
        </w:rPr>
        <w:lastRenderedPageBreak/>
        <w:t>à T1. Ces résultats doivent toutefois être interprétés avec prudence vu la taille de l’échantillon. Un test des rangs signés de Wilcoxon a permis de déterminer que la majoration de l’hémoglobinémie et de l’hématocrite étaient stastiquement significative (p&lt;0.01 pour les deux). En ce qui concerne le bilan lipidique, seule la diminution du HDL-C était significative (p&lt;0.01). Enfin, l’augmentation des transaminases hépatiques était également significative (p&lt;0.01 et p=0.01 pour TGO et TGP, respectivement).</w:t>
      </w:r>
    </w:p>
    <w:p w14:paraId="428013A7" w14:textId="77777777" w:rsidR="00C9593D" w:rsidRDefault="0069723F">
      <w:pPr>
        <w:pStyle w:val="Figure"/>
        <w:jc w:val="center"/>
      </w:pPr>
      <w:r>
        <w:rPr>
          <w:noProof/>
        </w:rPr>
        <w:drawing>
          <wp:inline distT="0" distB="0" distL="0" distR="0" wp14:anchorId="4280144B" wp14:editId="4280144C">
            <wp:extent cx="612648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6"/>
                    <a:srcRect/>
                    <a:stretch>
                      <a:fillRect/>
                    </a:stretch>
                  </pic:blipFill>
                  <pic:spPr bwMode="auto">
                    <a:xfrm>
                      <a:off x="0" y="0"/>
                      <a:ext cx="85090" cy="88900"/>
                    </a:xfrm>
                    <a:prstGeom prst="rect">
                      <a:avLst/>
                    </a:prstGeom>
                    <a:noFill/>
                  </pic:spPr>
                </pic:pic>
              </a:graphicData>
            </a:graphic>
          </wp:inline>
        </w:drawing>
      </w:r>
    </w:p>
    <w:p w14:paraId="428013A8" w14:textId="290EF5E7" w:rsidR="00C9593D" w:rsidRPr="00311189" w:rsidRDefault="0069723F">
      <w:pPr>
        <w:pStyle w:val="Lgende"/>
        <w:rPr>
          <w:lang w:val="fr-BE"/>
        </w:rPr>
      </w:pPr>
      <w:bookmarkStart w:id="58" w:name="_Toc101654149"/>
      <w:r w:rsidRPr="00311189">
        <w:rPr>
          <w:b/>
          <w:lang w:val="fr-BE"/>
        </w:rPr>
        <w:t xml:space="preserve">Figure </w:t>
      </w:r>
      <w:bookmarkStart w:id="59" w:name="OutcomePlotM"/>
      <w:r>
        <w:rPr>
          <w:b/>
        </w:rPr>
        <w:fldChar w:fldCharType="begin"/>
      </w:r>
      <w:r w:rsidRPr="00311189">
        <w:rPr>
          <w:b/>
          <w:lang w:val="fr-BE"/>
        </w:rPr>
        <w:instrText>SEQ fig \* Arabic</w:instrText>
      </w:r>
      <w:r>
        <w:rPr>
          <w:b/>
        </w:rPr>
        <w:fldChar w:fldCharType="separate"/>
      </w:r>
      <w:r w:rsidR="00862518" w:rsidRPr="00311189">
        <w:rPr>
          <w:b/>
          <w:noProof/>
          <w:lang w:val="fr-BE"/>
        </w:rPr>
        <w:t>7</w:t>
      </w:r>
      <w:r>
        <w:rPr>
          <w:b/>
        </w:rPr>
        <w:fldChar w:fldCharType="end"/>
      </w:r>
      <w:bookmarkEnd w:id="59"/>
      <w:r w:rsidRPr="00311189">
        <w:rPr>
          <w:lang w:val="fr-BE"/>
        </w:rPr>
        <w:t>: Évolution de l’axe hypothalamo-hypophyso-gonadique chez les patient·e·s transmasculin·e·s</w:t>
      </w:r>
      <w:bookmarkEnd w:id="58"/>
    </w:p>
    <w:p w14:paraId="428013A9" w14:textId="3612B65E" w:rsidR="00C9593D" w:rsidRDefault="0069723F">
      <w:pPr>
        <w:pStyle w:val="Lgende1"/>
      </w:pPr>
      <w:bookmarkStart w:id="60" w:name="_Toc101654142"/>
      <w:r>
        <w:rPr>
          <w:b/>
        </w:rPr>
        <w:lastRenderedPageBreak/>
        <w:t>Tableau</w:t>
      </w:r>
      <w:bookmarkStart w:id="61" w:name="OutcomeTableM"/>
      <w:r>
        <w:rPr>
          <w:b/>
        </w:rPr>
        <w:fldChar w:fldCharType="begin"/>
      </w:r>
      <w:r>
        <w:rPr>
          <w:b/>
        </w:rPr>
        <w:instrText>SEQ tab \* Arabic</w:instrText>
      </w:r>
      <w:r>
        <w:rPr>
          <w:b/>
        </w:rPr>
        <w:fldChar w:fldCharType="separate"/>
      </w:r>
      <w:r w:rsidR="00862518">
        <w:rPr>
          <w:b/>
          <w:noProof/>
        </w:rPr>
        <w:t>3</w:t>
      </w:r>
      <w:r>
        <w:rPr>
          <w:b/>
        </w:rPr>
        <w:fldChar w:fldCharType="end"/>
      </w:r>
      <w:bookmarkEnd w:id="61"/>
      <w:r>
        <w:t>: Évolution des paramètres des patient·e·s transmasculin·e·s, par consultation</w:t>
      </w:r>
      <w:bookmarkEnd w:id="60"/>
    </w:p>
    <w:tbl>
      <w:tblPr>
        <w:tblW w:w="0" w:type="auto"/>
        <w:jc w:val="center"/>
        <w:tblLayout w:type="fixed"/>
        <w:tblLook w:val="0420" w:firstRow="1" w:lastRow="0" w:firstColumn="0" w:lastColumn="0" w:noHBand="0" w:noVBand="1"/>
      </w:tblPr>
      <w:tblGrid>
        <w:gridCol w:w="2494"/>
        <w:gridCol w:w="1191"/>
        <w:gridCol w:w="1191"/>
        <w:gridCol w:w="1191"/>
        <w:gridCol w:w="1191"/>
        <w:gridCol w:w="1191"/>
      </w:tblGrid>
      <w:tr w:rsidR="00C9593D" w14:paraId="428013B0" w14:textId="77777777">
        <w:trPr>
          <w:cantSplit/>
          <w:tblHeader/>
          <w:jc w:val="center"/>
        </w:trPr>
        <w:tc>
          <w:tcPr>
            <w:tcW w:w="2494" w:type="dxa"/>
            <w:tcBorders>
              <w:top w:val="single" w:sz="20" w:space="0" w:color="60A3BC"/>
              <w:left w:val="single" w:sz="20" w:space="0" w:color="60A3BC"/>
              <w:bottom w:val="single" w:sz="20" w:space="0" w:color="60A3BC"/>
            </w:tcBorders>
            <w:shd w:val="clear" w:color="auto" w:fill="60A3BC"/>
            <w:tcMar>
              <w:top w:w="0" w:type="dxa"/>
              <w:left w:w="0" w:type="dxa"/>
              <w:bottom w:w="0" w:type="dxa"/>
              <w:right w:w="0" w:type="dxa"/>
            </w:tcMar>
            <w:vAlign w:val="center"/>
          </w:tcPr>
          <w:p w14:paraId="428013AA" w14:textId="77777777" w:rsidR="00C9593D" w:rsidRDefault="0069723F">
            <w:pPr>
              <w:keepNext/>
              <w:spacing w:before="40" w:after="40" w:line="240" w:lineRule="auto"/>
              <w:ind w:left="100" w:right="100"/>
              <w:jc w:val="left"/>
            </w:pPr>
            <w:r>
              <w:rPr>
                <w:rFonts w:ascii="Lato Bold" w:eastAsia="Lato Bold" w:hAnsi="Lato Bold" w:cs="Lato Bold"/>
                <w:b/>
                <w:color w:val="FFFFFF"/>
                <w:sz w:val="20"/>
                <w:szCs w:val="20"/>
              </w:rPr>
              <w:t>Paramètres</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3AB"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T0, N = 13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3AC"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T1, N = 12</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3AD"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T2, N = 9</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tcBorders>
            <w:shd w:val="clear" w:color="auto" w:fill="60A3BC"/>
            <w:tcMar>
              <w:top w:w="0" w:type="dxa"/>
              <w:left w:w="0" w:type="dxa"/>
              <w:bottom w:w="0" w:type="dxa"/>
              <w:right w:w="0" w:type="dxa"/>
            </w:tcMar>
            <w:vAlign w:val="center"/>
          </w:tcPr>
          <w:p w14:paraId="428013AE"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T3, N = 3</w:t>
            </w:r>
            <w:r>
              <w:rPr>
                <w:rFonts w:ascii="Lato Bold" w:eastAsia="Lato Bold" w:hAnsi="Lato Bold" w:cs="Lato Bold"/>
                <w:b/>
                <w:color w:val="FFFFFF"/>
                <w:sz w:val="20"/>
                <w:szCs w:val="20"/>
                <w:vertAlign w:val="superscript"/>
              </w:rPr>
              <w:t>1</w:t>
            </w:r>
          </w:p>
        </w:tc>
        <w:tc>
          <w:tcPr>
            <w:tcW w:w="1191" w:type="dxa"/>
            <w:tcBorders>
              <w:top w:val="single" w:sz="20" w:space="0" w:color="60A3BC"/>
              <w:bottom w:val="single" w:sz="20" w:space="0" w:color="60A3BC"/>
              <w:right w:val="single" w:sz="20" w:space="0" w:color="60A3BC"/>
            </w:tcBorders>
            <w:shd w:val="clear" w:color="auto" w:fill="60A3BC"/>
            <w:tcMar>
              <w:top w:w="0" w:type="dxa"/>
              <w:left w:w="0" w:type="dxa"/>
              <w:bottom w:w="0" w:type="dxa"/>
              <w:right w:w="0" w:type="dxa"/>
            </w:tcMar>
            <w:vAlign w:val="center"/>
          </w:tcPr>
          <w:p w14:paraId="428013AF" w14:textId="77777777" w:rsidR="00C9593D" w:rsidRDefault="0069723F">
            <w:pPr>
              <w:keepNext/>
              <w:spacing w:before="40" w:after="40" w:line="240" w:lineRule="auto"/>
              <w:ind w:left="100" w:right="100"/>
              <w:jc w:val="center"/>
            </w:pPr>
            <w:r>
              <w:rPr>
                <w:rFonts w:ascii="Lato Bold" w:eastAsia="Lato Bold" w:hAnsi="Lato Bold" w:cs="Lato Bold"/>
                <w:b/>
                <w:color w:val="FFFFFF"/>
                <w:sz w:val="20"/>
                <w:szCs w:val="20"/>
              </w:rPr>
              <w:t>T4, N = 3</w:t>
            </w:r>
            <w:r>
              <w:rPr>
                <w:rFonts w:ascii="Lato Bold" w:eastAsia="Lato Bold" w:hAnsi="Lato Bold" w:cs="Lato Bold"/>
                <w:b/>
                <w:color w:val="FFFFFF"/>
                <w:sz w:val="20"/>
                <w:szCs w:val="20"/>
                <w:vertAlign w:val="superscript"/>
              </w:rPr>
              <w:t>1</w:t>
            </w:r>
          </w:p>
        </w:tc>
      </w:tr>
      <w:tr w:rsidR="00C9593D" w14:paraId="428013B7"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428013B1" w14:textId="77777777" w:rsidR="00C9593D" w:rsidRDefault="0069723F">
            <w:pPr>
              <w:keepNext/>
              <w:spacing w:before="100" w:after="100" w:line="240" w:lineRule="auto"/>
              <w:ind w:left="100" w:right="100"/>
              <w:jc w:val="left"/>
            </w:pPr>
            <w:r>
              <w:rPr>
                <w:rFonts w:eastAsia="Lato Light" w:cs="Lato Light"/>
                <w:b/>
                <w:color w:val="000000"/>
                <w:sz w:val="20"/>
                <w:szCs w:val="20"/>
              </w:rPr>
              <w:t>Systolique (mmHg)</w:t>
            </w:r>
          </w:p>
        </w:tc>
        <w:tc>
          <w:tcPr>
            <w:tcW w:w="1191" w:type="dxa"/>
            <w:shd w:val="clear" w:color="auto" w:fill="FFFFFF"/>
            <w:tcMar>
              <w:top w:w="0" w:type="dxa"/>
              <w:left w:w="0" w:type="dxa"/>
              <w:bottom w:w="0" w:type="dxa"/>
              <w:right w:w="0" w:type="dxa"/>
            </w:tcMar>
            <w:vAlign w:val="center"/>
          </w:tcPr>
          <w:p w14:paraId="428013B2" w14:textId="77777777" w:rsidR="00C9593D" w:rsidRDefault="0069723F">
            <w:pPr>
              <w:keepNext/>
              <w:spacing w:before="100" w:after="100" w:line="240" w:lineRule="auto"/>
              <w:ind w:left="100" w:right="100"/>
              <w:jc w:val="center"/>
            </w:pPr>
            <w:r>
              <w:rPr>
                <w:rFonts w:eastAsia="Lato Light" w:cs="Lato Light"/>
                <w:color w:val="000000"/>
                <w:sz w:val="20"/>
                <w:szCs w:val="20"/>
              </w:rPr>
              <w:t>110</w:t>
            </w:r>
          </w:p>
        </w:tc>
        <w:tc>
          <w:tcPr>
            <w:tcW w:w="1191" w:type="dxa"/>
            <w:shd w:val="clear" w:color="auto" w:fill="FFFFFF"/>
            <w:tcMar>
              <w:top w:w="0" w:type="dxa"/>
              <w:left w:w="0" w:type="dxa"/>
              <w:bottom w:w="0" w:type="dxa"/>
              <w:right w:w="0" w:type="dxa"/>
            </w:tcMar>
            <w:vAlign w:val="center"/>
          </w:tcPr>
          <w:p w14:paraId="428013B3" w14:textId="77777777" w:rsidR="00C9593D" w:rsidRDefault="0069723F">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428013B4" w14:textId="77777777" w:rsidR="00C9593D" w:rsidRDefault="0069723F">
            <w:pPr>
              <w:keepNext/>
              <w:spacing w:before="100" w:after="100" w:line="240" w:lineRule="auto"/>
              <w:ind w:left="100" w:right="100"/>
              <w:jc w:val="center"/>
            </w:pPr>
            <w:r>
              <w:rPr>
                <w:rFonts w:eastAsia="Lato Light" w:cs="Lato Light"/>
                <w:color w:val="000000"/>
                <w:sz w:val="20"/>
                <w:szCs w:val="20"/>
              </w:rPr>
              <w:t>120</w:t>
            </w:r>
          </w:p>
        </w:tc>
        <w:tc>
          <w:tcPr>
            <w:tcW w:w="1191" w:type="dxa"/>
            <w:shd w:val="clear" w:color="auto" w:fill="FFFFFF"/>
            <w:tcMar>
              <w:top w:w="0" w:type="dxa"/>
              <w:left w:w="0" w:type="dxa"/>
              <w:bottom w:w="0" w:type="dxa"/>
              <w:right w:w="0" w:type="dxa"/>
            </w:tcMar>
            <w:vAlign w:val="center"/>
          </w:tcPr>
          <w:p w14:paraId="428013B5" w14:textId="77777777" w:rsidR="00C9593D" w:rsidRDefault="0069723F">
            <w:pPr>
              <w:keepNext/>
              <w:spacing w:before="100" w:after="100" w:line="240" w:lineRule="auto"/>
              <w:ind w:left="100" w:right="100"/>
              <w:jc w:val="center"/>
            </w:pPr>
            <w:r>
              <w:rPr>
                <w:rFonts w:eastAsia="Lato Light" w:cs="Lato Light"/>
                <w:color w:val="000000"/>
                <w:sz w:val="20"/>
                <w:szCs w:val="20"/>
              </w:rPr>
              <w:t>115</w:t>
            </w:r>
          </w:p>
        </w:tc>
        <w:tc>
          <w:tcPr>
            <w:tcW w:w="1191" w:type="dxa"/>
            <w:tcBorders>
              <w:right w:val="single" w:sz="20" w:space="0" w:color="60A3BC"/>
            </w:tcBorders>
            <w:shd w:val="clear" w:color="auto" w:fill="FFFFFF"/>
            <w:tcMar>
              <w:top w:w="0" w:type="dxa"/>
              <w:left w:w="0" w:type="dxa"/>
              <w:bottom w:w="0" w:type="dxa"/>
              <w:right w:w="0" w:type="dxa"/>
            </w:tcMar>
            <w:vAlign w:val="center"/>
          </w:tcPr>
          <w:p w14:paraId="428013B6" w14:textId="77777777" w:rsidR="00C9593D" w:rsidRDefault="0069723F">
            <w:pPr>
              <w:keepNext/>
              <w:spacing w:before="100" w:after="100" w:line="240" w:lineRule="auto"/>
              <w:ind w:left="100" w:right="100"/>
              <w:jc w:val="center"/>
            </w:pPr>
            <w:r>
              <w:rPr>
                <w:rFonts w:eastAsia="Lato Light" w:cs="Lato Light"/>
                <w:color w:val="000000"/>
                <w:sz w:val="20"/>
                <w:szCs w:val="20"/>
              </w:rPr>
              <w:t>122</w:t>
            </w:r>
          </w:p>
        </w:tc>
      </w:tr>
      <w:tr w:rsidR="00C9593D" w14:paraId="428013BE"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428013B8" w14:textId="77777777" w:rsidR="00C9593D" w:rsidRDefault="0069723F">
            <w:pPr>
              <w:keepNext/>
              <w:spacing w:before="100" w:after="100" w:line="240" w:lineRule="auto"/>
              <w:ind w:left="100" w:right="100"/>
              <w:jc w:val="left"/>
            </w:pPr>
            <w:r>
              <w:rPr>
                <w:rFonts w:eastAsia="Lato Light" w:cs="Lato Light"/>
                <w:b/>
                <w:color w:val="000000"/>
                <w:sz w:val="20"/>
                <w:szCs w:val="20"/>
              </w:rPr>
              <w:t>Diastolique (mmHg)</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B9" w14:textId="77777777" w:rsidR="00C9593D" w:rsidRDefault="0069723F">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BA" w14:textId="77777777" w:rsidR="00C9593D" w:rsidRDefault="0069723F">
            <w:pPr>
              <w:keepNext/>
              <w:spacing w:before="100" w:after="100" w:line="240" w:lineRule="auto"/>
              <w:ind w:left="100" w:right="100"/>
              <w:jc w:val="center"/>
            </w:pPr>
            <w:r>
              <w:rPr>
                <w:rFonts w:eastAsia="Lato Light" w:cs="Lato Light"/>
                <w:color w:val="000000"/>
                <w:sz w:val="20"/>
                <w:szCs w:val="20"/>
              </w:rPr>
              <w:t>70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BB" w14:textId="77777777" w:rsidR="00C9593D" w:rsidRDefault="0069723F">
            <w:pPr>
              <w:keepNext/>
              <w:spacing w:before="100" w:after="100" w:line="240" w:lineRule="auto"/>
              <w:ind w:left="100" w:right="100"/>
              <w:jc w:val="center"/>
            </w:pPr>
            <w:r>
              <w:rPr>
                <w:rFonts w:eastAsia="Lato Light" w:cs="Lato Light"/>
                <w:color w:val="000000"/>
                <w:sz w:val="20"/>
                <w:szCs w:val="20"/>
              </w:rPr>
              <w:t>80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BC" w14:textId="77777777" w:rsidR="00C9593D" w:rsidRDefault="0069723F">
            <w:pPr>
              <w:keepNext/>
              <w:spacing w:before="100" w:after="100" w:line="240" w:lineRule="auto"/>
              <w:ind w:left="100" w:right="100"/>
              <w:jc w:val="center"/>
            </w:pPr>
            <w:r>
              <w:rPr>
                <w:rFonts w:eastAsia="Lato Light" w:cs="Lato Light"/>
                <w:color w:val="000000"/>
                <w:sz w:val="20"/>
                <w:szCs w:val="20"/>
              </w:rPr>
              <w:t>75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BD" w14:textId="77777777" w:rsidR="00C9593D" w:rsidRDefault="0069723F">
            <w:pPr>
              <w:keepNext/>
              <w:spacing w:before="100" w:after="100" w:line="240" w:lineRule="auto"/>
              <w:ind w:left="100" w:right="100"/>
              <w:jc w:val="center"/>
            </w:pPr>
            <w:r>
              <w:rPr>
                <w:rFonts w:eastAsia="Lato Light" w:cs="Lato Light"/>
                <w:color w:val="000000"/>
                <w:sz w:val="20"/>
                <w:szCs w:val="20"/>
              </w:rPr>
              <w:t>80</w:t>
            </w:r>
          </w:p>
        </w:tc>
      </w:tr>
      <w:tr w:rsidR="00C9593D" w14:paraId="428013C5"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428013BF" w14:textId="77777777" w:rsidR="00C9593D" w:rsidRDefault="0069723F">
            <w:pPr>
              <w:keepNext/>
              <w:spacing w:before="100" w:after="100" w:line="240" w:lineRule="auto"/>
              <w:ind w:left="100" w:right="100"/>
              <w:jc w:val="left"/>
            </w:pPr>
            <w:r>
              <w:rPr>
                <w:rFonts w:eastAsia="Lato Light" w:cs="Lato Light"/>
                <w:b/>
                <w:color w:val="000000"/>
                <w:sz w:val="20"/>
                <w:szCs w:val="20"/>
              </w:rPr>
              <w:t>FSH (U/L)</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C0" w14:textId="77777777" w:rsidR="00C9593D" w:rsidRDefault="0069723F">
            <w:pPr>
              <w:keepNext/>
              <w:spacing w:before="100" w:after="100" w:line="240" w:lineRule="auto"/>
              <w:ind w:left="100" w:right="100"/>
              <w:jc w:val="center"/>
            </w:pPr>
            <w:r>
              <w:rPr>
                <w:rFonts w:eastAsia="Lato Light" w:cs="Lato Light"/>
                <w:color w:val="000000"/>
                <w:sz w:val="20"/>
                <w:szCs w:val="20"/>
              </w:rPr>
              <w:t>5.8</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C1" w14:textId="77777777" w:rsidR="00C9593D" w:rsidRDefault="0069723F">
            <w:pPr>
              <w:keepNext/>
              <w:spacing w:before="100" w:after="100" w:line="240" w:lineRule="auto"/>
              <w:ind w:left="100" w:right="100"/>
              <w:jc w:val="center"/>
            </w:pPr>
            <w:r>
              <w:rPr>
                <w:rFonts w:eastAsia="Lato Light" w:cs="Lato Light"/>
                <w:color w:val="000000"/>
                <w:sz w:val="20"/>
                <w:szCs w:val="20"/>
              </w:rPr>
              <w:t>4.8</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C2" w14:textId="77777777" w:rsidR="00C9593D" w:rsidRDefault="0069723F">
            <w:pPr>
              <w:keepNext/>
              <w:spacing w:before="100" w:after="100" w:line="240" w:lineRule="auto"/>
              <w:ind w:left="100" w:right="100"/>
              <w:jc w:val="center"/>
            </w:pPr>
            <w:r>
              <w:rPr>
                <w:rFonts w:eastAsia="Lato Light" w:cs="Lato Light"/>
                <w:color w:val="000000"/>
                <w:sz w:val="20"/>
                <w:szCs w:val="20"/>
              </w:rPr>
              <w:t>4.6</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C3" w14:textId="77777777" w:rsidR="00C9593D" w:rsidRDefault="0069723F">
            <w:pPr>
              <w:keepNext/>
              <w:spacing w:before="100" w:after="100" w:line="240" w:lineRule="auto"/>
              <w:ind w:left="100" w:right="100"/>
              <w:jc w:val="center"/>
            </w:pPr>
            <w:r>
              <w:rPr>
                <w:rFonts w:eastAsia="Lato Light" w:cs="Lato Light"/>
                <w:color w:val="000000"/>
                <w:sz w:val="20"/>
                <w:szCs w:val="20"/>
              </w:rPr>
              <w:t>6.6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C4" w14:textId="77777777" w:rsidR="00C9593D" w:rsidRDefault="0069723F">
            <w:pPr>
              <w:keepNext/>
              <w:spacing w:before="100" w:after="100" w:line="240" w:lineRule="auto"/>
              <w:ind w:left="100" w:right="100"/>
              <w:jc w:val="center"/>
            </w:pPr>
            <w:r>
              <w:rPr>
                <w:rFonts w:eastAsia="Lato Light" w:cs="Lato Light"/>
                <w:color w:val="000000"/>
                <w:sz w:val="20"/>
                <w:szCs w:val="20"/>
              </w:rPr>
              <w:t>9.0</w:t>
            </w:r>
          </w:p>
        </w:tc>
      </w:tr>
      <w:tr w:rsidR="00C9593D" w14:paraId="428013CC"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428013C6" w14:textId="77777777" w:rsidR="00C9593D" w:rsidRDefault="0069723F">
            <w:pPr>
              <w:keepNext/>
              <w:spacing w:before="100" w:after="100" w:line="240" w:lineRule="auto"/>
              <w:ind w:left="100" w:right="100"/>
              <w:jc w:val="left"/>
            </w:pPr>
            <w:r>
              <w:rPr>
                <w:rFonts w:eastAsia="Lato Light" w:cs="Lato Light"/>
                <w:b/>
                <w:color w:val="000000"/>
                <w:sz w:val="20"/>
                <w:szCs w:val="20"/>
              </w:rPr>
              <w:t>LH (U/L)</w:t>
            </w:r>
          </w:p>
        </w:tc>
        <w:tc>
          <w:tcPr>
            <w:tcW w:w="1191" w:type="dxa"/>
            <w:shd w:val="clear" w:color="auto" w:fill="FFFFFF"/>
            <w:tcMar>
              <w:top w:w="0" w:type="dxa"/>
              <w:left w:w="0" w:type="dxa"/>
              <w:bottom w:w="0" w:type="dxa"/>
              <w:right w:w="0" w:type="dxa"/>
            </w:tcMar>
            <w:vAlign w:val="center"/>
          </w:tcPr>
          <w:p w14:paraId="428013C7" w14:textId="77777777" w:rsidR="00C9593D" w:rsidRDefault="0069723F">
            <w:pPr>
              <w:keepNext/>
              <w:spacing w:before="100" w:after="100" w:line="240" w:lineRule="auto"/>
              <w:ind w:left="100" w:right="100"/>
              <w:jc w:val="center"/>
            </w:pPr>
            <w:r>
              <w:rPr>
                <w:rFonts w:eastAsia="Lato Light" w:cs="Lato Light"/>
                <w:color w:val="000000"/>
                <w:sz w:val="20"/>
                <w:szCs w:val="20"/>
              </w:rPr>
              <w:t>9</w:t>
            </w:r>
          </w:p>
        </w:tc>
        <w:tc>
          <w:tcPr>
            <w:tcW w:w="1191" w:type="dxa"/>
            <w:shd w:val="clear" w:color="auto" w:fill="FFFFFF"/>
            <w:tcMar>
              <w:top w:w="0" w:type="dxa"/>
              <w:left w:w="0" w:type="dxa"/>
              <w:bottom w:w="0" w:type="dxa"/>
              <w:right w:w="0" w:type="dxa"/>
            </w:tcMar>
            <w:vAlign w:val="center"/>
          </w:tcPr>
          <w:p w14:paraId="428013C8" w14:textId="77777777" w:rsidR="00C9593D" w:rsidRDefault="0069723F">
            <w:pPr>
              <w:keepNext/>
              <w:spacing w:before="100" w:after="100" w:line="240" w:lineRule="auto"/>
              <w:ind w:left="100" w:right="100"/>
              <w:jc w:val="center"/>
            </w:pPr>
            <w:r>
              <w:rPr>
                <w:rFonts w:eastAsia="Lato Light" w:cs="Lato Light"/>
                <w:color w:val="000000"/>
                <w:sz w:val="20"/>
                <w:szCs w:val="20"/>
              </w:rPr>
              <w:t>6</w:t>
            </w:r>
          </w:p>
        </w:tc>
        <w:tc>
          <w:tcPr>
            <w:tcW w:w="1191" w:type="dxa"/>
            <w:shd w:val="clear" w:color="auto" w:fill="FFFFFF"/>
            <w:tcMar>
              <w:top w:w="0" w:type="dxa"/>
              <w:left w:w="0" w:type="dxa"/>
              <w:bottom w:w="0" w:type="dxa"/>
              <w:right w:w="0" w:type="dxa"/>
            </w:tcMar>
            <w:vAlign w:val="center"/>
          </w:tcPr>
          <w:p w14:paraId="428013C9" w14:textId="77777777" w:rsidR="00C9593D" w:rsidRDefault="0069723F">
            <w:pPr>
              <w:keepNext/>
              <w:spacing w:before="100" w:after="100" w:line="240" w:lineRule="auto"/>
              <w:ind w:left="100" w:right="100"/>
              <w:jc w:val="center"/>
            </w:pPr>
            <w:r>
              <w:rPr>
                <w:rFonts w:eastAsia="Lato Light" w:cs="Lato Light"/>
                <w:color w:val="000000"/>
                <w:sz w:val="20"/>
                <w:szCs w:val="20"/>
              </w:rPr>
              <w:t>4</w:t>
            </w:r>
          </w:p>
        </w:tc>
        <w:tc>
          <w:tcPr>
            <w:tcW w:w="1191" w:type="dxa"/>
            <w:shd w:val="clear" w:color="auto" w:fill="FFFFFF"/>
            <w:tcMar>
              <w:top w:w="0" w:type="dxa"/>
              <w:left w:w="0" w:type="dxa"/>
              <w:bottom w:w="0" w:type="dxa"/>
              <w:right w:w="0" w:type="dxa"/>
            </w:tcMar>
            <w:vAlign w:val="center"/>
          </w:tcPr>
          <w:p w14:paraId="428013CA" w14:textId="77777777" w:rsidR="00C9593D" w:rsidRDefault="0069723F">
            <w:pPr>
              <w:keepNext/>
              <w:spacing w:before="100" w:after="100" w:line="240" w:lineRule="auto"/>
              <w:ind w:left="100" w:right="100"/>
              <w:jc w:val="center"/>
            </w:pPr>
            <w:r>
              <w:rPr>
                <w:rFonts w:eastAsia="Lato Light" w:cs="Lato Light"/>
                <w:color w:val="000000"/>
                <w:sz w:val="20"/>
                <w:szCs w:val="20"/>
              </w:rPr>
              <w:t>9</w:t>
            </w:r>
          </w:p>
        </w:tc>
        <w:tc>
          <w:tcPr>
            <w:tcW w:w="1191" w:type="dxa"/>
            <w:tcBorders>
              <w:right w:val="single" w:sz="20" w:space="0" w:color="60A3BC"/>
            </w:tcBorders>
            <w:shd w:val="clear" w:color="auto" w:fill="FFFFFF"/>
            <w:tcMar>
              <w:top w:w="0" w:type="dxa"/>
              <w:left w:w="0" w:type="dxa"/>
              <w:bottom w:w="0" w:type="dxa"/>
              <w:right w:w="0" w:type="dxa"/>
            </w:tcMar>
            <w:vAlign w:val="center"/>
          </w:tcPr>
          <w:p w14:paraId="428013CB" w14:textId="77777777" w:rsidR="00C9593D" w:rsidRDefault="0069723F">
            <w:pPr>
              <w:keepNext/>
              <w:spacing w:before="100" w:after="100" w:line="240" w:lineRule="auto"/>
              <w:ind w:left="100" w:right="100"/>
              <w:jc w:val="center"/>
            </w:pPr>
            <w:r>
              <w:rPr>
                <w:rFonts w:eastAsia="Lato Light" w:cs="Lato Light"/>
                <w:color w:val="000000"/>
                <w:sz w:val="20"/>
                <w:szCs w:val="20"/>
              </w:rPr>
              <w:t>7</w:t>
            </w:r>
          </w:p>
        </w:tc>
      </w:tr>
      <w:tr w:rsidR="00C9593D" w14:paraId="428013D3" w14:textId="77777777">
        <w:trPr>
          <w:cantSplit/>
          <w:jc w:val="center"/>
        </w:trPr>
        <w:tc>
          <w:tcPr>
            <w:tcW w:w="2494" w:type="dxa"/>
            <w:tcBorders>
              <w:left w:val="single" w:sz="20" w:space="0" w:color="60A3BC"/>
            </w:tcBorders>
            <w:shd w:val="clear" w:color="auto" w:fill="FFFFFF"/>
            <w:tcMar>
              <w:top w:w="0" w:type="dxa"/>
              <w:left w:w="0" w:type="dxa"/>
              <w:bottom w:w="0" w:type="dxa"/>
              <w:right w:w="0" w:type="dxa"/>
            </w:tcMar>
          </w:tcPr>
          <w:p w14:paraId="428013CD" w14:textId="77777777" w:rsidR="00C9593D" w:rsidRDefault="0069723F">
            <w:pPr>
              <w:keepNext/>
              <w:spacing w:before="100" w:after="100" w:line="240" w:lineRule="auto"/>
              <w:ind w:left="100" w:right="100"/>
              <w:jc w:val="left"/>
            </w:pPr>
            <w:r>
              <w:rPr>
                <w:rFonts w:eastAsia="Lato Light" w:cs="Lato Light"/>
                <w:b/>
                <w:color w:val="000000"/>
                <w:sz w:val="20"/>
                <w:szCs w:val="20"/>
              </w:rPr>
              <w:t>Estradiol (ng/L)</w:t>
            </w:r>
          </w:p>
        </w:tc>
        <w:tc>
          <w:tcPr>
            <w:tcW w:w="1191" w:type="dxa"/>
            <w:shd w:val="clear" w:color="auto" w:fill="FFFFFF"/>
            <w:tcMar>
              <w:top w:w="0" w:type="dxa"/>
              <w:left w:w="0" w:type="dxa"/>
              <w:bottom w:w="0" w:type="dxa"/>
              <w:right w:w="0" w:type="dxa"/>
            </w:tcMar>
            <w:vAlign w:val="center"/>
          </w:tcPr>
          <w:p w14:paraId="428013CE" w14:textId="77777777" w:rsidR="00C9593D" w:rsidRDefault="0069723F">
            <w:pPr>
              <w:keepNext/>
              <w:spacing w:before="100" w:after="100" w:line="240" w:lineRule="auto"/>
              <w:ind w:left="100" w:right="100"/>
              <w:jc w:val="center"/>
            </w:pPr>
            <w:r>
              <w:rPr>
                <w:rFonts w:eastAsia="Lato Light" w:cs="Lato Light"/>
                <w:color w:val="000000"/>
                <w:sz w:val="20"/>
                <w:szCs w:val="20"/>
              </w:rPr>
              <w:t>63</w:t>
            </w:r>
          </w:p>
        </w:tc>
        <w:tc>
          <w:tcPr>
            <w:tcW w:w="1191" w:type="dxa"/>
            <w:shd w:val="clear" w:color="auto" w:fill="FFFFFF"/>
            <w:tcMar>
              <w:top w:w="0" w:type="dxa"/>
              <w:left w:w="0" w:type="dxa"/>
              <w:bottom w:w="0" w:type="dxa"/>
              <w:right w:w="0" w:type="dxa"/>
            </w:tcMar>
            <w:vAlign w:val="center"/>
          </w:tcPr>
          <w:p w14:paraId="428013CF" w14:textId="77777777" w:rsidR="00C9593D" w:rsidRDefault="0069723F">
            <w:pPr>
              <w:keepNext/>
              <w:spacing w:before="100" w:after="100" w:line="240" w:lineRule="auto"/>
              <w:ind w:left="100" w:right="100"/>
              <w:jc w:val="center"/>
            </w:pPr>
            <w:r>
              <w:rPr>
                <w:rFonts w:eastAsia="Lato Light" w:cs="Lato Light"/>
                <w:color w:val="000000"/>
                <w:sz w:val="20"/>
                <w:szCs w:val="20"/>
              </w:rPr>
              <w:t>48</w:t>
            </w:r>
          </w:p>
        </w:tc>
        <w:tc>
          <w:tcPr>
            <w:tcW w:w="1191" w:type="dxa"/>
            <w:shd w:val="clear" w:color="auto" w:fill="FFFFFF"/>
            <w:tcMar>
              <w:top w:w="0" w:type="dxa"/>
              <w:left w:w="0" w:type="dxa"/>
              <w:bottom w:w="0" w:type="dxa"/>
              <w:right w:w="0" w:type="dxa"/>
            </w:tcMar>
            <w:vAlign w:val="center"/>
          </w:tcPr>
          <w:p w14:paraId="428013D0" w14:textId="77777777" w:rsidR="00C9593D" w:rsidRDefault="0069723F">
            <w:pPr>
              <w:keepNext/>
              <w:spacing w:before="100" w:after="100" w:line="240" w:lineRule="auto"/>
              <w:ind w:left="100" w:right="100"/>
              <w:jc w:val="center"/>
            </w:pPr>
            <w:r>
              <w:rPr>
                <w:rFonts w:eastAsia="Lato Light" w:cs="Lato Light"/>
                <w:color w:val="000000"/>
                <w:sz w:val="20"/>
                <w:szCs w:val="20"/>
              </w:rPr>
              <w:t>42</w:t>
            </w:r>
          </w:p>
        </w:tc>
        <w:tc>
          <w:tcPr>
            <w:tcW w:w="1191" w:type="dxa"/>
            <w:shd w:val="clear" w:color="auto" w:fill="FFFFFF"/>
            <w:tcMar>
              <w:top w:w="0" w:type="dxa"/>
              <w:left w:w="0" w:type="dxa"/>
              <w:bottom w:w="0" w:type="dxa"/>
              <w:right w:w="0" w:type="dxa"/>
            </w:tcMar>
            <w:vAlign w:val="center"/>
          </w:tcPr>
          <w:p w14:paraId="428013D1" w14:textId="77777777" w:rsidR="00C9593D" w:rsidRDefault="0069723F">
            <w:pPr>
              <w:keepNext/>
              <w:spacing w:before="100" w:after="100" w:line="240" w:lineRule="auto"/>
              <w:ind w:left="100" w:right="100"/>
              <w:jc w:val="center"/>
            </w:pPr>
            <w:r>
              <w:rPr>
                <w:rFonts w:eastAsia="Lato Light" w:cs="Lato Light"/>
                <w:color w:val="000000"/>
                <w:sz w:val="20"/>
                <w:szCs w:val="20"/>
              </w:rPr>
              <w:t>55</w:t>
            </w:r>
          </w:p>
        </w:tc>
        <w:tc>
          <w:tcPr>
            <w:tcW w:w="1191" w:type="dxa"/>
            <w:tcBorders>
              <w:right w:val="single" w:sz="20" w:space="0" w:color="60A3BC"/>
            </w:tcBorders>
            <w:shd w:val="clear" w:color="auto" w:fill="FFFFFF"/>
            <w:tcMar>
              <w:top w:w="0" w:type="dxa"/>
              <w:left w:w="0" w:type="dxa"/>
              <w:bottom w:w="0" w:type="dxa"/>
              <w:right w:w="0" w:type="dxa"/>
            </w:tcMar>
            <w:vAlign w:val="center"/>
          </w:tcPr>
          <w:p w14:paraId="428013D2" w14:textId="77777777" w:rsidR="00C9593D" w:rsidRDefault="0069723F">
            <w:pPr>
              <w:keepNext/>
              <w:spacing w:before="100" w:after="100" w:line="240" w:lineRule="auto"/>
              <w:ind w:left="100" w:right="100"/>
              <w:jc w:val="center"/>
            </w:pPr>
            <w:r>
              <w:rPr>
                <w:rFonts w:eastAsia="Lato Light" w:cs="Lato Light"/>
                <w:color w:val="000000"/>
                <w:sz w:val="20"/>
                <w:szCs w:val="20"/>
              </w:rPr>
              <w:t>59</w:t>
            </w:r>
          </w:p>
        </w:tc>
      </w:tr>
      <w:tr w:rsidR="00C9593D" w14:paraId="428013DA"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428013D4" w14:textId="77777777" w:rsidR="00C9593D" w:rsidRDefault="0069723F">
            <w:pPr>
              <w:keepNext/>
              <w:spacing w:before="100" w:after="100" w:line="240" w:lineRule="auto"/>
              <w:ind w:left="100" w:right="100"/>
              <w:jc w:val="left"/>
            </w:pPr>
            <w:r>
              <w:rPr>
                <w:rFonts w:eastAsia="Lato Light" w:cs="Lato Light"/>
                <w:b/>
                <w:color w:val="000000"/>
                <w:sz w:val="20"/>
                <w:szCs w:val="20"/>
              </w:rPr>
              <w:t>Testostérone totale (nmol/L)</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D5" w14:textId="77777777" w:rsidR="00C9593D" w:rsidRDefault="0069723F">
            <w:pPr>
              <w:keepNext/>
              <w:spacing w:before="100" w:after="100" w:line="240" w:lineRule="auto"/>
              <w:ind w:left="100" w:right="100"/>
              <w:jc w:val="center"/>
            </w:pPr>
            <w:r>
              <w:rPr>
                <w:rFonts w:eastAsia="Lato Light" w:cs="Lato Light"/>
                <w:color w:val="000000"/>
                <w:sz w:val="20"/>
                <w:szCs w:val="20"/>
              </w:rPr>
              <w:t>1.2</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D6" w14:textId="77777777" w:rsidR="00C9593D" w:rsidRDefault="0069723F">
            <w:pPr>
              <w:keepNext/>
              <w:spacing w:before="100" w:after="100" w:line="240" w:lineRule="auto"/>
              <w:ind w:left="100" w:right="100"/>
              <w:jc w:val="center"/>
            </w:pPr>
            <w:r>
              <w:rPr>
                <w:rFonts w:eastAsia="Lato Light" w:cs="Lato Light"/>
                <w:color w:val="000000"/>
                <w:sz w:val="20"/>
                <w:szCs w:val="20"/>
              </w:rPr>
              <w:t>18.4</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D7" w14:textId="77777777" w:rsidR="00C9593D" w:rsidRDefault="0069723F">
            <w:pPr>
              <w:keepNext/>
              <w:spacing w:before="100" w:after="100" w:line="240" w:lineRule="auto"/>
              <w:ind w:left="100" w:right="100"/>
              <w:jc w:val="center"/>
            </w:pPr>
            <w:r>
              <w:rPr>
                <w:rFonts w:eastAsia="Lato Light" w:cs="Lato Light"/>
                <w:color w:val="000000"/>
                <w:sz w:val="20"/>
                <w:szCs w:val="20"/>
              </w:rPr>
              <w:t>17.1</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D8" w14:textId="77777777" w:rsidR="00C9593D" w:rsidRDefault="0069723F">
            <w:pPr>
              <w:keepNext/>
              <w:spacing w:before="100" w:after="100" w:line="240" w:lineRule="auto"/>
              <w:ind w:left="100" w:right="100"/>
              <w:jc w:val="center"/>
            </w:pPr>
            <w:r>
              <w:rPr>
                <w:rFonts w:eastAsia="Lato Light" w:cs="Lato Light"/>
                <w:color w:val="000000"/>
                <w:sz w:val="20"/>
                <w:szCs w:val="20"/>
              </w:rPr>
              <w:t>10.8</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D9" w14:textId="77777777" w:rsidR="00C9593D" w:rsidRDefault="0069723F">
            <w:pPr>
              <w:keepNext/>
              <w:spacing w:before="100" w:after="100" w:line="240" w:lineRule="auto"/>
              <w:ind w:left="100" w:right="100"/>
              <w:jc w:val="center"/>
            </w:pPr>
            <w:r>
              <w:rPr>
                <w:rFonts w:eastAsia="Lato Light" w:cs="Lato Light"/>
                <w:color w:val="000000"/>
                <w:sz w:val="20"/>
                <w:szCs w:val="20"/>
              </w:rPr>
              <w:t>22.8</w:t>
            </w:r>
          </w:p>
        </w:tc>
      </w:tr>
      <w:tr w:rsidR="00C9593D" w14:paraId="428013E1"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428013DB" w14:textId="77777777" w:rsidR="00C9593D" w:rsidRDefault="0069723F">
            <w:pPr>
              <w:keepNext/>
              <w:spacing w:before="100" w:after="100" w:line="240" w:lineRule="auto"/>
              <w:ind w:left="100" w:right="100"/>
              <w:jc w:val="left"/>
            </w:pPr>
            <w:r>
              <w:rPr>
                <w:rFonts w:eastAsia="Lato Light" w:cs="Lato Light"/>
                <w:b/>
                <w:color w:val="000000"/>
                <w:sz w:val="20"/>
                <w:szCs w:val="20"/>
              </w:rPr>
              <w:t>Hémoglobine (g/dL)</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DC" w14:textId="77777777" w:rsidR="00C9593D" w:rsidRDefault="0069723F">
            <w:pPr>
              <w:keepNext/>
              <w:spacing w:before="100" w:after="100" w:line="240" w:lineRule="auto"/>
              <w:ind w:left="100" w:right="100"/>
              <w:jc w:val="center"/>
            </w:pPr>
            <w:r>
              <w:rPr>
                <w:rFonts w:eastAsia="Lato Light" w:cs="Lato Light"/>
                <w:color w:val="000000"/>
                <w:sz w:val="20"/>
                <w:szCs w:val="20"/>
              </w:rPr>
              <w:t>13.8</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DD" w14:textId="77777777" w:rsidR="00C9593D" w:rsidRDefault="0069723F">
            <w:pPr>
              <w:keepNext/>
              <w:spacing w:before="100" w:after="100" w:line="240" w:lineRule="auto"/>
              <w:ind w:left="100" w:right="100"/>
              <w:jc w:val="center"/>
            </w:pPr>
            <w:r>
              <w:rPr>
                <w:rFonts w:eastAsia="Lato Light" w:cs="Lato Light"/>
                <w:color w:val="000000"/>
                <w:sz w:val="20"/>
                <w:szCs w:val="20"/>
              </w:rPr>
              <w:t>15.3</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DE" w14:textId="77777777" w:rsidR="00C9593D" w:rsidRDefault="0069723F">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DF" w14:textId="77777777" w:rsidR="00C9593D" w:rsidRDefault="0069723F">
            <w:pPr>
              <w:keepNext/>
              <w:spacing w:before="100" w:after="100" w:line="240" w:lineRule="auto"/>
              <w:ind w:left="100" w:right="100"/>
              <w:jc w:val="center"/>
            </w:pPr>
            <w:r>
              <w:rPr>
                <w:rFonts w:eastAsia="Lato Light" w:cs="Lato Light"/>
                <w:color w:val="000000"/>
                <w:sz w:val="20"/>
                <w:szCs w:val="20"/>
              </w:rPr>
              <w:t>15.1</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E0" w14:textId="77777777" w:rsidR="00C9593D" w:rsidRDefault="0069723F">
            <w:pPr>
              <w:keepNext/>
              <w:spacing w:before="100" w:after="100" w:line="240" w:lineRule="auto"/>
              <w:ind w:left="100" w:right="100"/>
              <w:jc w:val="center"/>
            </w:pPr>
            <w:r>
              <w:rPr>
                <w:rFonts w:eastAsia="Lato Light" w:cs="Lato Light"/>
                <w:color w:val="000000"/>
                <w:sz w:val="20"/>
                <w:szCs w:val="20"/>
              </w:rPr>
              <w:t>15.5</w:t>
            </w:r>
          </w:p>
        </w:tc>
      </w:tr>
      <w:tr w:rsidR="00C9593D" w14:paraId="428013E8"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428013E2" w14:textId="77777777" w:rsidR="00C9593D" w:rsidRDefault="0069723F">
            <w:pPr>
              <w:keepNext/>
              <w:spacing w:before="100" w:after="100" w:line="240" w:lineRule="auto"/>
              <w:ind w:left="100" w:right="100"/>
              <w:jc w:val="left"/>
            </w:pPr>
            <w:r>
              <w:rPr>
                <w:rFonts w:eastAsia="Lato Light" w:cs="Lato Light"/>
                <w:b/>
                <w:color w:val="000000"/>
                <w:sz w:val="20"/>
                <w:szCs w:val="20"/>
              </w:rPr>
              <w:t>Hématocrite (%)</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E3" w14:textId="77777777" w:rsidR="00C9593D" w:rsidRDefault="0069723F">
            <w:pPr>
              <w:keepNext/>
              <w:spacing w:before="100" w:after="100" w:line="240" w:lineRule="auto"/>
              <w:ind w:left="100" w:right="100"/>
              <w:jc w:val="center"/>
            </w:pPr>
            <w:r>
              <w:rPr>
                <w:rFonts w:eastAsia="Lato Light" w:cs="Lato Light"/>
                <w:color w:val="000000"/>
                <w:sz w:val="20"/>
                <w:szCs w:val="20"/>
              </w:rPr>
              <w:t>41</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E4" w14:textId="77777777" w:rsidR="00C9593D" w:rsidRDefault="0069723F">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E5" w14:textId="77777777" w:rsidR="00C9593D" w:rsidRDefault="0069723F">
            <w:pPr>
              <w:keepNext/>
              <w:spacing w:before="100" w:after="100" w:line="240" w:lineRule="auto"/>
              <w:ind w:left="100" w:right="100"/>
              <w:jc w:val="center"/>
            </w:pPr>
            <w:r>
              <w:rPr>
                <w:rFonts w:eastAsia="Lato Light" w:cs="Lato Light"/>
                <w:color w:val="000000"/>
                <w:sz w:val="20"/>
                <w:szCs w:val="20"/>
              </w:rPr>
              <w:t>46</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E6" w14:textId="77777777" w:rsidR="00C9593D" w:rsidRDefault="0069723F">
            <w:pPr>
              <w:keepNext/>
              <w:spacing w:before="100" w:after="100" w:line="240" w:lineRule="auto"/>
              <w:ind w:left="100" w:right="100"/>
              <w:jc w:val="center"/>
            </w:pPr>
            <w:r>
              <w:rPr>
                <w:rFonts w:eastAsia="Lato Light" w:cs="Lato Light"/>
                <w:color w:val="000000"/>
                <w:sz w:val="20"/>
                <w:szCs w:val="20"/>
              </w:rPr>
              <w:t>45</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E7" w14:textId="77777777" w:rsidR="00C9593D" w:rsidRDefault="0069723F">
            <w:pPr>
              <w:keepNext/>
              <w:spacing w:before="100" w:after="100" w:line="240" w:lineRule="auto"/>
              <w:ind w:left="100" w:right="100"/>
              <w:jc w:val="center"/>
            </w:pPr>
            <w:r>
              <w:rPr>
                <w:rFonts w:eastAsia="Lato Light" w:cs="Lato Light"/>
                <w:color w:val="000000"/>
                <w:sz w:val="20"/>
                <w:szCs w:val="20"/>
              </w:rPr>
              <w:t>46</w:t>
            </w:r>
          </w:p>
        </w:tc>
      </w:tr>
      <w:tr w:rsidR="00C9593D" w14:paraId="428013EF"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428013E9" w14:textId="77777777" w:rsidR="00C9593D" w:rsidRDefault="0069723F">
            <w:pPr>
              <w:keepNext/>
              <w:spacing w:before="100" w:after="100" w:line="240" w:lineRule="auto"/>
              <w:ind w:left="100" w:right="100"/>
              <w:jc w:val="left"/>
            </w:pPr>
            <w:r>
              <w:rPr>
                <w:rFonts w:eastAsia="Lato Light" w:cs="Lato Light"/>
                <w:b/>
                <w:color w:val="000000"/>
                <w:sz w:val="20"/>
                <w:szCs w:val="20"/>
              </w:rPr>
              <w:t>Créatinine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EA" w14:textId="77777777" w:rsidR="00C9593D" w:rsidRDefault="0069723F">
            <w:pPr>
              <w:keepNext/>
              <w:spacing w:before="100" w:after="100" w:line="240" w:lineRule="auto"/>
              <w:ind w:left="100" w:right="100"/>
              <w:jc w:val="center"/>
            </w:pPr>
            <w:r>
              <w:rPr>
                <w:rFonts w:eastAsia="Lato Light" w:cs="Lato Light"/>
                <w:color w:val="000000"/>
                <w:sz w:val="20"/>
                <w:szCs w:val="20"/>
              </w:rPr>
              <w:t>0.66</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EB" w14:textId="77777777" w:rsidR="00C9593D" w:rsidRDefault="0069723F">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EC" w14:textId="77777777" w:rsidR="00C9593D" w:rsidRDefault="0069723F">
            <w:pPr>
              <w:keepNext/>
              <w:spacing w:before="100" w:after="100" w:line="240" w:lineRule="auto"/>
              <w:ind w:left="100" w:right="100"/>
              <w:jc w:val="center"/>
            </w:pPr>
            <w:r>
              <w:rPr>
                <w:rFonts w:eastAsia="Lato Light" w:cs="Lato Light"/>
                <w:color w:val="000000"/>
                <w:sz w:val="20"/>
                <w:szCs w:val="20"/>
              </w:rPr>
              <w:t>0.80</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ED" w14:textId="77777777" w:rsidR="00C9593D" w:rsidRDefault="0069723F">
            <w:pPr>
              <w:keepNext/>
              <w:spacing w:before="100" w:after="100" w:line="240" w:lineRule="auto"/>
              <w:ind w:left="100" w:right="100"/>
              <w:jc w:val="center"/>
            </w:pPr>
            <w:r>
              <w:rPr>
                <w:rFonts w:eastAsia="Lato Light" w:cs="Lato Light"/>
                <w:color w:val="000000"/>
                <w:sz w:val="20"/>
                <w:szCs w:val="20"/>
              </w:rPr>
              <w:t>0.74</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EE" w14:textId="77777777" w:rsidR="00C9593D" w:rsidRDefault="0069723F">
            <w:pPr>
              <w:keepNext/>
              <w:spacing w:before="100" w:after="100" w:line="240" w:lineRule="auto"/>
              <w:ind w:left="100" w:right="100"/>
              <w:jc w:val="center"/>
            </w:pPr>
            <w:r>
              <w:rPr>
                <w:rFonts w:eastAsia="Lato Light" w:cs="Lato Light"/>
                <w:color w:val="000000"/>
                <w:sz w:val="20"/>
                <w:szCs w:val="20"/>
              </w:rPr>
              <w:t>0.77</w:t>
            </w:r>
          </w:p>
        </w:tc>
      </w:tr>
      <w:tr w:rsidR="00C9593D" w14:paraId="428013F6"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428013F0" w14:textId="77777777" w:rsidR="00C9593D" w:rsidRDefault="0069723F">
            <w:pPr>
              <w:keepNext/>
              <w:spacing w:before="100" w:after="100" w:line="240" w:lineRule="auto"/>
              <w:ind w:left="100" w:right="100"/>
              <w:jc w:val="left"/>
            </w:pPr>
            <w:r>
              <w:rPr>
                <w:rFonts w:eastAsia="Lato Light" w:cs="Lato Light"/>
                <w:b/>
                <w:color w:val="000000"/>
                <w:sz w:val="20"/>
                <w:szCs w:val="20"/>
              </w:rPr>
              <w:t>TGO (U/L)</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F1" w14:textId="77777777" w:rsidR="00C9593D" w:rsidRDefault="0069723F">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F2" w14:textId="77777777" w:rsidR="00C9593D" w:rsidRDefault="0069723F">
            <w:pPr>
              <w:keepNext/>
              <w:spacing w:before="100" w:after="100" w:line="240" w:lineRule="auto"/>
              <w:ind w:left="100" w:right="100"/>
              <w:jc w:val="center"/>
            </w:pPr>
            <w:r>
              <w:rPr>
                <w:rFonts w:eastAsia="Lato Light" w:cs="Lato Light"/>
                <w:color w:val="000000"/>
                <w:sz w:val="20"/>
                <w:szCs w:val="20"/>
              </w:rPr>
              <w:t>20.0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F3" w14:textId="77777777" w:rsidR="00C9593D" w:rsidRDefault="0069723F">
            <w:pPr>
              <w:keepNext/>
              <w:spacing w:before="100" w:after="100" w:line="240" w:lineRule="auto"/>
              <w:ind w:left="100" w:right="100"/>
              <w:jc w:val="center"/>
            </w:pPr>
            <w:r>
              <w:rPr>
                <w:rFonts w:eastAsia="Lato Light" w:cs="Lato Light"/>
                <w:color w:val="000000"/>
                <w:sz w:val="20"/>
                <w:szCs w:val="20"/>
              </w:rPr>
              <w:t>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F4" w14:textId="77777777" w:rsidR="00C9593D" w:rsidRDefault="0069723F">
            <w:pPr>
              <w:keepNext/>
              <w:spacing w:before="100" w:after="100" w:line="240" w:lineRule="auto"/>
              <w:ind w:left="100" w:right="100"/>
              <w:jc w:val="center"/>
            </w:pPr>
            <w:r>
              <w:rPr>
                <w:rFonts w:eastAsia="Lato Light" w:cs="Lato Light"/>
                <w:color w:val="000000"/>
                <w:sz w:val="20"/>
                <w:szCs w:val="20"/>
              </w:rPr>
              <w:t>16.0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3F5" w14:textId="77777777" w:rsidR="00C9593D" w:rsidRDefault="0069723F">
            <w:pPr>
              <w:keepNext/>
              <w:spacing w:before="100" w:after="100" w:line="240" w:lineRule="auto"/>
              <w:ind w:left="100" w:right="100"/>
              <w:jc w:val="center"/>
            </w:pPr>
            <w:r>
              <w:rPr>
                <w:rFonts w:eastAsia="Lato Light" w:cs="Lato Light"/>
                <w:color w:val="000000"/>
                <w:sz w:val="20"/>
                <w:szCs w:val="20"/>
              </w:rPr>
              <w:t>21.0</w:t>
            </w:r>
          </w:p>
        </w:tc>
      </w:tr>
      <w:tr w:rsidR="00C9593D" w14:paraId="428013FD"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428013F7" w14:textId="77777777" w:rsidR="00C9593D" w:rsidRDefault="0069723F">
            <w:pPr>
              <w:keepNext/>
              <w:spacing w:before="100" w:after="100" w:line="240" w:lineRule="auto"/>
              <w:ind w:left="100" w:right="100"/>
              <w:jc w:val="left"/>
            </w:pPr>
            <w:r>
              <w:rPr>
                <w:rFonts w:eastAsia="Lato Light" w:cs="Lato Light"/>
                <w:b/>
                <w:color w:val="000000"/>
                <w:sz w:val="20"/>
                <w:szCs w:val="20"/>
              </w:rPr>
              <w:t>TGP (U/L)</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F8" w14:textId="77777777" w:rsidR="00C9593D" w:rsidRDefault="0069723F">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F9" w14:textId="77777777" w:rsidR="00C9593D" w:rsidRDefault="0069723F">
            <w:pPr>
              <w:keepNext/>
              <w:spacing w:before="100" w:after="100" w:line="240" w:lineRule="auto"/>
              <w:ind w:left="100" w:right="100"/>
              <w:jc w:val="center"/>
            </w:pPr>
            <w:r>
              <w:rPr>
                <w:rFonts w:eastAsia="Lato Light" w:cs="Lato Light"/>
                <w:color w:val="000000"/>
                <w:sz w:val="20"/>
                <w:szCs w:val="20"/>
              </w:rPr>
              <w:t>12.5</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FA" w14:textId="77777777" w:rsidR="00C9593D" w:rsidRDefault="0069723F">
            <w:pPr>
              <w:keepNext/>
              <w:spacing w:before="100" w:after="100" w:line="240" w:lineRule="auto"/>
              <w:ind w:left="100" w:right="100"/>
              <w:jc w:val="center"/>
            </w:pPr>
            <w:r>
              <w:rPr>
                <w:rFonts w:eastAsia="Lato Light" w:cs="Lato Light"/>
                <w:color w:val="000000"/>
                <w:sz w:val="20"/>
                <w:szCs w:val="20"/>
              </w:rPr>
              <w:t>16.5</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3FB" w14:textId="77777777" w:rsidR="00C9593D" w:rsidRDefault="0069723F">
            <w:pPr>
              <w:keepNext/>
              <w:spacing w:before="100" w:after="100" w:line="240" w:lineRule="auto"/>
              <w:ind w:left="100" w:right="100"/>
              <w:jc w:val="center"/>
            </w:pPr>
            <w:r>
              <w:rPr>
                <w:rFonts w:eastAsia="Lato Light" w:cs="Lato Light"/>
                <w:color w:val="000000"/>
                <w:sz w:val="20"/>
                <w:szCs w:val="20"/>
              </w:rPr>
              <w:t>12.0</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3FC" w14:textId="77777777" w:rsidR="00C9593D" w:rsidRDefault="0069723F">
            <w:pPr>
              <w:keepNext/>
              <w:spacing w:before="100" w:after="100" w:line="240" w:lineRule="auto"/>
              <w:ind w:left="100" w:right="100"/>
              <w:jc w:val="center"/>
            </w:pPr>
            <w:r>
              <w:rPr>
                <w:rFonts w:eastAsia="Lato Light" w:cs="Lato Light"/>
                <w:color w:val="000000"/>
                <w:sz w:val="20"/>
                <w:szCs w:val="20"/>
              </w:rPr>
              <w:t>16.0</w:t>
            </w:r>
          </w:p>
        </w:tc>
      </w:tr>
      <w:tr w:rsidR="00C9593D" w14:paraId="42801404" w14:textId="77777777">
        <w:trPr>
          <w:cantSplit/>
          <w:jc w:val="center"/>
        </w:trPr>
        <w:tc>
          <w:tcPr>
            <w:tcW w:w="2494" w:type="dxa"/>
            <w:tcBorders>
              <w:left w:val="single" w:sz="20" w:space="0" w:color="60A3BC"/>
              <w:bottom w:val="single" w:sz="4" w:space="0" w:color="3C6382"/>
            </w:tcBorders>
            <w:shd w:val="clear" w:color="auto" w:fill="FFFFFF"/>
            <w:tcMar>
              <w:top w:w="0" w:type="dxa"/>
              <w:left w:w="0" w:type="dxa"/>
              <w:bottom w:w="0" w:type="dxa"/>
              <w:right w:w="0" w:type="dxa"/>
            </w:tcMar>
          </w:tcPr>
          <w:p w14:paraId="428013FE" w14:textId="77777777" w:rsidR="00C9593D" w:rsidRDefault="0069723F">
            <w:pPr>
              <w:keepNext/>
              <w:spacing w:before="100" w:after="100" w:line="240" w:lineRule="auto"/>
              <w:ind w:left="100" w:right="100"/>
              <w:jc w:val="left"/>
            </w:pPr>
            <w:r>
              <w:rPr>
                <w:rFonts w:eastAsia="Lato Light" w:cs="Lato Light"/>
                <w:b/>
                <w:color w:val="000000"/>
                <w:sz w:val="20"/>
                <w:szCs w:val="20"/>
              </w:rPr>
              <w:t>LDL-cholestérol (mg/dL)</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3FF" w14:textId="77777777" w:rsidR="00C9593D" w:rsidRDefault="0069723F">
            <w:pPr>
              <w:keepNext/>
              <w:spacing w:before="100" w:after="100" w:line="240" w:lineRule="auto"/>
              <w:ind w:left="100" w:right="100"/>
              <w:jc w:val="center"/>
            </w:pPr>
            <w:r>
              <w:rPr>
                <w:rFonts w:eastAsia="Lato Light" w:cs="Lato Light"/>
                <w:color w:val="000000"/>
                <w:sz w:val="20"/>
                <w:szCs w:val="20"/>
              </w:rPr>
              <w:t>76.0</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400" w14:textId="77777777" w:rsidR="00C9593D" w:rsidRDefault="0069723F">
            <w:pPr>
              <w:keepNext/>
              <w:spacing w:before="100" w:after="100" w:line="240" w:lineRule="auto"/>
              <w:ind w:left="100" w:right="100"/>
              <w:jc w:val="center"/>
            </w:pPr>
            <w:r>
              <w:rPr>
                <w:rFonts w:eastAsia="Lato Light" w:cs="Lato Light"/>
                <w:color w:val="000000"/>
                <w:sz w:val="20"/>
                <w:szCs w:val="20"/>
              </w:rPr>
              <w:t>98.5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401" w14:textId="77777777" w:rsidR="00C9593D" w:rsidRDefault="0069723F">
            <w:pPr>
              <w:keepNext/>
              <w:spacing w:before="100" w:after="100" w:line="240" w:lineRule="auto"/>
              <w:ind w:left="100" w:right="100"/>
              <w:jc w:val="center"/>
            </w:pPr>
            <w:r>
              <w:rPr>
                <w:rFonts w:eastAsia="Lato Light" w:cs="Lato Light"/>
                <w:color w:val="000000"/>
                <w:sz w:val="20"/>
                <w:szCs w:val="20"/>
              </w:rPr>
              <w:t>118.5</w:t>
            </w:r>
          </w:p>
        </w:tc>
        <w:tc>
          <w:tcPr>
            <w:tcW w:w="1191" w:type="dxa"/>
            <w:tcBorders>
              <w:bottom w:val="single" w:sz="4" w:space="0" w:color="3C6382"/>
            </w:tcBorders>
            <w:shd w:val="clear" w:color="auto" w:fill="FFFFFF"/>
            <w:tcMar>
              <w:top w:w="0" w:type="dxa"/>
              <w:left w:w="0" w:type="dxa"/>
              <w:bottom w:w="0" w:type="dxa"/>
              <w:right w:w="0" w:type="dxa"/>
            </w:tcMar>
            <w:vAlign w:val="center"/>
          </w:tcPr>
          <w:p w14:paraId="42801402" w14:textId="77777777" w:rsidR="00C9593D" w:rsidRDefault="0069723F">
            <w:pPr>
              <w:keepNext/>
              <w:spacing w:before="100" w:after="100" w:line="240" w:lineRule="auto"/>
              <w:ind w:left="100" w:right="100"/>
              <w:jc w:val="center"/>
            </w:pPr>
            <w:r>
              <w:rPr>
                <w:rFonts w:eastAsia="Lato Light" w:cs="Lato Light"/>
                <w:color w:val="000000"/>
                <w:sz w:val="20"/>
                <w:szCs w:val="20"/>
              </w:rPr>
              <w:t>101.0</w:t>
            </w:r>
          </w:p>
        </w:tc>
        <w:tc>
          <w:tcPr>
            <w:tcW w:w="1191" w:type="dxa"/>
            <w:tcBorders>
              <w:bottom w:val="single" w:sz="4" w:space="0" w:color="3C6382"/>
              <w:right w:val="single" w:sz="20" w:space="0" w:color="60A3BC"/>
            </w:tcBorders>
            <w:shd w:val="clear" w:color="auto" w:fill="FFFFFF"/>
            <w:tcMar>
              <w:top w:w="0" w:type="dxa"/>
              <w:left w:w="0" w:type="dxa"/>
              <w:bottom w:w="0" w:type="dxa"/>
              <w:right w:w="0" w:type="dxa"/>
            </w:tcMar>
            <w:vAlign w:val="center"/>
          </w:tcPr>
          <w:p w14:paraId="42801403" w14:textId="77777777" w:rsidR="00C9593D" w:rsidRDefault="0069723F">
            <w:pPr>
              <w:keepNext/>
              <w:spacing w:before="100" w:after="100" w:line="240" w:lineRule="auto"/>
              <w:ind w:left="100" w:right="100"/>
              <w:jc w:val="center"/>
            </w:pPr>
            <w:r>
              <w:rPr>
                <w:rFonts w:eastAsia="Lato Light" w:cs="Lato Light"/>
                <w:color w:val="000000"/>
                <w:sz w:val="20"/>
                <w:szCs w:val="20"/>
              </w:rPr>
              <w:t>131.0</w:t>
            </w:r>
          </w:p>
        </w:tc>
      </w:tr>
      <w:tr w:rsidR="00C9593D" w14:paraId="4280140B" w14:textId="77777777">
        <w:trPr>
          <w:cantSplit/>
          <w:jc w:val="center"/>
        </w:trPr>
        <w:tc>
          <w:tcPr>
            <w:tcW w:w="2494" w:type="dxa"/>
            <w:tcBorders>
              <w:top w:val="single" w:sz="4" w:space="0" w:color="3C6382"/>
              <w:left w:val="single" w:sz="20" w:space="0" w:color="60A3BC"/>
            </w:tcBorders>
            <w:shd w:val="clear" w:color="auto" w:fill="FFFFFF"/>
            <w:tcMar>
              <w:top w:w="0" w:type="dxa"/>
              <w:left w:w="0" w:type="dxa"/>
              <w:bottom w:w="0" w:type="dxa"/>
              <w:right w:w="0" w:type="dxa"/>
            </w:tcMar>
          </w:tcPr>
          <w:p w14:paraId="42801405" w14:textId="77777777" w:rsidR="00C9593D" w:rsidRDefault="0069723F">
            <w:pPr>
              <w:keepNext/>
              <w:spacing w:before="100" w:after="100" w:line="240" w:lineRule="auto"/>
              <w:ind w:left="100" w:right="100"/>
              <w:jc w:val="left"/>
            </w:pPr>
            <w:r>
              <w:rPr>
                <w:rFonts w:eastAsia="Lato Light" w:cs="Lato Light"/>
                <w:b/>
                <w:color w:val="000000"/>
                <w:sz w:val="20"/>
                <w:szCs w:val="20"/>
              </w:rPr>
              <w:t>HDL-cholestérol (mg/dL)</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406" w14:textId="77777777" w:rsidR="00C9593D" w:rsidRDefault="0069723F">
            <w:pPr>
              <w:keepNext/>
              <w:spacing w:before="100" w:after="100" w:line="240" w:lineRule="auto"/>
              <w:ind w:left="100" w:right="100"/>
              <w:jc w:val="center"/>
            </w:pPr>
            <w:r>
              <w:rPr>
                <w:rFonts w:eastAsia="Lato Light" w:cs="Lato Light"/>
                <w:color w:val="000000"/>
                <w:sz w:val="20"/>
                <w:szCs w:val="20"/>
              </w:rPr>
              <w:t>47</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407" w14:textId="77777777" w:rsidR="00C9593D" w:rsidRDefault="0069723F">
            <w:pPr>
              <w:keepNext/>
              <w:spacing w:before="100" w:after="100" w:line="240" w:lineRule="auto"/>
              <w:ind w:left="100" w:right="100"/>
              <w:jc w:val="center"/>
            </w:pPr>
            <w:r>
              <w:rPr>
                <w:rFonts w:eastAsia="Lato Light" w:cs="Lato Light"/>
                <w:color w:val="000000"/>
                <w:sz w:val="20"/>
                <w:szCs w:val="20"/>
              </w:rPr>
              <w:t>39</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408" w14:textId="77777777" w:rsidR="00C9593D" w:rsidRDefault="0069723F">
            <w:pPr>
              <w:keepNext/>
              <w:spacing w:before="100" w:after="100" w:line="240" w:lineRule="auto"/>
              <w:ind w:left="100" w:right="100"/>
              <w:jc w:val="center"/>
            </w:pPr>
            <w:r>
              <w:rPr>
                <w:rFonts w:eastAsia="Lato Light" w:cs="Lato Light"/>
                <w:color w:val="000000"/>
                <w:sz w:val="20"/>
                <w:szCs w:val="20"/>
              </w:rPr>
              <w:t>38</w:t>
            </w:r>
          </w:p>
        </w:tc>
        <w:tc>
          <w:tcPr>
            <w:tcW w:w="1191" w:type="dxa"/>
            <w:tcBorders>
              <w:top w:val="single" w:sz="4" w:space="0" w:color="3C6382"/>
            </w:tcBorders>
            <w:shd w:val="clear" w:color="auto" w:fill="FFFFFF"/>
            <w:tcMar>
              <w:top w:w="0" w:type="dxa"/>
              <w:left w:w="0" w:type="dxa"/>
              <w:bottom w:w="0" w:type="dxa"/>
              <w:right w:w="0" w:type="dxa"/>
            </w:tcMar>
            <w:vAlign w:val="center"/>
          </w:tcPr>
          <w:p w14:paraId="42801409" w14:textId="77777777" w:rsidR="00C9593D" w:rsidRDefault="0069723F">
            <w:pPr>
              <w:keepNext/>
              <w:spacing w:before="100" w:after="100" w:line="240" w:lineRule="auto"/>
              <w:ind w:left="100" w:right="100"/>
              <w:jc w:val="center"/>
            </w:pPr>
            <w:r>
              <w:rPr>
                <w:rFonts w:eastAsia="Lato Light" w:cs="Lato Light"/>
                <w:color w:val="000000"/>
                <w:sz w:val="20"/>
                <w:szCs w:val="20"/>
              </w:rPr>
              <w:t>36</w:t>
            </w:r>
          </w:p>
        </w:tc>
        <w:tc>
          <w:tcPr>
            <w:tcW w:w="1191" w:type="dxa"/>
            <w:tcBorders>
              <w:top w:val="single" w:sz="4" w:space="0" w:color="3C6382"/>
              <w:right w:val="single" w:sz="20" w:space="0" w:color="60A3BC"/>
            </w:tcBorders>
            <w:shd w:val="clear" w:color="auto" w:fill="FFFFFF"/>
            <w:tcMar>
              <w:top w:w="0" w:type="dxa"/>
              <w:left w:w="0" w:type="dxa"/>
              <w:bottom w:w="0" w:type="dxa"/>
              <w:right w:w="0" w:type="dxa"/>
            </w:tcMar>
            <w:vAlign w:val="center"/>
          </w:tcPr>
          <w:p w14:paraId="4280140A" w14:textId="77777777" w:rsidR="00C9593D" w:rsidRDefault="0069723F">
            <w:pPr>
              <w:keepNext/>
              <w:spacing w:before="100" w:after="100" w:line="240" w:lineRule="auto"/>
              <w:ind w:left="100" w:right="100"/>
              <w:jc w:val="center"/>
            </w:pPr>
            <w:r>
              <w:rPr>
                <w:rFonts w:eastAsia="Lato Light" w:cs="Lato Light"/>
                <w:color w:val="000000"/>
                <w:sz w:val="20"/>
                <w:szCs w:val="20"/>
              </w:rPr>
              <w:t>43</w:t>
            </w:r>
          </w:p>
        </w:tc>
      </w:tr>
      <w:tr w:rsidR="00C9593D" w14:paraId="42801412" w14:textId="77777777">
        <w:trPr>
          <w:cantSplit/>
          <w:jc w:val="center"/>
        </w:trPr>
        <w:tc>
          <w:tcPr>
            <w:tcW w:w="2494" w:type="dxa"/>
            <w:tcBorders>
              <w:left w:val="single" w:sz="20" w:space="0" w:color="60A3BC"/>
              <w:bottom w:val="single" w:sz="20" w:space="0" w:color="60A3BC"/>
            </w:tcBorders>
            <w:shd w:val="clear" w:color="auto" w:fill="FFFFFF"/>
            <w:tcMar>
              <w:top w:w="0" w:type="dxa"/>
              <w:left w:w="0" w:type="dxa"/>
              <w:bottom w:w="0" w:type="dxa"/>
              <w:right w:w="0" w:type="dxa"/>
            </w:tcMar>
          </w:tcPr>
          <w:p w14:paraId="4280140C" w14:textId="77777777" w:rsidR="00C9593D" w:rsidRDefault="0069723F">
            <w:pPr>
              <w:keepNext/>
              <w:spacing w:before="100" w:after="100" w:line="240" w:lineRule="auto"/>
              <w:ind w:left="100" w:right="100"/>
              <w:jc w:val="left"/>
            </w:pPr>
            <w:r>
              <w:rPr>
                <w:rFonts w:eastAsia="Lato Light" w:cs="Lato Light"/>
                <w:b/>
                <w:color w:val="000000"/>
                <w:sz w:val="20"/>
                <w:szCs w:val="20"/>
              </w:rPr>
              <w:t>Triglycérides (mg/dL)</w:t>
            </w:r>
          </w:p>
        </w:tc>
        <w:tc>
          <w:tcPr>
            <w:tcW w:w="1191" w:type="dxa"/>
            <w:tcBorders>
              <w:bottom w:val="single" w:sz="20" w:space="0" w:color="60A3BC"/>
            </w:tcBorders>
            <w:shd w:val="clear" w:color="auto" w:fill="FFFFFF"/>
            <w:tcMar>
              <w:top w:w="0" w:type="dxa"/>
              <w:left w:w="0" w:type="dxa"/>
              <w:bottom w:w="0" w:type="dxa"/>
              <w:right w:w="0" w:type="dxa"/>
            </w:tcMar>
            <w:vAlign w:val="center"/>
          </w:tcPr>
          <w:p w14:paraId="4280140D" w14:textId="77777777" w:rsidR="00C9593D" w:rsidRDefault="0069723F">
            <w:pPr>
              <w:keepNext/>
              <w:spacing w:before="100" w:after="100" w:line="240" w:lineRule="auto"/>
              <w:ind w:left="100" w:right="100"/>
              <w:jc w:val="center"/>
            </w:pPr>
            <w:r>
              <w:rPr>
                <w:rFonts w:eastAsia="Lato Light" w:cs="Lato Light"/>
                <w:color w:val="000000"/>
                <w:sz w:val="20"/>
                <w:szCs w:val="20"/>
              </w:rPr>
              <w:t>87.0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4280140E" w14:textId="77777777" w:rsidR="00C9593D" w:rsidRDefault="0069723F">
            <w:pPr>
              <w:keepNext/>
              <w:spacing w:before="100" w:after="100" w:line="240" w:lineRule="auto"/>
              <w:ind w:left="100" w:right="100"/>
              <w:jc w:val="center"/>
            </w:pPr>
            <w:r>
              <w:rPr>
                <w:rFonts w:eastAsia="Lato Light" w:cs="Lato Light"/>
                <w:color w:val="000000"/>
                <w:sz w:val="20"/>
                <w:szCs w:val="20"/>
              </w:rPr>
              <w:t>91.0</w:t>
            </w:r>
          </w:p>
        </w:tc>
        <w:tc>
          <w:tcPr>
            <w:tcW w:w="1191" w:type="dxa"/>
            <w:tcBorders>
              <w:bottom w:val="single" w:sz="20" w:space="0" w:color="60A3BC"/>
            </w:tcBorders>
            <w:shd w:val="clear" w:color="auto" w:fill="FFFFFF"/>
            <w:tcMar>
              <w:top w:w="0" w:type="dxa"/>
              <w:left w:w="0" w:type="dxa"/>
              <w:bottom w:w="0" w:type="dxa"/>
              <w:right w:w="0" w:type="dxa"/>
            </w:tcMar>
            <w:vAlign w:val="center"/>
          </w:tcPr>
          <w:p w14:paraId="4280140F" w14:textId="77777777" w:rsidR="00C9593D" w:rsidRDefault="0069723F">
            <w:pPr>
              <w:keepNext/>
              <w:spacing w:before="100" w:after="100" w:line="240" w:lineRule="auto"/>
              <w:ind w:left="100" w:right="100"/>
              <w:jc w:val="center"/>
            </w:pPr>
            <w:r>
              <w:rPr>
                <w:rFonts w:eastAsia="Lato Light" w:cs="Lato Light"/>
                <w:color w:val="000000"/>
                <w:sz w:val="20"/>
                <w:szCs w:val="20"/>
              </w:rPr>
              <w:t>96.5</w:t>
            </w:r>
          </w:p>
        </w:tc>
        <w:tc>
          <w:tcPr>
            <w:tcW w:w="1191" w:type="dxa"/>
            <w:tcBorders>
              <w:bottom w:val="single" w:sz="20" w:space="0" w:color="60A3BC"/>
            </w:tcBorders>
            <w:shd w:val="clear" w:color="auto" w:fill="FFFFFF"/>
            <w:tcMar>
              <w:top w:w="0" w:type="dxa"/>
              <w:left w:w="0" w:type="dxa"/>
              <w:bottom w:w="0" w:type="dxa"/>
              <w:right w:w="0" w:type="dxa"/>
            </w:tcMar>
            <w:vAlign w:val="center"/>
          </w:tcPr>
          <w:p w14:paraId="42801410" w14:textId="77777777" w:rsidR="00C9593D" w:rsidRDefault="0069723F">
            <w:pPr>
              <w:keepNext/>
              <w:spacing w:before="100" w:after="100" w:line="240" w:lineRule="auto"/>
              <w:ind w:left="100" w:right="100"/>
              <w:jc w:val="center"/>
            </w:pPr>
            <w:r>
              <w:rPr>
                <w:rFonts w:eastAsia="Lato Light" w:cs="Lato Light"/>
                <w:color w:val="000000"/>
                <w:sz w:val="20"/>
                <w:szCs w:val="20"/>
              </w:rPr>
              <w:t>130.0</w:t>
            </w:r>
          </w:p>
        </w:tc>
        <w:tc>
          <w:tcPr>
            <w:tcW w:w="1191" w:type="dxa"/>
            <w:tcBorders>
              <w:bottom w:val="single" w:sz="20" w:space="0" w:color="60A3BC"/>
              <w:right w:val="single" w:sz="20" w:space="0" w:color="60A3BC"/>
            </w:tcBorders>
            <w:shd w:val="clear" w:color="auto" w:fill="FFFFFF"/>
            <w:tcMar>
              <w:top w:w="0" w:type="dxa"/>
              <w:left w:w="0" w:type="dxa"/>
              <w:bottom w:w="0" w:type="dxa"/>
              <w:right w:w="0" w:type="dxa"/>
            </w:tcMar>
            <w:vAlign w:val="center"/>
          </w:tcPr>
          <w:p w14:paraId="42801411" w14:textId="77777777" w:rsidR="00C9593D" w:rsidRDefault="0069723F">
            <w:pPr>
              <w:keepNext/>
              <w:spacing w:before="100" w:after="100" w:line="240" w:lineRule="auto"/>
              <w:ind w:left="100" w:right="100"/>
              <w:jc w:val="center"/>
            </w:pPr>
            <w:r>
              <w:rPr>
                <w:rFonts w:eastAsia="Lato Light" w:cs="Lato Light"/>
                <w:color w:val="000000"/>
                <w:sz w:val="20"/>
                <w:szCs w:val="20"/>
              </w:rPr>
              <w:t>177.0</w:t>
            </w:r>
          </w:p>
        </w:tc>
      </w:tr>
      <w:tr w:rsidR="00C9593D" w14:paraId="42801414" w14:textId="77777777">
        <w:trPr>
          <w:cantSplit/>
          <w:jc w:val="center"/>
        </w:trPr>
        <w:tc>
          <w:tcPr>
            <w:tcW w:w="8449" w:type="dxa"/>
            <w:gridSpan w:val="6"/>
            <w:shd w:val="clear" w:color="auto" w:fill="FFFFFF"/>
            <w:tcMar>
              <w:top w:w="0" w:type="dxa"/>
              <w:left w:w="0" w:type="dxa"/>
              <w:bottom w:w="0" w:type="dxa"/>
              <w:right w:w="0" w:type="dxa"/>
            </w:tcMar>
            <w:vAlign w:val="center"/>
          </w:tcPr>
          <w:p w14:paraId="42801413" w14:textId="77777777" w:rsidR="00C9593D" w:rsidRDefault="0069723F">
            <w:pPr>
              <w:keepNext/>
              <w:spacing w:before="100" w:after="100" w:line="240" w:lineRule="auto"/>
              <w:ind w:left="100" w:right="100"/>
              <w:jc w:val="left"/>
            </w:pPr>
            <w:r>
              <w:rPr>
                <w:rFonts w:ascii="Arial" w:eastAsia="Arial" w:hAnsi="Arial" w:cs="Arial"/>
                <w:color w:val="000000"/>
                <w:sz w:val="20"/>
                <w:szCs w:val="20"/>
                <w:vertAlign w:val="superscript"/>
              </w:rPr>
              <w:t>1</w:t>
            </w:r>
            <w:r>
              <w:rPr>
                <w:rFonts w:ascii="Arial" w:eastAsia="Arial" w:hAnsi="Arial" w:cs="Arial"/>
                <w:color w:val="000000"/>
                <w:sz w:val="20"/>
                <w:szCs w:val="20"/>
              </w:rPr>
              <w:t>Median</w:t>
            </w:r>
          </w:p>
        </w:tc>
      </w:tr>
    </w:tbl>
    <w:p w14:paraId="42801415" w14:textId="77777777" w:rsidR="00C9593D" w:rsidRDefault="0069723F">
      <w:pPr>
        <w:pStyle w:val="Titre1"/>
      </w:pPr>
      <w:bookmarkStart w:id="62" w:name="_Toc101654127"/>
      <w:bookmarkStart w:id="63" w:name="discussion"/>
      <w:bookmarkEnd w:id="13"/>
      <w:bookmarkEnd w:id="43"/>
      <w:bookmarkEnd w:id="55"/>
      <w:bookmarkEnd w:id="57"/>
      <w:r>
        <w:t>Discussion</w:t>
      </w:r>
      <w:bookmarkEnd w:id="62"/>
    </w:p>
    <w:p w14:paraId="42801416" w14:textId="77777777" w:rsidR="00C9593D" w:rsidRDefault="0069723F">
      <w:r>
        <w:br w:type="page"/>
      </w:r>
    </w:p>
    <w:p w14:paraId="42801417" w14:textId="77777777" w:rsidR="00C9593D" w:rsidRDefault="0069723F">
      <w:pPr>
        <w:pStyle w:val="Titre1"/>
      </w:pPr>
      <w:bookmarkStart w:id="64" w:name="_Toc101654128"/>
      <w:bookmarkStart w:id="65" w:name="conclusion"/>
      <w:bookmarkEnd w:id="63"/>
      <w:r>
        <w:lastRenderedPageBreak/>
        <w:t>Conclusion</w:t>
      </w:r>
      <w:bookmarkEnd w:id="64"/>
    </w:p>
    <w:p w14:paraId="42801418" w14:textId="77777777" w:rsidR="00C9593D" w:rsidRDefault="0069723F">
      <w:r>
        <w:br w:type="page"/>
      </w:r>
    </w:p>
    <w:p w14:paraId="42801419" w14:textId="77777777" w:rsidR="00C9593D" w:rsidRDefault="0069723F">
      <w:pPr>
        <w:pStyle w:val="Titre1"/>
      </w:pPr>
      <w:bookmarkStart w:id="66" w:name="_Toc101654129"/>
      <w:bookmarkStart w:id="67" w:name="bibliographie"/>
      <w:bookmarkEnd w:id="65"/>
      <w:r>
        <w:lastRenderedPageBreak/>
        <w:t>Bibliographie</w:t>
      </w:r>
      <w:bookmarkEnd w:id="66"/>
    </w:p>
    <w:p w14:paraId="4280141A" w14:textId="77777777" w:rsidR="00C9593D" w:rsidRDefault="0069723F">
      <w:bookmarkStart w:id="68" w:name="refs"/>
      <w:bookmarkEnd w:id="68"/>
      <w:r>
        <w:br w:type="page"/>
      </w:r>
    </w:p>
    <w:p w14:paraId="4280141B" w14:textId="77777777" w:rsidR="00C9593D" w:rsidRDefault="0069723F">
      <w:pPr>
        <w:pStyle w:val="Titre1"/>
      </w:pPr>
      <w:bookmarkStart w:id="69" w:name="_Toc101654130"/>
      <w:bookmarkStart w:id="70" w:name="part-annexes"/>
      <w:bookmarkEnd w:id="67"/>
      <w:r>
        <w:lastRenderedPageBreak/>
        <w:t>Annexes</w:t>
      </w:r>
      <w:bookmarkEnd w:id="69"/>
    </w:p>
    <w:p w14:paraId="4280141C" w14:textId="77777777" w:rsidR="00C9593D" w:rsidRPr="00311189" w:rsidRDefault="0069723F">
      <w:pPr>
        <w:pStyle w:val="Titre1"/>
        <w:rPr>
          <w:lang w:val="fr-BE"/>
        </w:rPr>
      </w:pPr>
      <w:bookmarkStart w:id="71" w:name="_Toc101654131"/>
      <w:bookmarkStart w:id="72" w:name="guide-de-codage-des-données-subjectives"/>
      <w:bookmarkEnd w:id="70"/>
      <w:r w:rsidRPr="00311189">
        <w:rPr>
          <w:lang w:val="fr-BE"/>
        </w:rPr>
        <w:t>Guide de codage des données subjectives</w:t>
      </w:r>
      <w:bookmarkEnd w:id="71"/>
    </w:p>
    <w:p w14:paraId="4280141D" w14:textId="77777777" w:rsidR="00C9593D" w:rsidRPr="00311189" w:rsidRDefault="0069723F">
      <w:pPr>
        <w:pStyle w:val="FirstParagraph"/>
        <w:rPr>
          <w:lang w:val="fr-BE"/>
        </w:rPr>
      </w:pPr>
      <w:r w:rsidRPr="00311189">
        <w:rPr>
          <w:lang w:val="fr-BE"/>
        </w:rPr>
        <w:t>Afin d’extraire les données subjectives des notes médicales, un guide d’extraction et de codages des variables a été développé au préalable. Ce guide a ensuite été testé et affiné jusqu’à sa version définitive ayant permis la réalisation de ce TFE.</w:t>
      </w:r>
    </w:p>
    <w:p w14:paraId="4280141E" w14:textId="77777777" w:rsidR="00C9593D" w:rsidRPr="00311189" w:rsidRDefault="0069723F">
      <w:pPr>
        <w:pStyle w:val="Corpsdetexte"/>
        <w:rPr>
          <w:lang w:val="fr-BE"/>
        </w:rPr>
      </w:pPr>
      <w:r w:rsidRPr="00311189">
        <w:rPr>
          <w:lang w:val="fr-BE"/>
        </w:rPr>
        <w:t>Les données collectées correspondent aux thématiques abordées lors de l’anamnèse du premier rendez-vous ainsi que des rendez-vous de suivi et peuvent être divisées en 3 grandes catégories :</w:t>
      </w:r>
    </w:p>
    <w:p w14:paraId="4280141F" w14:textId="77777777" w:rsidR="00C9593D" w:rsidRDefault="0069723F">
      <w:pPr>
        <w:numPr>
          <w:ilvl w:val="0"/>
          <w:numId w:val="15"/>
        </w:numPr>
      </w:pPr>
      <w:r>
        <w:t>Les aspects sociaux</w:t>
      </w:r>
    </w:p>
    <w:p w14:paraId="42801420" w14:textId="77777777" w:rsidR="00C9593D" w:rsidRDefault="0069723F">
      <w:pPr>
        <w:numPr>
          <w:ilvl w:val="0"/>
          <w:numId w:val="15"/>
        </w:numPr>
      </w:pPr>
      <w:r>
        <w:t>Les aspects hormonaux</w:t>
      </w:r>
    </w:p>
    <w:p w14:paraId="42801421" w14:textId="77777777" w:rsidR="00C9593D" w:rsidRDefault="0069723F">
      <w:pPr>
        <w:numPr>
          <w:ilvl w:val="0"/>
          <w:numId w:val="15"/>
        </w:numPr>
      </w:pPr>
      <w:r>
        <w:t>Les aspects chirurgicaux</w:t>
      </w:r>
    </w:p>
    <w:p w14:paraId="42801422" w14:textId="77777777" w:rsidR="00C9593D" w:rsidRDefault="0069723F">
      <w:pPr>
        <w:pStyle w:val="Titre2"/>
      </w:pPr>
      <w:bookmarkStart w:id="73" w:name="_Toc101654132"/>
      <w:bookmarkStart w:id="74" w:name="aspects-sociaux"/>
      <w:r>
        <w:t>Aspects sociaux</w:t>
      </w:r>
      <w:bookmarkEnd w:id="73"/>
    </w:p>
    <w:p w14:paraId="42801423" w14:textId="77777777" w:rsidR="00C9593D" w:rsidRDefault="0069723F">
      <w:pPr>
        <w:pStyle w:val="Titre3"/>
      </w:pPr>
      <w:bookmarkStart w:id="75" w:name="_Toc101654133"/>
      <w:bookmarkStart w:id="76" w:name="famille"/>
      <w:r>
        <w:t>Famille</w:t>
      </w:r>
      <w:bookmarkEnd w:id="75"/>
    </w:p>
    <w:p w14:paraId="42801424" w14:textId="77777777" w:rsidR="00C9593D" w:rsidRPr="00311189" w:rsidRDefault="0069723F">
      <w:pPr>
        <w:numPr>
          <w:ilvl w:val="0"/>
          <w:numId w:val="16"/>
        </w:numPr>
        <w:rPr>
          <w:lang w:val="fr-BE"/>
        </w:rPr>
      </w:pPr>
      <w:r w:rsidRPr="00311189">
        <w:rPr>
          <w:i/>
          <w:iCs/>
          <w:lang w:val="fr-BE"/>
        </w:rPr>
        <w:t>Personnes au courant :</w:t>
      </w:r>
      <w:r w:rsidRPr="00311189">
        <w:rPr>
          <w:lang w:val="fr-BE"/>
        </w:rPr>
        <w:t xml:space="preserve"> personne (0) ; mère seulement (1) ; père seulement (2) ; les deux parents ou le seul parent en vie (3) ; les parents et la majorité de la famille (4) ; quelques membres de la famille mais pas les parents (5) ; toute la famille (6)</w:t>
      </w:r>
    </w:p>
    <w:p w14:paraId="42801425" w14:textId="77777777" w:rsidR="00C9593D" w:rsidRPr="00311189" w:rsidRDefault="0069723F">
      <w:pPr>
        <w:numPr>
          <w:ilvl w:val="0"/>
          <w:numId w:val="16"/>
        </w:numPr>
        <w:rPr>
          <w:lang w:val="fr-BE"/>
        </w:rPr>
      </w:pPr>
      <w:r w:rsidRPr="00311189">
        <w:rPr>
          <w:i/>
          <w:iCs/>
          <w:lang w:val="fr-BE"/>
        </w:rPr>
        <w:t>Réaction initiale :</w:t>
      </w:r>
      <w:r w:rsidRPr="00311189">
        <w:rPr>
          <w:lang w:val="fr-BE"/>
        </w:rPr>
        <w:t xml:space="preserve"> réaction négative (0) ; quelques difficultés (1) ; réaction neutre (2) ; réaction globalement positive (3)</w:t>
      </w:r>
    </w:p>
    <w:p w14:paraId="42801426" w14:textId="77777777" w:rsidR="00C9593D" w:rsidRDefault="0069723F">
      <w:pPr>
        <w:pStyle w:val="Titre3"/>
      </w:pPr>
      <w:bookmarkStart w:id="77" w:name="_Toc101654134"/>
      <w:bookmarkStart w:id="78" w:name="amis"/>
      <w:bookmarkEnd w:id="76"/>
      <w:r>
        <w:t>Amis</w:t>
      </w:r>
      <w:bookmarkEnd w:id="77"/>
    </w:p>
    <w:p w14:paraId="42801427" w14:textId="77777777" w:rsidR="00C9593D" w:rsidRPr="00311189" w:rsidRDefault="0069723F">
      <w:pPr>
        <w:numPr>
          <w:ilvl w:val="0"/>
          <w:numId w:val="17"/>
        </w:numPr>
        <w:rPr>
          <w:lang w:val="fr-BE"/>
        </w:rPr>
      </w:pPr>
      <w:r w:rsidRPr="00311189">
        <w:rPr>
          <w:i/>
          <w:iCs/>
          <w:lang w:val="fr-BE"/>
        </w:rPr>
        <w:t>Personnes au courant :</w:t>
      </w:r>
      <w:r w:rsidRPr="00311189">
        <w:rPr>
          <w:lang w:val="fr-BE"/>
        </w:rPr>
        <w:t xml:space="preserve"> personne (0) ; uniquement les amis proches (1) ; la plupart des amis (2) ; tous ou presque (3)</w:t>
      </w:r>
    </w:p>
    <w:p w14:paraId="42801428" w14:textId="77777777" w:rsidR="00C9593D" w:rsidRPr="00311189" w:rsidRDefault="0069723F">
      <w:pPr>
        <w:numPr>
          <w:ilvl w:val="0"/>
          <w:numId w:val="17"/>
        </w:numPr>
        <w:rPr>
          <w:lang w:val="fr-BE"/>
        </w:rPr>
      </w:pPr>
      <w:r w:rsidRPr="00311189">
        <w:rPr>
          <w:i/>
          <w:iCs/>
          <w:lang w:val="fr-BE"/>
        </w:rPr>
        <w:t>Réaction initiale :</w:t>
      </w:r>
      <w:r w:rsidRPr="00311189">
        <w:rPr>
          <w:lang w:val="fr-BE"/>
        </w:rPr>
        <w:t xml:space="preserve"> réaction hostile (0) ; quelques difficultés (1) ; réaction neutre (2) ; réaction globalement positive (3)</w:t>
      </w:r>
    </w:p>
    <w:p w14:paraId="42801429" w14:textId="77777777" w:rsidR="00C9593D" w:rsidRPr="00311189" w:rsidRDefault="0069723F">
      <w:pPr>
        <w:pStyle w:val="Titre2"/>
        <w:rPr>
          <w:lang w:val="fr-BE"/>
        </w:rPr>
      </w:pPr>
      <w:bookmarkStart w:id="79" w:name="_Toc101654135"/>
      <w:bookmarkStart w:id="80" w:name="aspects-hormonaux"/>
      <w:bookmarkEnd w:id="74"/>
      <w:bookmarkEnd w:id="78"/>
      <w:r w:rsidRPr="00311189">
        <w:rPr>
          <w:lang w:val="fr-BE"/>
        </w:rPr>
        <w:lastRenderedPageBreak/>
        <w:t>Aspects hormonaux</w:t>
      </w:r>
      <w:bookmarkEnd w:id="79"/>
    </w:p>
    <w:p w14:paraId="4280142A" w14:textId="77777777" w:rsidR="00C9593D" w:rsidRPr="00311189" w:rsidRDefault="0069723F">
      <w:pPr>
        <w:pStyle w:val="Titre3"/>
        <w:rPr>
          <w:lang w:val="fr-BE"/>
        </w:rPr>
      </w:pPr>
      <w:bookmarkStart w:id="81" w:name="_Toc101654136"/>
      <w:bookmarkStart w:id="82" w:name="effets-les-plus-attendus"/>
      <w:r w:rsidRPr="00311189">
        <w:rPr>
          <w:lang w:val="fr-BE"/>
        </w:rPr>
        <w:t>Effets les plus attendus</w:t>
      </w:r>
      <w:bookmarkEnd w:id="81"/>
    </w:p>
    <w:p w14:paraId="4280142B" w14:textId="77777777" w:rsidR="00C9593D" w:rsidRPr="00311189" w:rsidRDefault="0069723F">
      <w:pPr>
        <w:pStyle w:val="FirstParagraph"/>
        <w:rPr>
          <w:lang w:val="fr-BE"/>
        </w:rPr>
      </w:pPr>
      <w:r w:rsidRPr="00311189">
        <w:rPr>
          <w:lang w:val="fr-BE"/>
        </w:rPr>
        <w:t>Variables binaires codée (1) si l’effet a été mentionné explicitement comme une priorité pour le point de confort du/de la patient(e) et (0) dans le cas contraire. Chaque variable correspond à un des effets principaux du THAG soit :</w:t>
      </w:r>
    </w:p>
    <w:p w14:paraId="4280142C" w14:textId="77777777" w:rsidR="00C9593D" w:rsidRPr="00311189" w:rsidRDefault="0069723F">
      <w:pPr>
        <w:numPr>
          <w:ilvl w:val="0"/>
          <w:numId w:val="18"/>
        </w:numPr>
        <w:rPr>
          <w:lang w:val="fr-BE"/>
        </w:rPr>
      </w:pPr>
      <w:r w:rsidRPr="00311189">
        <w:rPr>
          <w:lang w:val="fr-BE"/>
        </w:rPr>
        <w:t>Pour les femmes transgenres et autres personnes transféminines, le développement de la poitrine, l’adoucissement de la peau, la diminution de la pilosité, la répartition plus féminine des graisses, la diminution de la musculature, la disparitions des érections spontanées et un arrêt de l’alopécie.</w:t>
      </w:r>
    </w:p>
    <w:p w14:paraId="4280142D" w14:textId="77777777" w:rsidR="00C9593D" w:rsidRPr="00311189" w:rsidRDefault="0069723F">
      <w:pPr>
        <w:numPr>
          <w:ilvl w:val="0"/>
          <w:numId w:val="18"/>
        </w:numPr>
        <w:rPr>
          <w:lang w:val="fr-BE"/>
        </w:rPr>
      </w:pPr>
      <w:r w:rsidRPr="00311189">
        <w:rPr>
          <w:lang w:val="fr-BE"/>
        </w:rPr>
        <w:t>Pour les hommes transgenres et autres personnes transmasculines, l’aggravation de la voix, l’aménorrhée, la majoration de la pilosité, la répartition plus masculine des graisses, le développement de la musculature, et le développement d’un dickclit.</w:t>
      </w:r>
    </w:p>
    <w:p w14:paraId="4280142E" w14:textId="77777777" w:rsidR="00C9593D" w:rsidRPr="00311189" w:rsidRDefault="0069723F">
      <w:pPr>
        <w:pStyle w:val="Titre3"/>
        <w:rPr>
          <w:lang w:val="fr-BE"/>
        </w:rPr>
      </w:pPr>
      <w:bookmarkStart w:id="83" w:name="_Toc101654137"/>
      <w:bookmarkStart w:id="84" w:name="inquiétudes-vis-à-vis-du-traitement"/>
      <w:bookmarkEnd w:id="82"/>
      <w:r w:rsidRPr="00311189">
        <w:rPr>
          <w:lang w:val="fr-BE"/>
        </w:rPr>
        <w:t>Inquiétudes vis-à-vis du traitement</w:t>
      </w:r>
      <w:bookmarkEnd w:id="83"/>
    </w:p>
    <w:p w14:paraId="4280142F" w14:textId="77777777" w:rsidR="00C9593D" w:rsidRPr="00311189" w:rsidRDefault="0069723F">
      <w:pPr>
        <w:pStyle w:val="FirstParagraph"/>
        <w:rPr>
          <w:lang w:val="fr-BE"/>
        </w:rPr>
      </w:pPr>
      <w:r w:rsidRPr="00311189">
        <w:rPr>
          <w:lang w:val="fr-BE"/>
        </w:rPr>
        <w:t>Variables binaires codées (1) si cet effet inquiète le patient ou (0) dans le cas contraire.</w:t>
      </w:r>
    </w:p>
    <w:p w14:paraId="42801430" w14:textId="77777777" w:rsidR="00C9593D" w:rsidRPr="00311189" w:rsidRDefault="0069723F">
      <w:pPr>
        <w:pStyle w:val="Titre3"/>
        <w:rPr>
          <w:lang w:val="fr-BE"/>
        </w:rPr>
      </w:pPr>
      <w:bookmarkStart w:id="85" w:name="_Toc101654138"/>
      <w:bookmarkStart w:id="86" w:name="cryopréservation-des-gamètes"/>
      <w:bookmarkEnd w:id="84"/>
      <w:r w:rsidRPr="00311189">
        <w:rPr>
          <w:lang w:val="fr-BE"/>
        </w:rPr>
        <w:t>Cryopréservation des gamètes</w:t>
      </w:r>
      <w:bookmarkEnd w:id="85"/>
    </w:p>
    <w:p w14:paraId="42801431" w14:textId="77777777" w:rsidR="00C9593D" w:rsidRPr="00311189" w:rsidRDefault="0069723F">
      <w:pPr>
        <w:pStyle w:val="FirstParagraph"/>
        <w:rPr>
          <w:lang w:val="fr-BE"/>
        </w:rPr>
      </w:pPr>
      <w:r w:rsidRPr="00311189">
        <w:rPr>
          <w:lang w:val="fr-BE"/>
        </w:rPr>
        <w:t>Variable correspondant à la réalisation d’une cryopréservation des gamètes avant l’introduction du THAG : non-réalisée (0) démarches effectuées (1)</w:t>
      </w:r>
    </w:p>
    <w:p w14:paraId="42801432" w14:textId="77777777" w:rsidR="00C9593D" w:rsidRPr="00311189" w:rsidRDefault="0069723F">
      <w:pPr>
        <w:pStyle w:val="Titre2"/>
        <w:rPr>
          <w:lang w:val="fr-BE"/>
        </w:rPr>
      </w:pPr>
      <w:bookmarkStart w:id="87" w:name="_Toc101654139"/>
      <w:bookmarkStart w:id="88" w:name="aspects-chirurgicaux"/>
      <w:bookmarkEnd w:id="80"/>
      <w:bookmarkEnd w:id="86"/>
      <w:r w:rsidRPr="00311189">
        <w:rPr>
          <w:lang w:val="fr-BE"/>
        </w:rPr>
        <w:t>Aspects chirurgicaux</w:t>
      </w:r>
      <w:bookmarkEnd w:id="87"/>
    </w:p>
    <w:p w14:paraId="42801433" w14:textId="77777777" w:rsidR="00C9593D" w:rsidRPr="00311189" w:rsidRDefault="0069723F">
      <w:pPr>
        <w:pStyle w:val="FirstParagraph"/>
        <w:rPr>
          <w:lang w:val="fr-BE"/>
        </w:rPr>
      </w:pPr>
      <w:r w:rsidRPr="00311189">
        <w:rPr>
          <w:lang w:val="fr-BE"/>
        </w:rPr>
        <w:t>Pour chaque chirurgie couramment envisagée : n’a pas exprimé de réaliser l’opération (0) ; ne sait pas (1) ; besoin identifié (2).</w:t>
      </w:r>
    </w:p>
    <w:p w14:paraId="42801434" w14:textId="77777777" w:rsidR="00C9593D" w:rsidRDefault="0069723F">
      <w:pPr>
        <w:pStyle w:val="Corpsdetexte"/>
      </w:pPr>
      <w:r>
        <w:t>Ces chirurgies sont :</w:t>
      </w:r>
    </w:p>
    <w:p w14:paraId="42801435" w14:textId="77777777" w:rsidR="00C9593D" w:rsidRPr="00311189" w:rsidRDefault="0069723F">
      <w:pPr>
        <w:numPr>
          <w:ilvl w:val="0"/>
          <w:numId w:val="19"/>
        </w:numPr>
        <w:rPr>
          <w:lang w:val="fr-BE"/>
        </w:rPr>
      </w:pPr>
      <w:r w:rsidRPr="00311189">
        <w:rPr>
          <w:lang w:val="fr-BE"/>
        </w:rPr>
        <w:t>Pour les femmes transgenres et autres personnes transféminines : l’augmentation mammaire, la vaginoplastie, les chirurgies de féminisation du visage et de féminisation vocale</w:t>
      </w:r>
    </w:p>
    <w:p w14:paraId="42801436" w14:textId="77777777" w:rsidR="00C9593D" w:rsidRPr="00311189" w:rsidRDefault="0069723F">
      <w:pPr>
        <w:numPr>
          <w:ilvl w:val="0"/>
          <w:numId w:val="19"/>
        </w:numPr>
        <w:rPr>
          <w:lang w:val="fr-BE"/>
        </w:rPr>
      </w:pPr>
      <w:r w:rsidRPr="00311189">
        <w:rPr>
          <w:lang w:val="fr-BE"/>
        </w:rPr>
        <w:t>Pour les hommes transgenres et autres personnes transmasculines : la torsoplastie, l’hystérectomie, la phalloplastie, et la métaidoïoplastie</w:t>
      </w:r>
      <w:bookmarkEnd w:id="72"/>
      <w:bookmarkEnd w:id="88"/>
    </w:p>
    <w:sectPr w:rsidR="00C9593D" w:rsidRPr="00311189">
      <w:headerReference w:type="even" r:id="rId27"/>
      <w:headerReference w:type="default" r:id="rId28"/>
      <w:footerReference w:type="even" r:id="rId29"/>
      <w:footerReference w:type="default" r:id="rId30"/>
      <w:headerReference w:type="first" r:id="rId31"/>
      <w:footerReference w:type="first" r:id="rId32"/>
      <w:type w:val="continuous"/>
      <w:pgSz w:w="11952" w:h="16848"/>
      <w:pgMar w:top="1296" w:right="1296" w:bottom="1296" w:left="1296" w:header="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77E0" w14:textId="77777777" w:rsidR="00704F24" w:rsidRDefault="00704F24">
      <w:pPr>
        <w:spacing w:before="0" w:after="0" w:line="240" w:lineRule="auto"/>
      </w:pPr>
      <w:r>
        <w:separator/>
      </w:r>
    </w:p>
  </w:endnote>
  <w:endnote w:type="continuationSeparator" w:id="0">
    <w:p w14:paraId="787A0AA8" w14:textId="77777777" w:rsidR="00704F24" w:rsidRDefault="00704F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Light">
    <w:altName w:val="Lato Light"/>
    <w:panose1 w:val="020F0302020204030203"/>
    <w:charset w:val="00"/>
    <w:family w:val="swiss"/>
    <w:pitch w:val="variable"/>
    <w:sig w:usb0="E10002FF" w:usb1="5000ECFF" w:usb2="00000021" w:usb3="00000000" w:csb0="0000019F" w:csb1="00000000"/>
  </w:font>
  <w:font w:name="Lato SemiBold">
    <w:altName w:val="Lato SemiBold"/>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PT Serif Caption">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Lato">
    <w:altName w:val="Lato"/>
    <w:panose1 w:val="020F0502020204030203"/>
    <w:charset w:val="00"/>
    <w:family w:val="swiss"/>
    <w:pitch w:val="variable"/>
    <w:sig w:usb0="E10002FF" w:usb1="5000ECFF" w:usb2="00000021" w:usb3="00000000" w:csb0="0000019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Lat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D10E1" w14:textId="77777777" w:rsidR="00311189" w:rsidRDefault="003111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35051"/>
      <w:docPartObj>
        <w:docPartGallery w:val="Page Numbers (Bottom of Page)"/>
        <w:docPartUnique/>
      </w:docPartObj>
    </w:sdtPr>
    <w:sdtEndPr/>
    <w:sdtContent>
      <w:p w14:paraId="42801452" w14:textId="77777777" w:rsidR="00D95677" w:rsidRDefault="0069723F">
        <w:pPr>
          <w:pStyle w:val="Pieddepage"/>
          <w:jc w:val="right"/>
        </w:pPr>
        <w:r>
          <w:fldChar w:fldCharType="begin"/>
        </w:r>
        <w:r>
          <w:instrText>PAGE   \* MERGEFORMAT</w:instrText>
        </w:r>
        <w:r>
          <w:fldChar w:fldCharType="separate"/>
        </w:r>
        <w:r>
          <w:rPr>
            <w:lang w:val="fr-FR"/>
          </w:rPr>
          <w:t>2</w:t>
        </w:r>
        <w:r>
          <w:fldChar w:fldCharType="end"/>
        </w:r>
      </w:p>
    </w:sdtContent>
  </w:sdt>
  <w:p w14:paraId="42801453" w14:textId="77777777" w:rsidR="00AD79DD" w:rsidRDefault="00586D2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BE71A" w14:textId="77777777" w:rsidR="00311189" w:rsidRDefault="003111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8" w14:textId="77777777" w:rsidR="00AD79DD" w:rsidRDefault="00586D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712399"/>
      <w:docPartObj>
        <w:docPartGallery w:val="Page Numbers (Bottom of Page)"/>
        <w:docPartUnique/>
      </w:docPartObj>
    </w:sdtPr>
    <w:sdtEndPr/>
    <w:sdtContent>
      <w:p w14:paraId="42801459" w14:textId="77777777" w:rsidR="00D95677" w:rsidRDefault="0069723F">
        <w:pPr>
          <w:pStyle w:val="Pieddepage"/>
          <w:jc w:val="right"/>
        </w:pPr>
        <w:r>
          <w:fldChar w:fldCharType="begin"/>
        </w:r>
        <w:r>
          <w:instrText>PAGE   \* MERGEFORMAT</w:instrText>
        </w:r>
        <w:r>
          <w:fldChar w:fldCharType="separate"/>
        </w:r>
        <w:r>
          <w:rPr>
            <w:lang w:val="fr-FR"/>
          </w:rPr>
          <w:t>2</w:t>
        </w:r>
        <w:r>
          <w:fldChar w:fldCharType="end"/>
        </w:r>
      </w:p>
    </w:sdtContent>
  </w:sdt>
  <w:p w14:paraId="4280145A" w14:textId="77777777" w:rsidR="00AD79DD" w:rsidRDefault="00586D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C" w14:textId="77777777" w:rsidR="00AD79DD" w:rsidRDefault="00586D2A">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F" w14:textId="77777777" w:rsidR="00AD79DD" w:rsidRDefault="00586D2A">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805926"/>
      <w:docPartObj>
        <w:docPartGallery w:val="Page Numbers (Bottom of Page)"/>
        <w:docPartUnique/>
      </w:docPartObj>
    </w:sdtPr>
    <w:sdtEndPr/>
    <w:sdtContent>
      <w:p w14:paraId="42801460" w14:textId="77777777" w:rsidR="00D95677" w:rsidRDefault="0069723F">
        <w:pPr>
          <w:pStyle w:val="Pieddepage"/>
          <w:jc w:val="right"/>
        </w:pPr>
        <w:r>
          <w:fldChar w:fldCharType="begin"/>
        </w:r>
        <w:r>
          <w:instrText>PAGE   \* MERGEFORMAT</w:instrText>
        </w:r>
        <w:r>
          <w:fldChar w:fldCharType="separate"/>
        </w:r>
        <w:r>
          <w:rPr>
            <w:lang w:val="fr-FR"/>
          </w:rPr>
          <w:t>2</w:t>
        </w:r>
        <w:r>
          <w:fldChar w:fldCharType="end"/>
        </w:r>
      </w:p>
    </w:sdtContent>
  </w:sdt>
  <w:p w14:paraId="42801461" w14:textId="77777777" w:rsidR="00AD79DD" w:rsidRDefault="00586D2A">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63" w14:textId="77777777" w:rsidR="00AD79DD" w:rsidRDefault="00586D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9044" w14:textId="77777777" w:rsidR="00704F24" w:rsidRDefault="00704F24">
      <w:r>
        <w:separator/>
      </w:r>
    </w:p>
  </w:footnote>
  <w:footnote w:type="continuationSeparator" w:id="0">
    <w:p w14:paraId="68CE6CDC" w14:textId="77777777" w:rsidR="00704F24" w:rsidRDefault="00704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E8370" w14:textId="77777777" w:rsidR="00311189" w:rsidRDefault="003111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69A67" w14:textId="77777777" w:rsidR="00311189" w:rsidRDefault="003111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CE8B" w14:textId="77777777" w:rsidR="00311189" w:rsidRDefault="0031118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6" w14:textId="77777777" w:rsidR="00AD79DD" w:rsidRDefault="00586D2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7" w14:textId="77777777" w:rsidR="00AD79DD" w:rsidRDefault="00586D2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B" w14:textId="77777777" w:rsidR="00AD79DD" w:rsidRDefault="00586D2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D" w14:textId="77777777" w:rsidR="00AD79DD" w:rsidRDefault="00586D2A">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5E" w14:textId="77777777" w:rsidR="00AD79DD" w:rsidRDefault="00586D2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1462" w14:textId="77777777" w:rsidR="00AD79DD" w:rsidRDefault="00586D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CE4A81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54E673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33384C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9880733">
    <w:abstractNumId w:val="14"/>
  </w:num>
  <w:num w:numId="2" w16cid:durableId="80495473">
    <w:abstractNumId w:val="9"/>
  </w:num>
  <w:num w:numId="3" w16cid:durableId="1809467414">
    <w:abstractNumId w:val="4"/>
  </w:num>
  <w:num w:numId="4" w16cid:durableId="478765833">
    <w:abstractNumId w:val="3"/>
  </w:num>
  <w:num w:numId="5" w16cid:durableId="894049350">
    <w:abstractNumId w:val="2"/>
  </w:num>
  <w:num w:numId="6" w16cid:durableId="1413115395">
    <w:abstractNumId w:val="1"/>
  </w:num>
  <w:num w:numId="7" w16cid:durableId="1614703523">
    <w:abstractNumId w:val="10"/>
  </w:num>
  <w:num w:numId="8" w16cid:durableId="1354069118">
    <w:abstractNumId w:val="8"/>
  </w:num>
  <w:num w:numId="9" w16cid:durableId="932740517">
    <w:abstractNumId w:val="7"/>
  </w:num>
  <w:num w:numId="10" w16cid:durableId="596013972">
    <w:abstractNumId w:val="6"/>
  </w:num>
  <w:num w:numId="11" w16cid:durableId="277568673">
    <w:abstractNumId w:val="5"/>
  </w:num>
  <w:num w:numId="12" w16cid:durableId="547962148">
    <w:abstractNumId w:val="14"/>
  </w:num>
  <w:num w:numId="13" w16cid:durableId="17051356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03781792">
    <w:abstractNumId w:val="11"/>
  </w:num>
  <w:num w:numId="15" w16cid:durableId="8941271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4351447">
    <w:abstractNumId w:val="12"/>
  </w:num>
  <w:num w:numId="17" w16cid:durableId="1249313295">
    <w:abstractNumId w:val="12"/>
  </w:num>
  <w:num w:numId="18" w16cid:durableId="1968007418">
    <w:abstractNumId w:val="12"/>
  </w:num>
  <w:num w:numId="19" w16cid:durableId="646938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sDel="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3D"/>
    <w:rsid w:val="00176880"/>
    <w:rsid w:val="002E2A3A"/>
    <w:rsid w:val="00311189"/>
    <w:rsid w:val="00586D2A"/>
    <w:rsid w:val="006105F8"/>
    <w:rsid w:val="0069723F"/>
    <w:rsid w:val="00704F24"/>
    <w:rsid w:val="00862518"/>
    <w:rsid w:val="00C959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1228"/>
  <w15:docId w15:val="{0D46074F-A807-4962-AB23-DE6BF5CF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677"/>
    <w:pPr>
      <w:spacing w:before="120" w:line="360" w:lineRule="auto"/>
      <w:jc w:val="both"/>
    </w:pPr>
    <w:rPr>
      <w:rFonts w:ascii="Lato Light" w:hAnsi="Lato Light"/>
    </w:rPr>
  </w:style>
  <w:style w:type="paragraph" w:styleId="Titre1">
    <w:name w:val="heading 1"/>
    <w:basedOn w:val="Normal"/>
    <w:next w:val="Corpsdetexte"/>
    <w:uiPriority w:val="9"/>
    <w:qFormat/>
    <w:rsid w:val="00A87505"/>
    <w:pPr>
      <w:keepNext/>
      <w:keepLines/>
      <w:spacing w:before="480" w:after="0"/>
      <w:outlineLvl w:val="0"/>
    </w:pPr>
    <w:rPr>
      <w:rFonts w:ascii="Lato SemiBold" w:eastAsiaTheme="majorEastAsia" w:hAnsi="Lato SemiBold" w:cstheme="majorBidi"/>
      <w:b/>
      <w:bCs/>
      <w:color w:val="0A3D62"/>
      <w:sz w:val="34"/>
      <w:szCs w:val="32"/>
    </w:rPr>
  </w:style>
  <w:style w:type="paragraph" w:styleId="Titre2">
    <w:name w:val="heading 2"/>
    <w:basedOn w:val="Normal"/>
    <w:next w:val="Corpsdetexte"/>
    <w:uiPriority w:val="9"/>
    <w:unhideWhenUsed/>
    <w:qFormat/>
    <w:rsid w:val="00A87505"/>
    <w:pPr>
      <w:keepNext/>
      <w:keepLines/>
      <w:spacing w:before="200" w:after="0"/>
      <w:outlineLvl w:val="1"/>
    </w:pPr>
    <w:rPr>
      <w:rFonts w:ascii="Lato SemiBold" w:eastAsiaTheme="majorEastAsia" w:hAnsi="Lato SemiBold" w:cstheme="majorBidi"/>
      <w:b/>
      <w:bCs/>
      <w:color w:val="3C6382"/>
      <w:sz w:val="32"/>
      <w:szCs w:val="32"/>
    </w:rPr>
  </w:style>
  <w:style w:type="paragraph" w:styleId="Titre3">
    <w:name w:val="heading 3"/>
    <w:basedOn w:val="Normal"/>
    <w:next w:val="Corpsdetexte"/>
    <w:uiPriority w:val="9"/>
    <w:unhideWhenUsed/>
    <w:qFormat/>
    <w:rsid w:val="00A87505"/>
    <w:pPr>
      <w:keepNext/>
      <w:keepLines/>
      <w:spacing w:before="200" w:after="0"/>
      <w:outlineLvl w:val="2"/>
    </w:pPr>
    <w:rPr>
      <w:rFonts w:ascii="Lato SemiBold" w:eastAsiaTheme="majorEastAsia" w:hAnsi="Lato SemiBold" w:cstheme="majorBidi"/>
      <w:b/>
      <w:bCs/>
      <w:color w:val="60A3BC"/>
      <w:sz w:val="30"/>
      <w:szCs w:val="28"/>
    </w:rPr>
  </w:style>
  <w:style w:type="paragraph" w:styleId="Titre4">
    <w:name w:val="heading 4"/>
    <w:basedOn w:val="Normal"/>
    <w:next w:val="Corpsdetexte"/>
    <w:uiPriority w:val="9"/>
    <w:unhideWhenUsed/>
    <w:qFormat/>
    <w:rsid w:val="00A87505"/>
    <w:pPr>
      <w:keepNext/>
      <w:keepLines/>
      <w:spacing w:before="200" w:after="0"/>
      <w:outlineLvl w:val="3"/>
    </w:pPr>
    <w:rPr>
      <w:rFonts w:ascii="Lato SemiBold" w:eastAsiaTheme="majorEastAsia" w:hAnsi="Lato SemiBold" w:cstheme="majorBidi"/>
      <w:b/>
      <w:bCs/>
      <w:color w:val="82CCDD"/>
      <w:sz w:val="28"/>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C011E6"/>
    <w:pPr>
      <w:keepNext/>
      <w:keepLines/>
      <w:spacing w:before="480" w:after="240" w:line="240" w:lineRule="auto"/>
    </w:pPr>
    <w:rPr>
      <w:rFonts w:ascii="Lato SemiBold" w:eastAsiaTheme="majorEastAsia" w:hAnsi="Lato SemiBold" w:cstheme="majorBidi"/>
      <w:b/>
      <w:bCs/>
      <w:smallCaps/>
      <w:color w:val="FFFFFF" w:themeColor="background1"/>
      <w:sz w:val="2"/>
      <w:szCs w:val="36"/>
    </w:rPr>
  </w:style>
  <w:style w:type="paragraph" w:styleId="Sous-titre">
    <w:name w:val="Subtitle"/>
    <w:basedOn w:val="Titre"/>
    <w:next w:val="Corpsdetexte"/>
    <w:qFormat/>
    <w:rsid w:val="00A87505"/>
    <w:pPr>
      <w:spacing w:before="240"/>
      <w:jc w:val="center"/>
    </w:pPr>
    <w:rPr>
      <w:sz w:val="30"/>
      <w:szCs w:val="30"/>
    </w:rPr>
  </w:style>
  <w:style w:type="paragraph" w:customStyle="1" w:styleId="Author">
    <w:name w:val="Author"/>
    <w:next w:val="Corpsdetexte"/>
    <w:qFormat/>
    <w:rsid w:val="00C011E6"/>
    <w:pPr>
      <w:keepNext/>
      <w:keepLines/>
    </w:pPr>
    <w:rPr>
      <w:rFonts w:ascii="PT Serif Caption" w:hAnsi="PT Serif Caption"/>
      <w:color w:val="FFFFFF" w:themeColor="background1"/>
      <w:sz w:val="2"/>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rsid w:val="006A7BF7"/>
    <w:pPr>
      <w:spacing w:before="0" w:after="0" w:line="240" w:lineRule="auto"/>
      <w:jc w:val="center"/>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 w:type="paragraph" w:styleId="En-tte">
    <w:name w:val="header"/>
    <w:basedOn w:val="Normal"/>
    <w:link w:val="En-tteCar"/>
    <w:unhideWhenUsed/>
    <w:rsid w:val="00AD79DD"/>
    <w:pPr>
      <w:tabs>
        <w:tab w:val="center" w:pos="4536"/>
        <w:tab w:val="right" w:pos="9072"/>
      </w:tabs>
      <w:spacing w:before="0" w:after="0" w:line="240" w:lineRule="auto"/>
    </w:pPr>
  </w:style>
  <w:style w:type="character" w:customStyle="1" w:styleId="En-tteCar">
    <w:name w:val="En-tête Car"/>
    <w:basedOn w:val="Policepardfaut"/>
    <w:link w:val="En-tte"/>
    <w:rsid w:val="00AD79DD"/>
    <w:rPr>
      <w:rFonts w:ascii="Lato" w:hAnsi="Lato"/>
    </w:rPr>
  </w:style>
  <w:style w:type="paragraph" w:styleId="Pieddepage">
    <w:name w:val="footer"/>
    <w:basedOn w:val="Normal"/>
    <w:link w:val="PieddepageCar"/>
    <w:uiPriority w:val="99"/>
    <w:unhideWhenUsed/>
    <w:rsid w:val="00AD79D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AD79DD"/>
    <w:rPr>
      <w:rFonts w:ascii="Lato" w:hAnsi="Lato"/>
    </w:rPr>
  </w:style>
  <w:style w:type="paragraph" w:customStyle="1" w:styleId="Lgende1">
    <w:name w:val="Légende1"/>
    <w:basedOn w:val="Normal"/>
    <w:link w:val="CaptionCar"/>
    <w:qFormat/>
    <w:rsid w:val="00031FA8"/>
    <w:pPr>
      <w:spacing w:line="240" w:lineRule="auto"/>
      <w:jc w:val="center"/>
    </w:pPr>
    <w:rPr>
      <w:sz w:val="20"/>
      <w:lang w:val="fr-BE"/>
    </w:rPr>
  </w:style>
  <w:style w:type="character" w:customStyle="1" w:styleId="CaptionCar">
    <w:name w:val="Caption Car"/>
    <w:basedOn w:val="Policepardfaut"/>
    <w:link w:val="Lgende1"/>
    <w:rsid w:val="00031FA8"/>
    <w:rPr>
      <w:rFonts w:ascii="Lato Light" w:hAnsi="Lato Light"/>
      <w:sz w:val="20"/>
      <w:lang w:val="fr-BE"/>
    </w:rPr>
  </w:style>
  <w:style w:type="paragraph" w:styleId="TM1">
    <w:name w:val="toc 1"/>
    <w:basedOn w:val="Normal"/>
    <w:next w:val="Normal"/>
    <w:autoRedefine/>
    <w:uiPriority w:val="39"/>
    <w:unhideWhenUsed/>
    <w:rsid w:val="00862518"/>
    <w:pPr>
      <w:spacing w:after="100"/>
    </w:pPr>
  </w:style>
  <w:style w:type="paragraph" w:styleId="TM2">
    <w:name w:val="toc 2"/>
    <w:basedOn w:val="Normal"/>
    <w:next w:val="Normal"/>
    <w:autoRedefine/>
    <w:uiPriority w:val="39"/>
    <w:unhideWhenUsed/>
    <w:rsid w:val="00862518"/>
    <w:pPr>
      <w:spacing w:after="100"/>
      <w:ind w:left="240"/>
    </w:pPr>
  </w:style>
  <w:style w:type="paragraph" w:styleId="TM3">
    <w:name w:val="toc 3"/>
    <w:basedOn w:val="Normal"/>
    <w:next w:val="Normal"/>
    <w:autoRedefine/>
    <w:uiPriority w:val="39"/>
    <w:unhideWhenUsed/>
    <w:rsid w:val="00862518"/>
    <w:pPr>
      <w:spacing w:after="100"/>
      <w:ind w:left="480"/>
    </w:pPr>
  </w:style>
  <w:style w:type="paragraph" w:styleId="Tabledesillustrations">
    <w:name w:val="table of figures"/>
    <w:basedOn w:val="Normal"/>
    <w:next w:val="Normal"/>
    <w:uiPriority w:val="99"/>
    <w:unhideWhenUsed/>
    <w:rsid w:val="008625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8.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26</Pages>
  <Words>4536</Words>
  <Characters>24954</Characters>
  <Application>Microsoft Office Word</Application>
  <DocSecurity>0</DocSecurity>
  <Lines>207</Lines>
  <Paragraphs>58</Paragraphs>
  <ScaleCrop>false</ScaleCrop>
  <Company/>
  <LinksUpToDate>false</LinksUpToDate>
  <CharactersWithSpaces>29432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L’initiation et le suivi du traitement hormonal d’affirmation de genre en médecine générale</dc:title>
  <dc:creator>Dr. Maxence Ouafik</dc:creator>
  <cp:keywords/>
  <dc:description>Travail de fin d’études sur l’initiation du THAG en médecine générale</dc:description>
  <cp:lastModifiedBy>Maxence Ouafik</cp:lastModifiedBy>
  <cp:revision>7</cp:revision>
  <dcterms:created xsi:type="dcterms:W3CDTF">2022-04-23T22:54:00Z</dcterms:created>
  <dcterms:modified xsi:type="dcterms:W3CDTF">2022-04-23T22:59:00Z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references.json</vt:lpwstr>
  </property>
  <property fmtid="{D5CDD505-2E9C-101B-9397-08002B2CF9AE}" pid="3" name="bookdown">
    <vt:lpwstr/>
  </property>
  <property fmtid="{D5CDD505-2E9C-101B-9397-08002B2CF9AE}" pid="4" name="cover-image">
    <vt:lpwstr/>
  </property>
  <property fmtid="{D5CDD505-2E9C-101B-9397-08002B2CF9AE}" pid="5" name="csl">
    <vt:lpwstr/>
  </property>
  <property fmtid="{D5CDD505-2E9C-101B-9397-08002B2CF9AE}" pid="6" name="favicon">
    <vt:lpwstr/>
  </property>
  <property fmtid="{D5CDD505-2E9C-101B-9397-08002B2CF9AE}" pid="7" name="link-citations">
    <vt:lpwstr>True</vt:lpwstr>
  </property>
  <property fmtid="{D5CDD505-2E9C-101B-9397-08002B2CF9AE}" pid="8" name="rmd_files">
    <vt:lpwstr>(“index.Rmd”, “01-abstract.Rmd”, “02-introduction.Rmd”, “03-methodology.Rmd”, “04-results.Rmd”, “05-discussion.Rmd”, “06-conclusion.Rmd”, “07-references.Rmd”, “08-appendix.Rmd”)</vt:lpwstr>
  </property>
  <property fmtid="{D5CDD505-2E9C-101B-9397-08002B2CF9AE}" pid="9" name="subtitle">
    <vt:lpwstr>Analyse mixte d’une cohorte de patient·e·s et recommandations pour la pratique clinique</vt:lpwstr>
  </property>
</Properties>
</file>