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7fbc3f97246e44f3ba4104a1813b9a3c56ce1e"/>
      <w:r>
        <w:t xml:space="preserve">ANNEX E: EXTENDED DEPARTMENT PROCEDURES &amp; TROUBLESHOOTING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.1-sales-office-extended-procedures"/>
      <w:r>
        <w:t xml:space="preserve">E.1 SALES OFFICE — EXTENDED PROCEDURES</w:t>
      </w:r>
      <w:bookmarkEnd w:id="21"/>
    </w:p>
    <w:p>
      <w:pPr>
        <w:pStyle w:val="Heading3"/>
      </w:pPr>
      <w:bookmarkStart w:id="22" w:name="e.1.1-quotation-line-types-reference"/>
      <w:r>
        <w:t xml:space="preserve">E.1.1 Quotation Line Types Reference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 Basis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Long-span aluzinc</w:t>
            </w:r>
          </w:p>
        </w:tc>
        <w:tc>
          <w:p>
            <w:pPr>
              <w:pStyle w:val="Compact"/>
              <w:jc w:val="left"/>
            </w:pPr>
            <w:r>
              <w:t xml:space="preserve">metres</w:t>
            </w:r>
          </w:p>
        </w:tc>
        <w:tc>
          <w:p>
            <w:pPr>
              <w:pStyle w:val="Compact"/>
              <w:jc w:val="left"/>
            </w:pPr>
            <w:r>
              <w:t xml:space="preserve">₦/m from price list</w:t>
            </w:r>
          </w:p>
        </w:tc>
        <w:tc>
          <w:p>
            <w:pPr>
              <w:pStyle w:val="Compact"/>
              <w:jc w:val="left"/>
            </w:pPr>
            <w:r>
              <w:t xml:space="preserve">Cutting list → coil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Step-tile aluzinc</w:t>
            </w:r>
          </w:p>
        </w:tc>
        <w:tc>
          <w:p>
            <w:pPr>
              <w:pStyle w:val="Compact"/>
              <w:jc w:val="left"/>
            </w:pPr>
            <w:r>
              <w:t xml:space="preserve">metres</w:t>
            </w:r>
          </w:p>
        </w:tc>
        <w:tc>
          <w:p>
            <w:pPr>
              <w:pStyle w:val="Compact"/>
              <w:jc w:val="left"/>
            </w:pPr>
            <w:r>
              <w:t xml:space="preserve">₦/m</w:t>
            </w:r>
          </w:p>
        </w:tc>
        <w:tc>
          <w:p>
            <w:pPr>
              <w:pStyle w:val="Compact"/>
              <w:jc w:val="left"/>
            </w:pPr>
            <w:r>
              <w:t xml:space="preserve">Cutting list → coil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Stone-coated</w:t>
            </w:r>
          </w:p>
        </w:tc>
        <w:tc>
          <w:p>
            <w:pPr>
              <w:pStyle w:val="Compact"/>
              <w:jc w:val="left"/>
            </w:pPr>
            <w:r>
              <w:t xml:space="preserve">sheets / m²</w:t>
            </w:r>
          </w:p>
        </w:tc>
        <w:tc>
          <w:p>
            <w:pPr>
              <w:pStyle w:val="Compact"/>
              <w:jc w:val="left"/>
            </w:pPr>
            <w:r>
              <w:t xml:space="preserve">₦/sheet or converted</w:t>
            </w:r>
          </w:p>
        </w:tc>
        <w:tc>
          <w:p>
            <w:pPr>
              <w:pStyle w:val="Compact"/>
              <w:jc w:val="left"/>
            </w:pPr>
            <w:r>
              <w:t xml:space="preserve">Stone flatsheet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 / flashing</w:t>
            </w:r>
          </w:p>
        </w:tc>
        <w:tc>
          <w:p>
            <w:pPr>
              <w:pStyle w:val="Compact"/>
              <w:jc w:val="left"/>
            </w:pPr>
            <w:r>
              <w:t xml:space="preserve">metres or pieces</w:t>
            </w:r>
          </w:p>
        </w:tc>
        <w:tc>
          <w:p>
            <w:pPr>
              <w:pStyle w:val="Compact"/>
              <w:jc w:val="left"/>
            </w:pPr>
            <w:r>
              <w:t xml:space="preserve">₦/unit</w:t>
            </w:r>
          </w:p>
        </w:tc>
        <w:tc>
          <w:p>
            <w:pPr>
              <w:pStyle w:val="Compact"/>
              <w:jc w:val="left"/>
            </w:pPr>
            <w:r>
              <w:t xml:space="preserve">Accessory fulfillment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Gutter / accessory</w:t>
            </w:r>
          </w:p>
        </w:tc>
        <w:tc>
          <w:p>
            <w:pPr>
              <w:pStyle w:val="Compact"/>
              <w:jc w:val="left"/>
            </w:pPr>
            <w:r>
              <w:t xml:space="preserve">pieces</w:t>
            </w:r>
          </w:p>
        </w:tc>
        <w:tc>
          <w:p>
            <w:pPr>
              <w:pStyle w:val="Compact"/>
              <w:jc w:val="left"/>
            </w:pPr>
            <w:r>
              <w:t xml:space="preserve">₦/unit</w:t>
            </w:r>
          </w:p>
        </w:tc>
        <w:tc>
          <w:p>
            <w:pPr>
              <w:pStyle w:val="Compact"/>
              <w:jc w:val="left"/>
            </w:pPr>
            <w:r>
              <w:t xml:space="preserve">Accessory fulfillment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lump sum</w:t>
            </w:r>
          </w:p>
        </w:tc>
        <w:tc>
          <w:p>
            <w:pPr>
              <w:pStyle w:val="Compact"/>
              <w:jc w:val="left"/>
            </w:pPr>
            <w:r>
              <w:t xml:space="preserve">Quoted</w:t>
            </w:r>
          </w:p>
        </w:tc>
        <w:tc>
          <w:p>
            <w:pPr>
              <w:pStyle w:val="Compact"/>
              <w:jc w:val="left"/>
            </w:pPr>
            <w:r>
              <w:t xml:space="preserve">No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p>
            <w:pPr>
              <w:pStyle w:val="Compact"/>
              <w:jc w:val="left"/>
            </w:pPr>
            <w:r>
              <w:t xml:space="preserve">lump sum</w:t>
            </w:r>
          </w:p>
        </w:tc>
        <w:tc>
          <w:p>
            <w:pPr>
              <w:pStyle w:val="Compact"/>
              <w:jc w:val="left"/>
            </w:pPr>
            <w:r>
              <w:t xml:space="preserve">Quoted</w:t>
            </w:r>
          </w:p>
        </w:tc>
        <w:tc>
          <w:p>
            <w:pPr>
              <w:pStyle w:val="Compact"/>
              <w:jc w:val="left"/>
            </w:pPr>
            <w:r>
              <w:t xml:space="preserve">No production</w:t>
            </w:r>
          </w:p>
        </w:tc>
      </w:tr>
    </w:tbl>
    <w:p>
      <w:pPr>
        <w:pStyle w:val="Heading3"/>
      </w:pPr>
      <w:bookmarkStart w:id="23" w:name="e.1.2-quotation-validity-management"/>
      <w:r>
        <w:t xml:space="preserve">E.1.2 Quotation Validity Management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Default validity: 30 days from quotation date (configurable per quotation).</w:t>
      </w:r>
    </w:p>
    <w:p>
      <w:pPr>
        <w:numPr>
          <w:ilvl w:val="0"/>
          <w:numId w:val="1001"/>
        </w:numPr>
        <w:pStyle w:val="Compact"/>
      </w:pPr>
      <w:r>
        <w:t xml:space="preserve">System generates follow-up alert at 7 days before expiry.</w:t>
      </w:r>
    </w:p>
    <w:p>
      <w:pPr>
        <w:numPr>
          <w:ilvl w:val="0"/>
          <w:numId w:val="1001"/>
        </w:numPr>
        <w:pStyle w:val="Compact"/>
      </w:pPr>
      <w:r>
        <w:t xml:space="preserve">Sales officer actions before expiry:</w:t>
      </w:r>
    </w:p>
    <w:p>
      <w:pPr>
        <w:numPr>
          <w:ilvl w:val="1"/>
          <w:numId w:val="1002"/>
        </w:numPr>
        <w:pStyle w:val="Compact"/>
      </w:pPr>
      <w:r>
        <w:t xml:space="preserve">Contact customer (log CRM interaction)</w:t>
      </w:r>
    </w:p>
    <w:p>
      <w:pPr>
        <w:numPr>
          <w:ilvl w:val="1"/>
          <w:numId w:val="1002"/>
        </w:numPr>
        <w:pStyle w:val="Compact"/>
      </w:pPr>
      <w:r>
        <w:t xml:space="preserve">Extend validity (edit quotation if not locked)</w:t>
      </w:r>
    </w:p>
    <w:p>
      <w:pPr>
        <w:numPr>
          <w:ilvl w:val="1"/>
          <w:numId w:val="1002"/>
        </w:numPr>
        <w:pStyle w:val="Compact"/>
      </w:pPr>
      <w:r>
        <w:t xml:space="preserve">Archive if customer declined</w:t>
      </w:r>
    </w:p>
    <w:p>
      <w:pPr>
        <w:numPr>
          <w:ilvl w:val="0"/>
          <w:numId w:val="1001"/>
        </w:numPr>
        <w:pStyle w:val="Compact"/>
      </w:pPr>
      <w:r>
        <w:t xml:space="preserve">Expired quotations cannot release cutting list without BM reactivation.</w:t>
      </w:r>
    </w:p>
    <w:p>
      <w:pPr>
        <w:pStyle w:val="Heading3"/>
      </w:pPr>
      <w:bookmarkStart w:id="24" w:name="e.1.3-multi-branch-sales-scenarios"/>
      <w:r>
        <w:t xml:space="preserve">E.1.3 Multi-Branch Sales Scenarios</w:t>
      </w:r>
      <w:bookmarkEnd w:id="24"/>
    </w:p>
    <w:p>
      <w:pPr>
        <w:pStyle w:val="FirstParagraph"/>
      </w:pPr>
      <w:r>
        <w:rPr>
          <w:b/>
        </w:rPr>
        <w:t xml:space="preserve">Customer in Kaduna, production at Yola:</w:t>
      </w:r>
      <w:r>
        <w:t xml:space="preserve"> </w:t>
      </w:r>
      <w:r>
        <w:t xml:space="preserve">1. Quotation created at Kaduna (BR-KD) — branch-scoped.</w:t>
      </w:r>
      <w:r>
        <w:t xml:space="preserve"> </w:t>
      </w:r>
      <w:r>
        <w:t xml:space="preserve">2. Cutting list issued at Kaduna.</w:t>
      </w:r>
      <w:r>
        <w:t xml:space="preserve"> </w:t>
      </w:r>
      <w:r>
        <w:t xml:space="preserve">3. Yola operations sees cutting list if shared via org policy or inter-branch workflow.</w:t>
      </w:r>
      <w:r>
        <w:t xml:space="preserve"> </w:t>
      </w:r>
      <w:r>
        <w:t xml:space="preserve">4. Production job created at Yola (BR-YOL).</w:t>
      </w:r>
      <w:r>
        <w:t xml:space="preserve"> </w:t>
      </w:r>
      <w:r>
        <w:t xml:space="preserve">5. Delivery may be from Kaduna stock or in-transit from Yola.</w:t>
      </w:r>
    </w:p>
    <w:p>
      <w:pPr>
        <w:pStyle w:val="BodyText"/>
      </w:pPr>
      <w:r>
        <w:rPr>
          <w:b/>
        </w:rPr>
        <w:t xml:space="preserve">Branch bar:</w:t>
      </w:r>
      <w:r>
        <w:t xml:space="preserve"> </w:t>
      </w:r>
      <w:r>
        <w:t xml:space="preserve">Always confirm which branch owns the customer and quotation before posting.</w:t>
      </w:r>
    </w:p>
    <w:p>
      <w:pPr>
        <w:pStyle w:val="Heading3"/>
      </w:pPr>
      <w:bookmarkStart w:id="25" w:name="e.1.4-sales-troubleshooting"/>
      <w:r>
        <w:t xml:space="preserve">E.1.4 Sales Troubleshooting</w:t>
      </w:r>
      <w:bookmarkEnd w:id="25"/>
    </w:p>
    <w:tbl>
      <w:tblPr>
        <w:tblStyle w:val="Table"/>
        <w:tblW w:type="pct" w:w="5000.0"/>
        <w:tblLook w:firstRow="1"/>
      </w:tblPr>
      <w:tblGrid>
        <w:gridCol w:w="3494"/>
        <w:gridCol w:w="1630"/>
        <w:gridCol w:w="27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Cutting list blocked — payment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Paid % below branch threshold</w:t>
            </w:r>
          </w:p>
        </w:tc>
        <w:tc>
          <w:p>
            <w:pPr>
              <w:pStyle w:val="Compact"/>
              <w:jc w:val="left"/>
            </w:pPr>
            <w:r>
              <w:t xml:space="preserve">Post more receipts or BM production override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Cutting list blocked — price exception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Below-floor price without MD approval</w:t>
            </w:r>
          </w:p>
        </w:tc>
        <w:tc>
          <w:p>
            <w:pPr>
              <w:pStyle w:val="Compact"/>
              <w:jc w:val="left"/>
            </w:pPr>
            <w:r>
              <w:t xml:space="preserve">MD price exception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Duplicate customer phone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Phone exists on another customer</w:t>
            </w:r>
          </w:p>
        </w:tc>
        <w:tc>
          <w:p>
            <w:pPr>
              <w:pStyle w:val="Compact"/>
              <w:jc w:val="left"/>
            </w:pPr>
            <w:r>
              <w:t xml:space="preserve">Search existing; do not create duplicate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Quotation locked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Edit approval required</w:t>
            </w:r>
          </w:p>
        </w:tc>
        <w:tc>
          <w:p>
            <w:pPr>
              <w:pStyle w:val="Compact"/>
              <w:jc w:val="left"/>
            </w:pPr>
            <w:r>
              <w:t xml:space="preserve">Request 6-digit code from BM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Refund blocked — uncleared receipts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Receipts pending clearance</w:t>
            </w:r>
          </w:p>
        </w:tc>
        <w:tc>
          <w:p>
            <w:pPr>
              <w:pStyle w:val="Compact"/>
              <w:jc w:val="left"/>
            </w:pPr>
            <w:r>
              <w:t xml:space="preserve">Cashier must clear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cancellation blocked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Production completed</w:t>
            </w:r>
          </w:p>
        </w:tc>
        <w:tc>
          <w:p>
            <w:pPr>
              <w:pStyle w:val="Compact"/>
              <w:jc w:val="left"/>
            </w:pPr>
            <w:r>
              <w:t xml:space="preserve">Use Unproduced meterage or Other with evidence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.2-cashier-desk-extended-procedures"/>
      <w:r>
        <w:t xml:space="preserve">E.2 CASHIER DESK — EXTENDED PROCEDURES</w:t>
      </w:r>
      <w:bookmarkEnd w:id="26"/>
    </w:p>
    <w:p>
      <w:pPr>
        <w:pStyle w:val="Heading3"/>
      </w:pPr>
      <w:bookmarkStart w:id="27" w:name="e.2.1-treasury-account-selection-guide"/>
      <w:r>
        <w:t xml:space="preserve">E.2.1 Treasury Account Selection Guide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Treasury 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at office</w:t>
            </w:r>
          </w:p>
        </w:tc>
        <w:tc>
          <w:p>
            <w:pPr>
              <w:pStyle w:val="Compact"/>
              <w:jc w:val="left"/>
            </w:pPr>
            <w:r>
              <w:t xml:space="preserve">Cash Safe — [Branch Name]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transfer</w:t>
            </w:r>
          </w:p>
        </w:tc>
        <w:tc>
          <w:p>
            <w:pPr>
              <w:pStyle w:val="Compact"/>
              <w:jc w:val="left"/>
            </w:pPr>
            <w:r>
              <w:t xml:space="preserve">Designated collection account (GTBank, Access,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 card payment</w:t>
            </w:r>
          </w:p>
        </w:tc>
        <w:tc>
          <w:p>
            <w:pPr>
              <w:pStyle w:val="Compact"/>
              <w:jc w:val="left"/>
            </w:pPr>
            <w:r>
              <w:t xml:space="preserve">POS settlement 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Cheque</w:t>
            </w:r>
          </w:p>
        </w:tc>
        <w:tc>
          <w:p>
            <w:pPr>
              <w:pStyle w:val="Compact"/>
              <w:jc w:val="left"/>
            </w:pPr>
            <w:r>
              <w:t xml:space="preserve">Cheque clearing account (if configured)</w:t>
            </w:r>
          </w:p>
        </w:tc>
      </w:tr>
    </w:tbl>
    <w:p>
      <w:pPr>
        <w:pStyle w:val="BodyText"/>
      </w:pPr>
      <w:r>
        <w:rPr>
          <w:b/>
        </w:rPr>
        <w:t xml:space="preserve">Wrong account selection:</w:t>
      </w:r>
      <w:r>
        <w:t xml:space="preserve"> </w:t>
      </w:r>
      <w:r>
        <w:t xml:space="preserve">Reverse receipt; re-post to correct account. Do not leave misclassified.</w:t>
      </w:r>
    </w:p>
    <w:p>
      <w:pPr>
        <w:pStyle w:val="Heading3"/>
      </w:pPr>
      <w:bookmarkStart w:id="28" w:name="e.2.2-partial-receipt-scenarios"/>
      <w:r>
        <w:t xml:space="preserve">E.2.2 Partial Receipt Scenarios</w:t>
      </w:r>
      <w:bookmarkEnd w:id="28"/>
    </w:p>
    <w:p>
      <w:pPr>
        <w:pStyle w:val="FirstParagraph"/>
      </w:pPr>
      <w:r>
        <w:rPr>
          <w:b/>
        </w:rPr>
        <w:t xml:space="preserve">Customer pays in instalments:</w:t>
      </w:r>
      <w:r>
        <w:t xml:space="preserve"> </w:t>
      </w:r>
      <w:r>
        <w:t xml:space="preserve">1. Each instalment = separate receipt line on same quotation.</w:t>
      </w:r>
      <w:r>
        <w:t xml:space="preserve"> </w:t>
      </w:r>
      <w:r>
        <w:t xml:space="preserve">2. Never combine two physical payments into one receipt with wrong date.</w:t>
      </w:r>
      <w:r>
        <w:t xml:space="preserve"> </w:t>
      </w:r>
      <w:r>
        <w:t xml:space="preserve">3. Payment status updates cumulatively: Partial until ≥99.5% paid.</w:t>
      </w:r>
    </w:p>
    <w:p>
      <w:pPr>
        <w:pStyle w:val="BodyText"/>
      </w:pPr>
      <w:r>
        <w:rPr>
          <w:b/>
        </w:rPr>
        <w:t xml:space="preserve">Customer overpays:</w:t>
      </w:r>
      <w:r>
        <w:t xml:space="preserve"> </w:t>
      </w:r>
      <w:r>
        <w:t xml:space="preserve">1. Post full amount received.</w:t>
      </w:r>
      <w:r>
        <w:t xml:space="preserve"> </w:t>
      </w:r>
      <w:r>
        <w:t xml:space="preserve">2. System may create overpayment balance.</w:t>
      </w:r>
      <w:r>
        <w:t xml:space="preserve"> </w:t>
      </w:r>
      <w:r>
        <w:t xml:space="preserve">3. Options: apply to next quotation, refund overpayment, or hold as advance.</w:t>
      </w:r>
    </w:p>
    <w:p>
      <w:pPr>
        <w:pStyle w:val="Heading3"/>
      </w:pPr>
      <w:bookmarkStart w:id="29" w:name="X9d92c51369e5f046fb901d41b469ca69d753669"/>
      <w:r>
        <w:t xml:space="preserve">E.2.3 End-of-Day Reconciliation Form (Paper Backup)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Cashier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Opening cash balance (system)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Opening cash balance (physical)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receipts confirmed today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payouts today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 cash balance (system)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 cash balance (physical)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Variance</w:t>
            </w:r>
          </w:p>
        </w:tc>
        <w:tc>
          <w:p>
            <w:pPr>
              <w:pStyle w:val="Compact"/>
              <w:jc w:val="left"/>
            </w:pPr>
            <w:r>
              <w:t xml:space="preserve">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p>
            <w:pPr>
              <w:pStyle w:val="Compact"/>
              <w:jc w:val="left"/>
            </w:pPr>
            <w:r>
              <w:t xml:space="preserve">Cashier / BM</w:t>
            </w:r>
          </w:p>
        </w:tc>
      </w:tr>
    </w:tbl>
    <w:p>
      <w:pPr>
        <w:pStyle w:val="BodyText"/>
      </w:pPr>
      <w:r>
        <w:t xml:space="preserve">Retain paper form 90 days even when system reconciled.</w:t>
      </w:r>
    </w:p>
    <w:p>
      <w:pPr>
        <w:pStyle w:val="Heading3"/>
      </w:pPr>
      <w:bookmarkStart w:id="30" w:name="e.2.4-cashier-troubleshooting"/>
      <w:r>
        <w:t xml:space="preserve">E.2.4 Cashier Troubleshooting</w:t>
      </w:r>
      <w:bookmarkEnd w:id="30"/>
    </w:p>
    <w:tbl>
      <w:tblPr>
        <w:tblStyle w:val="Table"/>
        <w:tblW w:type="pct" w:w="5000.0"/>
        <w:tblLook w:firstRow="1"/>
      </w:tblPr>
      <w:tblGrid>
        <w:gridCol w:w="2917"/>
        <w:gridCol w:w="50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Cannot confirm receipt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cashier.receipts.confirm</w:t>
            </w:r>
            <w:r>
              <w:t xml:space="preserve"> </w:t>
            </w:r>
            <w:r>
              <w:t xml:space="preserve">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 pay button disabled</w:t>
            </w:r>
          </w:p>
        </w:tc>
        <w:tc>
          <w:p>
            <w:pPr>
              <w:pStyle w:val="Compact"/>
              <w:jc w:val="left"/>
            </w:pPr>
            <w:r>
              <w:t xml:space="preserve">Check approver ≠ you; verify Approved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Treasury balance negative</w:t>
            </w:r>
          </w:p>
        </w:tc>
        <w:tc>
          <w:p>
            <w:pPr>
              <w:pStyle w:val="Compact"/>
              <w:jc w:val="left"/>
            </w:pPr>
            <w:r>
              <w:t xml:space="preserve">Escalate Finance Manager — data or sequencing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receipt error</w:t>
            </w:r>
          </w:p>
        </w:tc>
        <w:tc>
          <w:p>
            <w:pPr>
              <w:pStyle w:val="Compact"/>
              <w:jc w:val="left"/>
            </w:pPr>
            <w:r>
              <w:t xml:space="preserve">Verify not already posted; use override only with BM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 closed error</w:t>
            </w:r>
          </w:p>
        </w:tc>
        <w:tc>
          <w:p>
            <w:pPr>
              <w:pStyle w:val="Compact"/>
              <w:jc w:val="left"/>
            </w:pPr>
            <w:r>
              <w:t xml:space="preserve">Finance must open period or use current date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.3-accounting-desk-extended-procedures"/>
      <w:r>
        <w:t xml:space="preserve">E.3 ACCOUNTING DESK — EXTENDED PROCEDURES</w:t>
      </w:r>
      <w:bookmarkEnd w:id="31"/>
    </w:p>
    <w:p>
      <w:pPr>
        <w:pStyle w:val="Heading3"/>
      </w:pPr>
      <w:bookmarkStart w:id="32" w:name="e.3.1-manual-journal-entry"/>
      <w:r>
        <w:t xml:space="preserve">E.3.1 Manual Journal Entry</w:t>
      </w:r>
      <w:bookmarkEnd w:id="32"/>
    </w:p>
    <w:p>
      <w:pPr>
        <w:pStyle w:val="FirstParagraph"/>
      </w:pPr>
      <w:r>
        <w:t xml:space="preserve">When required (corrections, accruals, reclassifications):</w:t>
      </w:r>
    </w:p>
    <w:p>
      <w:pPr>
        <w:numPr>
          <w:ilvl w:val="0"/>
          <w:numId w:val="1003"/>
        </w:numPr>
        <w:pStyle w:val="Compact"/>
      </w:pPr>
      <w:r>
        <w:t xml:space="preserve">Accounting desk → GL → Manual journal.</w:t>
      </w:r>
    </w:p>
    <w:p>
      <w:pPr>
        <w:numPr>
          <w:ilvl w:val="0"/>
          <w:numId w:val="1003"/>
        </w:numPr>
        <w:pStyle w:val="Compact"/>
      </w:pPr>
      <w:r>
        <w:t xml:space="preserve">Enter period key (YYYY-MM) — must be open.</w:t>
      </w:r>
    </w:p>
    <w:p>
      <w:pPr>
        <w:numPr>
          <w:ilvl w:val="0"/>
          <w:numId w:val="1003"/>
        </w:numPr>
        <w:pStyle w:val="Compact"/>
      </w:pPr>
      <w:r>
        <w:t xml:space="preserve">Add lines: account code, debit/credit, description, reference.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Debits must equal credits.</w:t>
      </w:r>
    </w:p>
    <w:p>
      <w:pPr>
        <w:numPr>
          <w:ilvl w:val="0"/>
          <w:numId w:val="1003"/>
        </w:numPr>
        <w:pStyle w:val="Compact"/>
      </w:pPr>
      <w:r>
        <w:t xml:space="preserve">Post → journal ID assigned.</w:t>
      </w:r>
    </w:p>
    <w:p>
      <w:pPr>
        <w:numPr>
          <w:ilvl w:val="0"/>
          <w:numId w:val="1003"/>
        </w:numPr>
        <w:pStyle w:val="Compact"/>
      </w:pPr>
      <w:r>
        <w:t xml:space="preserve">Document supporting memo in office dossier.</w:t>
      </w:r>
    </w:p>
    <w:p>
      <w:pPr>
        <w:pStyle w:val="FirstParagraph"/>
      </w:pPr>
      <w:r>
        <w:rPr>
          <w:b/>
        </w:rPr>
        <w:t xml:space="preserve">Restrictions:</w:t>
      </w:r>
      <w:r>
        <w:t xml:space="preserve"> </w:t>
      </w:r>
      <w:r>
        <w:t xml:space="preserve">No manual journals to Revenue (4000) for customer sales — use AP1c production path.</w:t>
      </w:r>
    </w:p>
    <w:p>
      <w:pPr>
        <w:pStyle w:val="Heading3"/>
      </w:pPr>
      <w:bookmarkStart w:id="33" w:name="e.3.2-opening-pack-new-branch-cutover"/>
      <w:r>
        <w:t xml:space="preserve">E.3.2 Opening Pack (New Branch / Cutover)</w:t>
      </w:r>
      <w:bookmarkEnd w:id="33"/>
    </w:p>
    <w:p>
      <w:pPr>
        <w:pStyle w:val="FirstParagraph"/>
      </w:pPr>
      <w:r>
        <w:t xml:space="preserve">For new branch go-live or accounting cutover:</w:t>
      </w:r>
    </w:p>
    <w:p>
      <w:pPr>
        <w:numPr>
          <w:ilvl w:val="0"/>
          <w:numId w:val="1004"/>
        </w:numPr>
        <w:pStyle w:val="Compact"/>
      </w:pPr>
      <w:r>
        <w:t xml:space="preserve">Accounting → Opening Pack.</w:t>
      </w:r>
    </w:p>
    <w:p>
      <w:pPr>
        <w:numPr>
          <w:ilvl w:val="0"/>
          <w:numId w:val="1004"/>
        </w:numPr>
        <w:pStyle w:val="Compact"/>
      </w:pPr>
      <w:r>
        <w:t xml:space="preserve">Register roll-up: enter opening balances per GL account.</w:t>
      </w:r>
    </w:p>
    <w:p>
      <w:pPr>
        <w:numPr>
          <w:ilvl w:val="0"/>
          <w:numId w:val="1004"/>
        </w:numPr>
        <w:pStyle w:val="Compact"/>
      </w:pPr>
      <w:r>
        <w:t xml:space="preserve">Capital entry if applicable.</w:t>
      </w:r>
    </w:p>
    <w:p>
      <w:pPr>
        <w:numPr>
          <w:ilvl w:val="0"/>
          <w:numId w:val="1004"/>
        </w:numPr>
        <w:pStyle w:val="Compact"/>
      </w:pPr>
      <w:r>
        <w:t xml:space="preserve">One balanced journal post to establish opening position.</w:t>
      </w:r>
    </w:p>
    <w:p>
      <w:pPr>
        <w:numPr>
          <w:ilvl w:val="0"/>
          <w:numId w:val="1004"/>
        </w:numPr>
        <w:pStyle w:val="Compact"/>
      </w:pPr>
      <w:r>
        <w:t xml:space="preserve">Verify trial balance before first operational posting.</w:t>
      </w:r>
    </w:p>
    <w:p>
      <w:pPr>
        <w:pStyle w:val="Heading3"/>
      </w:pPr>
      <w:bookmarkStart w:id="34" w:name="e.3.3-ap1c-dry-run-procedure"/>
      <w:r>
        <w:t xml:space="preserve">E.3.3 AP1c Dry-Run Procedure</w:t>
      </w:r>
      <w:bookmarkEnd w:id="34"/>
    </w:p>
    <w:p>
      <w:pPr>
        <w:pStyle w:val="FirstParagraph"/>
      </w:pPr>
      <w:r>
        <w:t xml:space="preserve">Before enabling AP1c in production:</w:t>
      </w:r>
    </w:p>
    <w:p>
      <w:pPr>
        <w:numPr>
          <w:ilvl w:val="0"/>
          <w:numId w:val="1005"/>
        </w:numPr>
        <w:pStyle w:val="Compact"/>
      </w:pPr>
      <w:r>
        <w:t xml:space="preserve">Accounting → AP1c → Dry run.</w:t>
      </w:r>
    </w:p>
    <w:p>
      <w:pPr>
        <w:numPr>
          <w:ilvl w:val="0"/>
          <w:numId w:val="1005"/>
        </w:numPr>
        <w:pStyle w:val="Compact"/>
      </w:pPr>
      <w:r>
        <w:t xml:space="preserve">Select date range with completed production jobs.</w:t>
      </w:r>
    </w:p>
    <w:p>
      <w:pPr>
        <w:numPr>
          <w:ilvl w:val="0"/>
          <w:numId w:val="1005"/>
        </w:numPr>
        <w:pStyle w:val="Compact"/>
      </w:pPr>
      <w:r>
        <w:t xml:space="preserve">Review proposed GL entries without posting.</w:t>
      </w:r>
    </w:p>
    <w:p>
      <w:pPr>
        <w:numPr>
          <w:ilvl w:val="0"/>
          <w:numId w:val="1005"/>
        </w:numPr>
        <w:pStyle w:val="Compact"/>
      </w:pPr>
      <w:r>
        <w:t xml:space="preserve">Compare to expected revenue from production report.</w:t>
      </w:r>
    </w:p>
    <w:p>
      <w:pPr>
        <w:numPr>
          <w:ilvl w:val="0"/>
          <w:numId w:val="1005"/>
        </w:numPr>
        <w:pStyle w:val="Compact"/>
      </w:pPr>
      <w:r>
        <w:t xml:space="preserve">Resolve discrepancies with IT if systematic.</w:t>
      </w:r>
    </w:p>
    <w:p>
      <w:pPr>
        <w:numPr>
          <w:ilvl w:val="0"/>
          <w:numId w:val="1005"/>
        </w:numPr>
        <w:pStyle w:val="Compact"/>
      </w:pPr>
      <w:r>
        <w:t xml:space="preserve">MD and Finance Manager sign cutover memo.</w:t>
      </w:r>
    </w:p>
    <w:p>
      <w:pPr>
        <w:numPr>
          <w:ilvl w:val="0"/>
          <w:numId w:val="1005"/>
        </w:numPr>
        <w:pStyle w:val="Compact"/>
      </w:pPr>
      <w:r>
        <w:t xml:space="preserve">Enable AP1c posting.</w:t>
      </w:r>
    </w:p>
    <w:p>
      <w:pPr>
        <w:pStyle w:val="Heading3"/>
      </w:pPr>
      <w:bookmarkStart w:id="35" w:name="e.3.4-month-end-journal-entries-standard"/>
      <w:r>
        <w:t xml:space="preserve">E.3.4 Month-End Journal Entries (Standard)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p>
            <w:pPr>
              <w:pStyle w:val="Compact"/>
              <w:jc w:val="left"/>
            </w:pPr>
            <w:r>
              <w:t xml:space="preserve">6100</w:t>
            </w:r>
          </w:p>
        </w:tc>
        <w:tc>
          <w:p>
            <w:pPr>
              <w:pStyle w:val="Compact"/>
              <w:jc w:val="left"/>
            </w:pPr>
            <w:r>
              <w:t xml:space="preserve">Accumulated Dep</w:t>
            </w:r>
          </w:p>
        </w:tc>
        <w:tc>
          <w:p>
            <w:pPr>
              <w:pStyle w:val="Compact"/>
              <w:jc w:val="left"/>
            </w:pPr>
            <w:r>
              <w:t xml:space="preserve">Depreciation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Closing stock</w:t>
            </w:r>
          </w:p>
        </w:tc>
        <w:tc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p>
            <w:pPr>
              <w:pStyle w:val="Compact"/>
              <w:jc w:val="left"/>
            </w:pPr>
            <w:r>
              <w:t xml:space="preserve">Stock register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accrual</w:t>
            </w:r>
          </w:p>
        </w:tc>
        <w:tc>
          <w:p>
            <w:pPr>
              <w:pStyle w:val="Compact"/>
              <w:jc w:val="left"/>
            </w:pPr>
            <w:r>
              <w:t xml:space="preserve">6000/6110</w:t>
            </w:r>
          </w:p>
        </w:tc>
        <w:tc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p>
            <w:pPr>
              <w:pStyle w:val="Compact"/>
              <w:jc w:val="left"/>
            </w:pPr>
            <w:r>
              <w:t xml:space="preserve">Payroll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Pension accrual</w:t>
            </w:r>
          </w:p>
        </w:tc>
        <w:tc>
          <w:p>
            <w:pPr>
              <w:pStyle w:val="Compact"/>
              <w:jc w:val="left"/>
            </w:pPr>
            <w:r>
              <w:t xml:space="preserve">6110</w:t>
            </w:r>
          </w:p>
        </w:tc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t xml:space="preserve">Payroll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charges</w:t>
            </w:r>
          </w:p>
        </w:tc>
        <w:tc>
          <w:p>
            <w:pPr>
              <w:pStyle w:val="Compact"/>
              <w:jc w:val="left"/>
            </w:pPr>
            <w:r>
              <w:t xml:space="preserve">6170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Bank rec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e.4-operations-extended-procedures"/>
      <w:r>
        <w:t xml:space="preserve">E.4 OPERATIONS — EXTENDED PROCEDURES</w:t>
      </w:r>
      <w:bookmarkEnd w:id="36"/>
    </w:p>
    <w:p>
      <w:pPr>
        <w:pStyle w:val="Heading3"/>
      </w:pPr>
      <w:bookmarkStart w:id="37" w:name="e.4.1-coil-specification-matching"/>
      <w:r>
        <w:t xml:space="preserve">E.4.1 Coil Specification Matching</w:t>
      </w:r>
      <w:bookmarkEnd w:id="37"/>
    </w:p>
    <w:p>
      <w:pPr>
        <w:pStyle w:val="FirstParagraph"/>
      </w:pPr>
      <w:r>
        <w:t xml:space="preserve">Before allocating coil to job, verify: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Quotation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Coil Lot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Match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Gauge 0.45 mm</w:t>
            </w:r>
          </w:p>
        </w:tc>
        <w:tc>
          <w:p>
            <w:pPr>
              <w:pStyle w:val="Compact"/>
              <w:jc w:val="left"/>
            </w:pPr>
            <w:r>
              <w:t xml:space="preserve">Gauge 0.45 mm</w:t>
            </w:r>
          </w:p>
        </w:tc>
        <w:tc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Charcoal Grey</w:t>
            </w:r>
          </w:p>
        </w:tc>
        <w:tc>
          <w:p>
            <w:pPr>
              <w:pStyle w:val="Compact"/>
              <w:jc w:val="left"/>
            </w:pPr>
            <w:r>
              <w:t xml:space="preserve">Charcoal Grey</w:t>
            </w:r>
          </w:p>
        </w:tc>
        <w:tc>
          <w:p>
            <w:pPr>
              <w:pStyle w:val="Compact"/>
              <w:jc w:val="left"/>
            </w:pPr>
            <w:r>
              <w:t xml:space="preserve">Exact (or approved substitute)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Long-span profile</w:t>
            </w:r>
          </w:p>
        </w:tc>
        <w:tc>
          <w:p>
            <w:pPr>
              <w:pStyle w:val="Compact"/>
              <w:jc w:val="left"/>
            </w:pPr>
            <w:r>
              <w:t xml:space="preserve">Compatible profile</w:t>
            </w:r>
          </w:p>
        </w:tc>
        <w:tc>
          <w:p>
            <w:pPr>
              <w:pStyle w:val="Compact"/>
              <w:jc w:val="left"/>
            </w:pPr>
            <w:r>
              <w:t xml:space="preserve">Per substitution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Aluzinc</w:t>
            </w:r>
          </w:p>
        </w:tc>
        <w:tc>
          <w:p>
            <w:pPr>
              <w:pStyle w:val="Compact"/>
              <w:jc w:val="left"/>
            </w:pPr>
            <w:r>
              <w:t xml:space="preserve">Aluzinc or aluminium</w:t>
            </w:r>
          </w:p>
        </w:tc>
        <w:tc>
          <w:p>
            <w:pPr>
              <w:pStyle w:val="Compact"/>
              <w:jc w:val="left"/>
            </w:pPr>
            <w:r>
              <w:t xml:space="preserve">Per quotation line</w:t>
            </w:r>
          </w:p>
        </w:tc>
      </w:tr>
    </w:tbl>
    <w:p>
      <w:pPr>
        <w:pStyle w:val="BodyText"/>
      </w:pPr>
      <w:r>
        <w:rPr>
          <w:b/>
        </w:rPr>
        <w:t xml:space="preserve">Substitution:</w:t>
      </w:r>
      <w:r>
        <w:t xml:space="preserve"> </w:t>
      </w:r>
      <w:r>
        <w:t xml:space="preserve">If coil colour/gauge substituted, sales must document on quotation; may affect refund if price difference.</w:t>
      </w:r>
    </w:p>
    <w:p>
      <w:pPr>
        <w:pStyle w:val="Heading3"/>
      </w:pPr>
      <w:bookmarkStart w:id="38" w:name="e.4.2-stone-coated-production"/>
      <w:r>
        <w:t xml:space="preserve">E.4.2 Stone-Coated Production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Stone lines tracked in sheets; system converts via</w:t>
      </w:r>
      <w:r>
        <w:t xml:space="preserve"> </w:t>
      </w:r>
      <w:r>
        <w:rPr>
          <w:rStyle w:val="VerbatimChar"/>
        </w:rPr>
        <w:t xml:space="preserve">stoneFlatsheetSheetsToM2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production_job_stone_flatsheet_usage</w:t>
      </w:r>
      <w:r>
        <w:t xml:space="preserve"> </w:t>
      </w:r>
      <w:r>
        <w:t xml:space="preserve">records consumption.</w:t>
      </w:r>
    </w:p>
    <w:p>
      <w:pPr>
        <w:numPr>
          <w:ilvl w:val="0"/>
          <w:numId w:val="1006"/>
        </w:numPr>
        <w:pStyle w:val="Compact"/>
      </w:pPr>
      <w:r>
        <w:t xml:space="preserve">Stone inventory separate from coil register.</w:t>
      </w:r>
    </w:p>
    <w:p>
      <w:pPr>
        <w:numPr>
          <w:ilvl w:val="0"/>
          <w:numId w:val="1006"/>
        </w:numPr>
        <w:pStyle w:val="Compact"/>
      </w:pPr>
      <w:r>
        <w:t xml:space="preserve">GRN stone materials via Procurement stone PO.</w:t>
      </w:r>
    </w:p>
    <w:p>
      <w:pPr>
        <w:pStyle w:val="Heading3"/>
      </w:pPr>
      <w:bookmarkStart w:id="39" w:name="e.4.3-accessory-fulfillment"/>
      <w:r>
        <w:t xml:space="preserve">E.4.3 Accessory Fulfillment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production_job_accessory_usage</w:t>
      </w:r>
      <w:r>
        <w:t xml:space="preserve"> </w:t>
      </w:r>
      <w:r>
        <w:t xml:space="preserve">links accessories to job.</w:t>
      </w:r>
    </w:p>
    <w:p>
      <w:pPr>
        <w:numPr>
          <w:ilvl w:val="0"/>
          <w:numId w:val="1007"/>
        </w:numPr>
        <w:pStyle w:val="Compact"/>
      </w:pPr>
      <w:r>
        <w:t xml:space="preserve">Partial fulfillment across multiple deliveries supported.</w:t>
      </w:r>
    </w:p>
    <w:p>
      <w:pPr>
        <w:numPr>
          <w:ilvl w:val="0"/>
          <w:numId w:val="1007"/>
        </w:numPr>
        <w:pStyle w:val="Compact"/>
      </w:pPr>
      <w:r>
        <w:t xml:space="preserve">Shortfall may trigger refund category Accessory shortfall.</w:t>
      </w:r>
    </w:p>
    <w:p>
      <w:pPr>
        <w:pStyle w:val="Heading3"/>
      </w:pPr>
      <w:bookmarkStart w:id="40" w:name="e.4.4-yard-coil-vs-store-coil"/>
      <w:r>
        <w:t xml:space="preserve">E.4.4 Yard Coil vs Store Coil</w:t>
      </w:r>
      <w:bookmarkEnd w:id="4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Yard coils:</w:t>
      </w:r>
      <w:r>
        <w:t xml:space="preserve"> </w:t>
      </w:r>
      <w:r>
        <w:rPr>
          <w:rStyle w:val="VerbatimChar"/>
        </w:rPr>
        <w:t xml:space="preserve">yard_coils</w:t>
      </w:r>
      <w:r>
        <w:t xml:space="preserve"> </w:t>
      </w:r>
      <w:r>
        <w:t xml:space="preserve">— outdoor storage register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Store coils:</w:t>
      </w:r>
      <w:r>
        <w:t xml:space="preserve"> </w:t>
      </w:r>
      <w:r>
        <w:rPr>
          <w:rStyle w:val="VerbatimChar"/>
        </w:rPr>
        <w:t xml:space="preserve">coil_lots</w:t>
      </w:r>
      <w:r>
        <w:t xml:space="preserve"> </w:t>
      </w:r>
      <w:r>
        <w:t xml:space="preserve">— production-ready register</w:t>
      </w:r>
    </w:p>
    <w:p>
      <w:pPr>
        <w:numPr>
          <w:ilvl w:val="0"/>
          <w:numId w:val="1008"/>
        </w:numPr>
        <w:pStyle w:val="Compact"/>
      </w:pPr>
      <w:r>
        <w:t xml:space="preserve">Transfer yard → store via coil control event before production allocation.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e.5-production-extended-procedures"/>
      <w:r>
        <w:t xml:space="preserve">E.5 PRODUCTION — EXTENDED PROCEDURES</w:t>
      </w:r>
      <w:bookmarkEnd w:id="41"/>
    </w:p>
    <w:p>
      <w:pPr>
        <w:pStyle w:val="Heading3"/>
      </w:pPr>
      <w:bookmarkStart w:id="42" w:name="e.5.1-conversion-variance-deep-dive"/>
      <w:r>
        <w:t xml:space="preserve">E.5.1 Conversion Variance Deep Dive</w:t>
      </w:r>
      <w:bookmarkEnd w:id="42"/>
    </w:p>
    <w:p>
      <w:pPr>
        <w:pStyle w:val="FirstParagraph"/>
      </w:pPr>
      <w:r>
        <w:t xml:space="preserve">Theoretical metres = coil kg consumed ÷ standard kg/m (from conversion table per gauge).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Variance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0–3%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Complete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3–5%</w:t>
            </w:r>
          </w:p>
        </w:tc>
        <w:tc>
          <w:p>
            <w:pPr>
              <w:pStyle w:val="Compact"/>
              <w:jc w:val="left"/>
            </w:pPr>
            <w:r>
              <w:t xml:space="preserve">OK (watch)</w:t>
            </w:r>
          </w:p>
        </w:tc>
        <w:tc>
          <w:p>
            <w:pPr>
              <w:pStyle w:val="Compact"/>
              <w:jc w:val="left"/>
            </w:pPr>
            <w:r>
              <w:t xml:space="preserve">Note on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5–10%</w:t>
            </w:r>
          </w:p>
        </w:tc>
        <w:tc>
          <w:p>
            <w:pPr>
              <w:pStyle w:val="Compact"/>
              <w:jc w:val="left"/>
            </w:pPr>
            <w:r>
              <w:t xml:space="preserve">High or Low</w:t>
            </w:r>
          </w:p>
        </w:tc>
        <w:tc>
          <w:p>
            <w:pPr>
              <w:pStyle w:val="Compact"/>
              <w:jc w:val="left"/>
            </w:pPr>
            <w:r>
              <w:t xml:space="preserve">Select reason; BM/QCO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p>
            <w:pPr>
              <w:pStyle w:val="Compact"/>
              <w:jc w:val="left"/>
            </w:pPr>
            <w:r>
              <w:t xml:space="preserve">High or Low</w:t>
            </w:r>
          </w:p>
        </w:tc>
        <w:tc>
          <w:p>
            <w:pPr>
              <w:pStyle w:val="Compact"/>
              <w:jc w:val="left"/>
            </w:pPr>
            <w:r>
              <w:t xml:space="preserve">Mandatory investigation; material incident if defect</w:t>
            </w:r>
          </w:p>
        </w:tc>
      </w:tr>
    </w:tbl>
    <w:p>
      <w:pPr>
        <w:pStyle w:val="Heading3"/>
      </w:pPr>
      <w:bookmarkStart w:id="43" w:name="e.5.2-multi-coil-jobs"/>
      <w:r>
        <w:t xml:space="preserve">E.5.2 Multi-Coil Jobs</w:t>
      </w:r>
      <w:bookmarkEnd w:id="43"/>
    </w:p>
    <w:p>
      <w:pPr>
        <w:pStyle w:val="FirstParagraph"/>
      </w:pPr>
      <w:r>
        <w:t xml:space="preserve">Large orders may span multiple coils:</w:t>
      </w:r>
    </w:p>
    <w:p>
      <w:pPr>
        <w:numPr>
          <w:ilvl w:val="0"/>
          <w:numId w:val="1009"/>
        </w:numPr>
        <w:pStyle w:val="Compact"/>
      </w:pPr>
      <w:r>
        <w:t xml:space="preserve">Allocate coil 1 → partial production → return unused kg.</w:t>
      </w:r>
    </w:p>
    <w:p>
      <w:pPr>
        <w:numPr>
          <w:ilvl w:val="0"/>
          <w:numId w:val="1009"/>
        </w:numPr>
        <w:pStyle w:val="Compact"/>
      </w:pPr>
      <w:r>
        <w:t xml:space="preserve">Allocate coil 2 → continue until total metres reached.</w:t>
      </w:r>
    </w:p>
    <w:p>
      <w:pPr>
        <w:numPr>
          <w:ilvl w:val="0"/>
          <w:numId w:val="1009"/>
        </w:numPr>
        <w:pStyle w:val="Compact"/>
      </w:pPr>
      <w:r>
        <w:t xml:space="preserve">Each allocation logged in</w:t>
      </w:r>
      <w:r>
        <w:t xml:space="preserve"> </w:t>
      </w:r>
      <w:r>
        <w:rPr>
          <w:rStyle w:val="VerbatimChar"/>
        </w:rPr>
        <w:t xml:space="preserve">production_job_coils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Total consumption = sum across coils.</w:t>
      </w:r>
    </w:p>
    <w:p>
      <w:pPr>
        <w:pStyle w:val="Heading3"/>
      </w:pPr>
      <w:bookmarkStart w:id="44" w:name="e.5.3-job-cancellation"/>
      <w:r>
        <w:t xml:space="preserve">E.5.3 Job Cancellation</w:t>
      </w:r>
      <w:bookmarkEnd w:id="44"/>
    </w:p>
    <w:p>
      <w:pPr>
        <w:pStyle w:val="FirstParagraph"/>
      </w:pPr>
      <w:r>
        <w:t xml:space="preserve">If production cannot complete (coil defect, machine breakdown):</w:t>
      </w:r>
    </w:p>
    <w:p>
      <w:pPr>
        <w:numPr>
          <w:ilvl w:val="0"/>
          <w:numId w:val="1010"/>
        </w:numPr>
        <w:pStyle w:val="Compact"/>
      </w:pPr>
      <w:r>
        <w:t xml:space="preserve">Cancel job with reason (requires manager).</w:t>
      </w:r>
    </w:p>
    <w:p>
      <w:pPr>
        <w:numPr>
          <w:ilvl w:val="0"/>
          <w:numId w:val="1010"/>
        </w:numPr>
        <w:pStyle w:val="Compact"/>
      </w:pPr>
      <w:r>
        <w:t xml:space="preserve">Release coil reservations.</w:t>
      </w:r>
    </w:p>
    <w:p>
      <w:pPr>
        <w:numPr>
          <w:ilvl w:val="0"/>
          <w:numId w:val="1010"/>
        </w:numPr>
        <w:pStyle w:val="Compact"/>
      </w:pPr>
      <w:r>
        <w:t xml:space="preserve">WIP reversed per AP3 rules.</w:t>
      </w:r>
    </w:p>
    <w:p>
      <w:pPr>
        <w:numPr>
          <w:ilvl w:val="0"/>
          <w:numId w:val="1010"/>
        </w:numPr>
        <w:pStyle w:val="Compact"/>
      </w:pPr>
      <w:r>
        <w:t xml:space="preserve">Sales notified for customer communication.</w:t>
      </w:r>
    </w:p>
    <w:p>
      <w:pPr>
        <w:numPr>
          <w:ilvl w:val="0"/>
          <w:numId w:val="1010"/>
        </w:numPr>
        <w:pStyle w:val="Compact"/>
      </w:pPr>
      <w:r>
        <w:t xml:space="preserve">May trigger refund or re-scheduling.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e.6-procurement-extended-procedures"/>
      <w:r>
        <w:t xml:space="preserve">E.6 PROCUREMENT — EXTENDED PROCEDURES</w:t>
      </w:r>
      <w:bookmarkEnd w:id="45"/>
    </w:p>
    <w:p>
      <w:pPr>
        <w:pStyle w:val="Heading3"/>
      </w:pPr>
      <w:bookmarkStart w:id="46" w:name="e.6.1-supplier-evaluation-criteria"/>
      <w:r>
        <w:t xml:space="preserve">E.6.1 Supplier Evaluation Criteria</w:t>
      </w:r>
      <w:bookmarkEnd w:id="46"/>
    </w:p>
    <w:p>
      <w:pPr>
        <w:pStyle w:val="FirstParagraph"/>
      </w:pPr>
      <w:r>
        <w:t xml:space="preserve">Before adding new supplier to master: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 registration</w:t>
            </w:r>
          </w:p>
        </w:tc>
        <w:tc>
          <w:p>
            <w:pPr>
              <w:pStyle w:val="Compact"/>
              <w:jc w:val="left"/>
            </w:pPr>
            <w:r>
              <w:t xml:space="preserve">CAC certificate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 compliance</w:t>
            </w:r>
          </w:p>
        </w:tc>
        <w:tc>
          <w:p>
            <w:pPr>
              <w:pStyle w:val="Compact"/>
              <w:jc w:val="left"/>
            </w:pPr>
            <w:r>
              <w:t xml:space="preserve">TIN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certification</w:t>
            </w:r>
          </w:p>
        </w:tc>
        <w:tc>
          <w:p>
            <w:pPr>
              <w:pStyle w:val="Compact"/>
              <w:jc w:val="left"/>
            </w:pPr>
            <w:r>
              <w:t xml:space="preserve">Mill test certificates for coil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verification</w:t>
            </w:r>
          </w:p>
        </w:tc>
        <w:tc>
          <w:p>
            <w:pPr>
              <w:pStyle w:val="Compact"/>
              <w:jc w:val="left"/>
            </w:pPr>
            <w:r>
              <w:t xml:space="preserve">Bank letter or cancelled cheque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customers</w:t>
            </w:r>
          </w:p>
        </w:tc>
        <w:tc>
          <w:p>
            <w:pPr>
              <w:pStyle w:val="Compact"/>
              <w:jc w:val="left"/>
            </w:pPr>
            <w:r>
              <w:t xml:space="preserve">Minimum 2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competitiveness</w:t>
            </w:r>
          </w:p>
        </w:tc>
        <w:tc>
          <w:p>
            <w:pPr>
              <w:pStyle w:val="Compact"/>
              <w:jc w:val="left"/>
            </w:pPr>
            <w:r>
              <w:t xml:space="preserve">Comparison to 2 other quotes</w:t>
            </w:r>
          </w:p>
        </w:tc>
      </w:tr>
    </w:tbl>
    <w:p>
      <w:pPr>
        <w:pStyle w:val="BodyText"/>
      </w:pPr>
      <w:r>
        <w:t xml:space="preserve">MD approves new strategic suppliers.</w:t>
      </w:r>
    </w:p>
    <w:p>
      <w:pPr>
        <w:pStyle w:val="Heading3"/>
      </w:pPr>
      <w:bookmarkStart w:id="47" w:name="e.6.2-coil-po-specification-template"/>
      <w:r>
        <w:t xml:space="preserve">E.6.2 Coil PO Specification Template</w:t>
      </w:r>
      <w:bookmarkEnd w:id="47"/>
    </w:p>
    <w:p>
      <w:pPr>
        <w:pStyle w:val="FirstParagraph"/>
      </w:pPr>
      <w:r>
        <w:t xml:space="preserve">Every coil PO line must specify:</w:t>
      </w:r>
      <w:r>
        <w:t xml:space="preserve"> </w:t>
      </w:r>
      <w:r>
        <w:t xml:space="preserve">- Gauge (mm)</w:t>
      </w:r>
      <w:r>
        <w:t xml:space="preserve"> </w:t>
      </w:r>
      <w:r>
        <w:t xml:space="preserve">- Colour RAL or trade name</w:t>
      </w:r>
      <w:r>
        <w:t xml:space="preserve"> </w:t>
      </w:r>
      <w:r>
        <w:t xml:space="preserve">- Profile/design</w:t>
      </w:r>
      <w:r>
        <w:t xml:space="preserve"> </w:t>
      </w:r>
      <w:r>
        <w:t xml:space="preserve">- Total kg</w:t>
      </w:r>
      <w:r>
        <w:t xml:space="preserve"> </w:t>
      </w:r>
      <w:r>
        <w:t xml:space="preserve">- Price per kg (₦)</w:t>
      </w:r>
      <w:r>
        <w:t xml:space="preserve"> </w:t>
      </w:r>
      <w:r>
        <w:t xml:space="preserve">- Origin/mill if required</w:t>
      </w:r>
      <w:r>
        <w:t xml:space="preserve"> </w:t>
      </w:r>
      <w:r>
        <w:t xml:space="preserve">- Expected coil count (rolls)</w:t>
      </w:r>
      <w:r>
        <w:t xml:space="preserve"> </w:t>
      </w:r>
      <w:r>
        <w:t xml:space="preserve">- Tolerance (+/- % on weight)</w:t>
      </w:r>
    </w:p>
    <w:p>
      <w:pPr>
        <w:pStyle w:val="Heading3"/>
      </w:pPr>
      <w:bookmarkStart w:id="48" w:name="e.6.3-transport-agent-management"/>
      <w:r>
        <w:t xml:space="preserve">E.6.3 Transport Agent Management</w:t>
      </w:r>
      <w:bookmarkEnd w:id="48"/>
    </w:p>
    <w:p>
      <w:pPr>
        <w:numPr>
          <w:ilvl w:val="0"/>
          <w:numId w:val="1011"/>
        </w:numPr>
        <w:pStyle w:val="Compact"/>
      </w:pPr>
      <w:r>
        <w:t xml:space="preserve">Register agent with bank details and coverage routes.</w:t>
      </w:r>
    </w:p>
    <w:p>
      <w:pPr>
        <w:numPr>
          <w:ilvl w:val="0"/>
          <w:numId w:val="1011"/>
        </w:numPr>
        <w:pStyle w:val="Compact"/>
      </w:pPr>
      <w:r>
        <w:t xml:space="preserve">Link to PO transport field.</w:t>
      </w:r>
    </w:p>
    <w:p>
      <w:pPr>
        <w:numPr>
          <w:ilvl w:val="0"/>
          <w:numId w:val="1011"/>
        </w:numPr>
        <w:pStyle w:val="Compact"/>
      </w:pPr>
      <w:r>
        <w:t xml:space="preserve">Haulage cost part of landed cost (AP2).</w:t>
      </w:r>
    </w:p>
    <w:p>
      <w:pPr>
        <w:numPr>
          <w:ilvl w:val="0"/>
          <w:numId w:val="1011"/>
        </w:numPr>
        <w:pStyle w:val="Compact"/>
      </w:pPr>
      <w:r>
        <w:t xml:space="preserve">Transport catch-up tab reconciles in-transit vs agent invoices.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.7-hr-extended-procedures"/>
      <w:r>
        <w:t xml:space="preserve">E.7 HR — EXTENDED PROCEDURES</w:t>
      </w:r>
      <w:bookmarkEnd w:id="49"/>
    </w:p>
    <w:p>
      <w:pPr>
        <w:pStyle w:val="Heading3"/>
      </w:pPr>
      <w:bookmarkStart w:id="50" w:name="e.7.1-probation-review"/>
      <w:r>
        <w:t xml:space="preserve">E.7.1 Probation Review</w:t>
      </w:r>
      <w:bookmarkEnd w:id="50"/>
    </w:p>
    <w:p>
      <w:pPr>
        <w:pStyle w:val="FirstParagraph"/>
      </w:pPr>
      <w:r>
        <w:t xml:space="preserve">At probation end (default 6 months):</w:t>
      </w:r>
    </w:p>
    <w:p>
      <w:pPr>
        <w:numPr>
          <w:ilvl w:val="0"/>
          <w:numId w:val="1012"/>
        </w:numPr>
        <w:pStyle w:val="Compact"/>
      </w:pPr>
      <w:r>
        <w:t xml:space="preserve">HR Dashboard alerts approaching probation end.</w:t>
      </w:r>
    </w:p>
    <w:p>
      <w:pPr>
        <w:numPr>
          <w:ilvl w:val="0"/>
          <w:numId w:val="1012"/>
        </w:numPr>
        <w:pStyle w:val="Compact"/>
      </w:pPr>
      <w:r>
        <w:t xml:space="preserve">Line manager submits performance assessment.</w:t>
      </w:r>
    </w:p>
    <w:p>
      <w:pPr>
        <w:numPr>
          <w:ilvl w:val="0"/>
          <w:numId w:val="1012"/>
        </w:numPr>
        <w:pStyle w:val="Compact"/>
      </w:pPr>
      <w:r>
        <w:t xml:space="preserve">HR Admin records outcome:</w:t>
      </w:r>
    </w:p>
    <w:p>
      <w:pPr>
        <w:numPr>
          <w:ilvl w:val="1"/>
          <w:numId w:val="1013"/>
        </w:numPr>
        <w:pStyle w:val="Compact"/>
      </w:pPr>
      <w:r>
        <w:t xml:space="preserve">Confirm permanent employment</w:t>
      </w:r>
    </w:p>
    <w:p>
      <w:pPr>
        <w:numPr>
          <w:ilvl w:val="1"/>
          <w:numId w:val="1013"/>
        </w:numPr>
        <w:pStyle w:val="Compact"/>
      </w:pPr>
      <w:r>
        <w:t xml:space="preserve">Extend probation (max 3 months additional)</w:t>
      </w:r>
    </w:p>
    <w:p>
      <w:pPr>
        <w:numPr>
          <w:ilvl w:val="1"/>
          <w:numId w:val="1013"/>
        </w:numPr>
        <w:pStyle w:val="Compact"/>
      </w:pPr>
      <w:r>
        <w:t xml:space="preserve">Terminate (initiate exit clearance)</w:t>
      </w:r>
    </w:p>
    <w:p>
      <w:pPr>
        <w:numPr>
          <w:ilvl w:val="0"/>
          <w:numId w:val="101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probation_end_date</w:t>
      </w:r>
      <w:r>
        <w:t xml:space="preserve"> </w:t>
      </w:r>
      <w:r>
        <w:t xml:space="preserve">and employment status.</w:t>
      </w:r>
    </w:p>
    <w:p>
      <w:pPr>
        <w:pStyle w:val="Heading3"/>
      </w:pPr>
      <w:bookmarkStart w:id="51" w:name="e.7.2-id-card-request"/>
      <w:r>
        <w:t xml:space="preserve">E.7.2 ID Card Request</w:t>
      </w:r>
      <w:bookmarkEnd w:id="51"/>
    </w:p>
    <w:p>
      <w:pPr>
        <w:numPr>
          <w:ilvl w:val="0"/>
          <w:numId w:val="1014"/>
        </w:numPr>
        <w:pStyle w:val="Compact"/>
      </w:pPr>
      <w:r>
        <w:t xml:space="preserve">Employee → My HR → ID card → Request.</w:t>
      </w:r>
    </w:p>
    <w:p>
      <w:pPr>
        <w:numPr>
          <w:ilvl w:val="0"/>
          <w:numId w:val="1014"/>
        </w:numPr>
        <w:pStyle w:val="Compact"/>
      </w:pPr>
      <w:r>
        <w:t xml:space="preserve">HR verifies photo and details.</w:t>
      </w:r>
    </w:p>
    <w:p>
      <w:pPr>
        <w:numPr>
          <w:ilvl w:val="0"/>
          <w:numId w:val="1014"/>
        </w:numPr>
        <w:pStyle w:val="Compact"/>
      </w:pPr>
      <w:r>
        <w:t xml:space="preserve">Generate card from HR Documents hub.</w:t>
      </w:r>
    </w:p>
    <w:p>
      <w:pPr>
        <w:numPr>
          <w:ilvl w:val="0"/>
          <w:numId w:val="1014"/>
        </w:numPr>
        <w:pStyle w:val="Compact"/>
      </w:pPr>
      <w:r>
        <w:t xml:space="preserve">Record issuance date; charge replacement fee if lost (per policy).</w:t>
      </w:r>
    </w:p>
    <w:p>
      <w:pPr>
        <w:pStyle w:val="Heading3"/>
      </w:pPr>
      <w:bookmarkStart w:id="52" w:name="e.7.3-scholarship-staff-hr_portal_only"/>
      <w:r>
        <w:t xml:space="preserve">E.7.3 Scholarship Staff (hr_portal_only)</w:t>
      </w:r>
      <w:bookmarkEnd w:id="52"/>
    </w:p>
    <w:p>
      <w:pPr>
        <w:pStyle w:val="FirstParagraph"/>
      </w:pPr>
      <w:r>
        <w:t xml:space="preserve">Mining division / scholarship cohort:</w:t>
      </w:r>
      <w:r>
        <w:t xml:space="preserve"> </w:t>
      </w:r>
      <w:r>
        <w:t xml:space="preserve">- Access only</w:t>
      </w:r>
      <w:r>
        <w:t xml:space="preserve"> </w:t>
      </w:r>
      <w:r>
        <w:rPr>
          <w:rStyle w:val="VerbatimChar"/>
        </w:rPr>
        <w:t xml:space="preserve">/my-profile</w:t>
      </w:r>
      <w:r>
        <w:t xml:space="preserve"> </w:t>
      </w:r>
      <w:r>
        <w:t xml:space="preserve">scholarship sections</w:t>
      </w:r>
      <w:r>
        <w:t xml:space="preserve"> </w:t>
      </w:r>
      <w:r>
        <w:t xml:space="preserve">- Cannot access sales, operations, finance modules</w:t>
      </w:r>
      <w:r>
        <w:t xml:space="preserve"> </w:t>
      </w:r>
      <w:r>
        <w:t xml:space="preserve">- School fee requests via dedicated workflow</w:t>
      </w:r>
      <w:r>
        <w:t xml:space="preserve"> </w:t>
      </w:r>
      <w:r>
        <w:t xml:space="preserve">- Chairman/Executive HR approves payments</w:t>
      </w:r>
    </w:p>
    <w:p>
      <w:pPr>
        <w:pStyle w:val="Heading3"/>
      </w:pPr>
      <w:bookmarkStart w:id="53" w:name="e.7.4-domestic-staff-executive-hr"/>
      <w:r>
        <w:t xml:space="preserve">E.7.4 Domestic Staff (Executive HR)</w:t>
      </w:r>
      <w:bookmarkEnd w:id="53"/>
    </w:p>
    <w:p>
      <w:pPr>
        <w:pStyle w:val="FirstParagraph"/>
      </w:pPr>
      <w:r>
        <w:t xml:space="preserve">Chairman/CEO household staff:</w:t>
      </w:r>
      <w:r>
        <w:t xml:space="preserve"> </w:t>
      </w:r>
      <w:r>
        <w:t xml:space="preserve">- Managed under Executive HR → Family</w:t>
      </w:r>
      <w:r>
        <w:t xml:space="preserve"> </w:t>
      </w:r>
      <w:r>
        <w:t xml:space="preserve">- Separate payment workflow</w:t>
      </w:r>
      <w:r>
        <w:t xml:space="preserve"> </w:t>
      </w:r>
      <w:r>
        <w:t xml:space="preserve">- Not on branch payroll runs</w:t>
      </w:r>
      <w:r>
        <w:t xml:space="preserve"> </w:t>
      </w:r>
      <w:r>
        <w:t xml:space="preserve">- Confidential records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e.8-executive-extended-procedures"/>
      <w:r>
        <w:t xml:space="preserve">E.8 EXECUTIVE — EXTENDED PROCEDURES</w:t>
      </w:r>
      <w:bookmarkEnd w:id="54"/>
    </w:p>
    <w:p>
      <w:pPr>
        <w:pStyle w:val="Heading3"/>
      </w:pPr>
      <w:bookmarkStart w:id="55" w:name="e.8.1-setting-branch-sales-targets"/>
      <w:r>
        <w:t xml:space="preserve">E.8.1 Setting Branch Sales Targets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MD → Settings → Governance → Org manager targets.</w:t>
      </w:r>
    </w:p>
    <w:p>
      <w:pPr>
        <w:numPr>
          <w:ilvl w:val="0"/>
          <w:numId w:val="1015"/>
        </w:numPr>
        <w:pStyle w:val="Compact"/>
      </w:pPr>
      <w:r>
        <w:t xml:space="preserve">Set monthly sales target (₦) and production metres target per branch.</w:t>
      </w:r>
    </w:p>
    <w:p>
      <w:pPr>
        <w:numPr>
          <w:ilvl w:val="0"/>
          <w:numId w:val="1015"/>
        </w:numPr>
        <w:pStyle w:val="Compact"/>
      </w:pPr>
      <w:r>
        <w:t xml:space="preserve">Targets appear on Manager Dashboard pulse and Command Centre scorecard.</w:t>
      </w:r>
    </w:p>
    <w:p>
      <w:pPr>
        <w:numPr>
          <w:ilvl w:val="0"/>
          <w:numId w:val="1015"/>
        </w:numPr>
        <w:pStyle w:val="Compact"/>
      </w:pPr>
      <w:r>
        <w:t xml:space="preserve">Review monthly; adjust quarterly for seasonality.</w:t>
      </w:r>
    </w:p>
    <w:p>
      <w:pPr>
        <w:pStyle w:val="Heading3"/>
      </w:pPr>
      <w:bookmarkStart w:id="56" w:name="e.8.2-credit-policy-configuration"/>
      <w:r>
        <w:t xml:space="preserve">E.8.2 Credit Policy Configuration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Settings → Governance or org_policy_kv.</w:t>
      </w:r>
    </w:p>
    <w:p>
      <w:pPr>
        <w:numPr>
          <w:ilvl w:val="0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CREDIT_BRANCH_MANAGER_LIMIT_NGN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CREDIT_MD_REQUIRED_ABOVE_NGN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Set default and maximum credit terms days.</w:t>
      </w:r>
    </w:p>
    <w:p>
      <w:pPr>
        <w:numPr>
          <w:ilvl w:val="0"/>
          <w:numId w:val="1016"/>
        </w:numPr>
        <w:pStyle w:val="Compact"/>
      </w:pPr>
      <w:r>
        <w:t xml:space="preserve">Communicate to all sales staff via official notice.</w:t>
      </w:r>
    </w:p>
    <w:p>
      <w:pPr>
        <w:pStyle w:val="Heading3"/>
      </w:pPr>
      <w:bookmarkStart w:id="57" w:name="e.8.3-executive-benefit-payment-workflow"/>
      <w:r>
        <w:t xml:space="preserve">E.8.3 Executive Benefit Payment Workflow</w:t>
      </w:r>
      <w:bookmarkEnd w:id="57"/>
    </w:p>
    <w:p>
      <w:pPr>
        <w:pStyle w:val="SourceCode"/>
      </w:pPr>
      <w:r>
        <w:rPr>
          <w:rStyle w:val="VerbatimChar"/>
        </w:rPr>
        <w:t xml:space="preserve">draft → submitted → finance_review → md_review → approved → exported → paid</w:t>
      </w:r>
    </w:p>
    <w:p>
      <w:pPr>
        <w:pStyle w:val="FirstParagraph"/>
      </w:pPr>
      <w:r>
        <w:t xml:space="preserve">Chairman family expenses and school fees follow this chain with</w:t>
      </w:r>
      <w:r>
        <w:t xml:space="preserve"> </w:t>
      </w:r>
      <w:r>
        <w:rPr>
          <w:rStyle w:val="VerbatimChar"/>
        </w:rPr>
        <w:t xml:space="preserve">hr.chairman.manage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e.9-cross-department-escalation-matrix"/>
      <w:r>
        <w:t xml:space="preserve">E.9 CROSS-DEPARTMENT ESCALATION MATRIX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Contact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down</w:t>
            </w:r>
          </w:p>
        </w:tc>
        <w:tc>
          <w:p>
            <w:pPr>
              <w:pStyle w:val="Compact"/>
              <w:jc w:val="left"/>
            </w:pPr>
            <w:r>
              <w:t xml:space="preserve">IT Admin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External vendor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dispute</w:t>
            </w:r>
          </w:p>
        </w:tc>
        <w:tc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delay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 dispute</w:t>
            </w:r>
          </w:p>
        </w:tc>
        <w:tc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grievance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t xml:space="preserve">GM HR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quality</w:t>
            </w:r>
          </w:p>
        </w:tc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theft suspicion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BM + HR</w:t>
            </w:r>
          </w:p>
        </w:tc>
        <w:tc>
          <w:p>
            <w:pPr>
              <w:pStyle w:val="Compact"/>
              <w:jc w:val="left"/>
            </w:pPr>
            <w:r>
              <w:t xml:space="preserve">MD + Police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 lock dispute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e.10-training-program-outline"/>
      <w:r>
        <w:t xml:space="preserve">E.10 TRAINING PROGRAM OUTLINE</w:t>
      </w:r>
      <w:bookmarkEnd w:id="59"/>
    </w:p>
    <w:p>
      <w:pPr>
        <w:pStyle w:val="Heading3"/>
      </w:pPr>
      <w:bookmarkStart w:id="60" w:name="week-1-all-staff"/>
      <w:r>
        <w:t xml:space="preserve">Week 1 — All Staff</w:t>
      </w:r>
      <w:bookmarkEnd w:id="60"/>
    </w:p>
    <w:p>
      <w:pPr>
        <w:numPr>
          <w:ilvl w:val="0"/>
          <w:numId w:val="1017"/>
        </w:numPr>
        <w:pStyle w:val="Compact"/>
      </w:pPr>
      <w:r>
        <w:t xml:space="preserve">Sign in, password, branch selection</w:t>
      </w:r>
    </w:p>
    <w:p>
      <w:pPr>
        <w:numPr>
          <w:ilvl w:val="0"/>
          <w:numId w:val="1017"/>
        </w:numPr>
        <w:pStyle w:val="Compact"/>
      </w:pPr>
      <w:r>
        <w:t xml:space="preserve">Workspace navigation, official notices</w:t>
      </w:r>
    </w:p>
    <w:p>
      <w:pPr>
        <w:numPr>
          <w:ilvl w:val="0"/>
          <w:numId w:val="1017"/>
        </w:numPr>
        <w:pStyle w:val="Compact"/>
      </w:pPr>
      <w:r>
        <w:t xml:space="preserve">My HR self-service</w:t>
      </w:r>
    </w:p>
    <w:p>
      <w:pPr>
        <w:numPr>
          <w:ilvl w:val="0"/>
          <w:numId w:val="1017"/>
        </w:numPr>
        <w:pStyle w:val="Compact"/>
      </w:pPr>
      <w:r>
        <w:t xml:space="preserve">Zare introduction</w:t>
      </w:r>
    </w:p>
    <w:p>
      <w:pPr>
        <w:pStyle w:val="Heading3"/>
      </w:pPr>
      <w:bookmarkStart w:id="61" w:name="week-2-role-specific"/>
      <w:r>
        <w:t xml:space="preserve">Week 2 — Role Specific</w:t>
      </w:r>
      <w:bookmarkEnd w:id="61"/>
    </w:p>
    <w:p>
      <w:pPr>
        <w:numPr>
          <w:ilvl w:val="0"/>
          <w:numId w:val="1018"/>
        </w:numPr>
        <w:pStyle w:val="Compact"/>
      </w:pPr>
      <w:r>
        <w:t xml:space="preserve">Department SOP for assigned role</w:t>
      </w:r>
    </w:p>
    <w:p>
      <w:pPr>
        <w:numPr>
          <w:ilvl w:val="0"/>
          <w:numId w:val="1018"/>
        </w:numPr>
        <w:pStyle w:val="Compact"/>
      </w:pPr>
      <w:r>
        <w:t xml:space="preserve">Role training guide completion</w:t>
      </w:r>
    </w:p>
    <w:p>
      <w:pPr>
        <w:numPr>
          <w:ilvl w:val="0"/>
          <w:numId w:val="1018"/>
        </w:numPr>
        <w:pStyle w:val="Compact"/>
      </w:pPr>
      <w:r>
        <w:t xml:space="preserve">Supervised transaction entry</w:t>
      </w:r>
    </w:p>
    <w:p>
      <w:pPr>
        <w:pStyle w:val="Heading3"/>
      </w:pPr>
      <w:bookmarkStart w:id="62" w:name="week-3-competency"/>
      <w:r>
        <w:t xml:space="preserve">Week 3 — Competency</w:t>
      </w:r>
      <w:bookmarkEnd w:id="62"/>
    </w:p>
    <w:p>
      <w:pPr>
        <w:numPr>
          <w:ilvl w:val="0"/>
          <w:numId w:val="1019"/>
        </w:numPr>
        <w:pStyle w:val="Compact"/>
      </w:pPr>
      <w:r>
        <w:t xml:space="preserve">Checklist sign-off by supervisor</w:t>
      </w:r>
    </w:p>
    <w:p>
      <w:pPr>
        <w:numPr>
          <w:ilvl w:val="0"/>
          <w:numId w:val="1019"/>
        </w:numPr>
        <w:pStyle w:val="Compact"/>
      </w:pPr>
      <w:r>
        <w:t xml:space="preserve">Independent operation with spot checks</w:t>
      </w:r>
    </w:p>
    <w:p>
      <w:pPr>
        <w:pStyle w:val="Heading3"/>
      </w:pPr>
      <w:bookmarkStart w:id="63" w:name="quarterly-refresher"/>
      <w:r>
        <w:t xml:space="preserve">Quarterly Refresher</w:t>
      </w:r>
      <w:bookmarkEnd w:id="63"/>
    </w:p>
    <w:p>
      <w:pPr>
        <w:numPr>
          <w:ilvl w:val="0"/>
          <w:numId w:val="1020"/>
        </w:numPr>
        <w:pStyle w:val="Compact"/>
      </w:pPr>
      <w:r>
        <w:t xml:space="preserve">Governance updates</w:t>
      </w:r>
    </w:p>
    <w:p>
      <w:pPr>
        <w:numPr>
          <w:ilvl w:val="0"/>
          <w:numId w:val="1020"/>
        </w:numPr>
        <w:pStyle w:val="Compact"/>
      </w:pPr>
      <w:r>
        <w:t xml:space="preserve">New feature briefing</w:t>
      </w:r>
    </w:p>
    <w:p>
      <w:pPr>
        <w:numPr>
          <w:ilvl w:val="0"/>
          <w:numId w:val="1020"/>
        </w:numPr>
        <w:pStyle w:val="Compact"/>
      </w:pPr>
      <w:r>
        <w:t xml:space="preserve">Fraud awareness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E — Extended Procedures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2026-06-24T14:06:43Z</dcterms:created>
  <dcterms:modified xsi:type="dcterms:W3CDTF">2026-06-24T14:06:43Z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