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99e7a256a09773fa2da7f9e5677ee6171e8678c"/>
      <w:r>
        <w:t xml:space="preserve">ANNEX H: INVENTORY, COIL SCIENCE &amp; PRODUCTION STANDARDS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  <w:r>
        <w:br/>
      </w:r>
      <w:r>
        <w:rPr>
          <w:b/>
        </w:rPr>
        <w:t xml:space="preserve">Audience:</w:t>
      </w:r>
      <w:r>
        <w:t xml:space="preserve"> </w:t>
      </w:r>
      <w:r>
        <w:t xml:space="preserve">Operations, production, procurement, finance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.1-coil-material-science"/>
      <w:r>
        <w:t xml:space="preserve">H.1 COIL MATERIAL SCIENCE</w:t>
      </w:r>
      <w:bookmarkEnd w:id="21"/>
    </w:p>
    <w:p>
      <w:pPr>
        <w:pStyle w:val="Heading3"/>
      </w:pPr>
      <w:bookmarkStart w:id="22" w:name="h.1.1-material-types"/>
      <w:r>
        <w:t xml:space="preserve">H.1.1 Material Types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Gauges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Aluzinc (PPGI)</w:t>
            </w:r>
          </w:p>
        </w:tc>
        <w:tc>
          <w:p>
            <w:pPr>
              <w:pStyle w:val="Compact"/>
              <w:jc w:val="left"/>
            </w:pPr>
            <w:r>
              <w:t xml:space="preserve">Pre-painted galvalume steel</w:t>
            </w:r>
          </w:p>
        </w:tc>
        <w:tc>
          <w:p>
            <w:pPr>
              <w:pStyle w:val="Compact"/>
              <w:jc w:val="left"/>
            </w:pPr>
            <w:r>
              <w:t xml:space="preserve">0.18–0.55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Aluminium</w:t>
            </w:r>
          </w:p>
        </w:tc>
        <w:tc>
          <w:p>
            <w:pPr>
              <w:pStyle w:val="Compact"/>
              <w:jc w:val="left"/>
            </w:pPr>
            <w:r>
              <w:t xml:space="preserve">Plain or coated aluminium</w:t>
            </w:r>
          </w:p>
        </w:tc>
        <w:tc>
          <w:p>
            <w:pPr>
              <w:pStyle w:val="Compact"/>
              <w:jc w:val="left"/>
            </w:pPr>
            <w:r>
              <w:t xml:space="preserve">0.30–0.50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Stone-coated substrate</w:t>
            </w:r>
          </w:p>
        </w:tc>
        <w:tc>
          <w:p>
            <w:pPr>
              <w:pStyle w:val="Compact"/>
              <w:jc w:val="left"/>
            </w:pPr>
            <w:r>
              <w:t xml:space="preserve">Base steel for stone tiles</w:t>
            </w:r>
          </w:p>
        </w:tc>
        <w:tc>
          <w:p>
            <w:pPr>
              <w:pStyle w:val="Compact"/>
              <w:jc w:val="left"/>
            </w:pPr>
            <w:r>
              <w:t xml:space="preserve">0.40–0.50 mm</w:t>
            </w:r>
          </w:p>
        </w:tc>
      </w:tr>
    </w:tbl>
    <w:p>
      <w:pPr>
        <w:pStyle w:val="Heading3"/>
      </w:pPr>
      <w:bookmarkStart w:id="23" w:name="h.1.2-gauge-selection-guide"/>
      <w:r>
        <w:t xml:space="preserve">H.1.2 Gauge Selection Guide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Gauge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Structural Span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p>
            <w:pPr>
              <w:pStyle w:val="Compact"/>
              <w:jc w:val="left"/>
            </w:pPr>
            <w:r>
              <w:t xml:space="preserve">Economy residential</w:t>
            </w:r>
          </w:p>
        </w:tc>
        <w:tc>
          <w:p>
            <w:pPr>
              <w:pStyle w:val="Compact"/>
              <w:jc w:val="left"/>
            </w:pPr>
            <w:r>
              <w:t xml:space="preserve">Short span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p>
            <w:pPr>
              <w:pStyle w:val="Compact"/>
              <w:jc w:val="left"/>
            </w:pPr>
            <w:r>
              <w:t xml:space="preserve">Standard residential</w:t>
            </w:r>
          </w:p>
        </w:tc>
        <w:tc>
          <w:p>
            <w:pPr>
              <w:pStyle w:val="Compact"/>
              <w:jc w:val="left"/>
            </w:pPr>
            <w:r>
              <w:t xml:space="preserve">Medium span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p>
            <w:pPr>
              <w:pStyle w:val="Compact"/>
              <w:jc w:val="left"/>
            </w:pPr>
            <w:r>
              <w:t xml:space="preserve">Commercial / heavy residential</w:t>
            </w:r>
          </w:p>
        </w:tc>
        <w:tc>
          <w:p>
            <w:pPr>
              <w:pStyle w:val="Compact"/>
              <w:jc w:val="left"/>
            </w:pPr>
            <w:r>
              <w:t xml:space="preserve">Long span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Industrial / premium</w:t>
            </w:r>
          </w:p>
        </w:tc>
        <w:tc>
          <w:p>
            <w:pPr>
              <w:pStyle w:val="Compact"/>
              <w:jc w:val="left"/>
            </w:pPr>
            <w:r>
              <w:t xml:space="preserve">Extra long span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p>
            <w:pPr>
              <w:pStyle w:val="Compact"/>
              <w:jc w:val="left"/>
            </w:pPr>
            <w:r>
              <w:t xml:space="preserve">High-load commercial</w:t>
            </w:r>
          </w:p>
        </w:tc>
        <w:tc>
          <w:p>
            <w:pPr>
              <w:pStyle w:val="Compact"/>
              <w:jc w:val="left"/>
            </w:pPr>
            <w:r>
              <w:t xml:space="preserve">Maximum span</w:t>
            </w:r>
          </w:p>
        </w:tc>
      </w:tr>
    </w:tbl>
    <w:p>
      <w:pPr>
        <w:pStyle w:val="BodyText"/>
      </w:pPr>
      <w:r>
        <w:t xml:space="preserve">Sales must quote gauge per customer structural requirement — never down-gauge without written customer acknowledgement.</w:t>
      </w:r>
    </w:p>
    <w:p>
      <w:pPr>
        <w:pStyle w:val="Heading3"/>
      </w:pPr>
      <w:bookmarkStart w:id="24" w:name="h.1.3-standard-conversion-factors-kgm"/>
      <w:r>
        <w:t xml:space="preserve">H.1.3 Standard Conversion Factors (kg/m)</w:t>
      </w:r>
      <w:bookmarkEnd w:id="24"/>
    </w:p>
    <w:p>
      <w:pPr>
        <w:pStyle w:val="FirstParagraph"/>
      </w:pPr>
      <w:r>
        <w:t xml:space="preserve">Maintained in Procurement → Conversion tab. Example reference values (verify live system):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Gauge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Approx kg/m (aluzinc long-span)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p>
            <w:pPr>
              <w:pStyle w:val="Compact"/>
              <w:jc w:val="left"/>
            </w:pPr>
            <w:r>
              <w:t xml:space="preserve">1.42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p>
            <w:pPr>
              <w:pStyle w:val="Compact"/>
              <w:jc w:val="left"/>
            </w:pPr>
            <w:r>
              <w:t xml:space="preserve">1.73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p>
            <w:pPr>
              <w:pStyle w:val="Compact"/>
              <w:jc w:val="left"/>
            </w:pPr>
            <w:r>
              <w:t xml:space="preserve">2.36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3.54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p>
            <w:pPr>
              <w:pStyle w:val="Compact"/>
              <w:jc w:val="left"/>
            </w:pPr>
            <w:r>
              <w:t xml:space="preserve">3.93</w:t>
            </w:r>
          </w:p>
        </w:tc>
      </w:tr>
    </w:tbl>
    <w:p>
      <w:pPr>
        <w:pStyle w:val="BodyText"/>
      </w:pPr>
      <w:r>
        <w:rPr>
          <w:b/>
        </w:rPr>
        <w:t xml:space="preserve">Theoretical metres = kg consumed ÷ kg/m factor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h.2-coil-receipt-inspection"/>
      <w:r>
        <w:t xml:space="preserve">H.2 COIL RECEIPT INSPECTION</w:t>
      </w:r>
      <w:bookmarkEnd w:id="25"/>
    </w:p>
    <w:p>
      <w:pPr>
        <w:pStyle w:val="Heading3"/>
      </w:pPr>
      <w:bookmarkStart w:id="26" w:name="h.2.1-on-arrival-checklist"/>
      <w:r>
        <w:t xml:space="preserve">H.2.1 On Arrival Checklist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☐ PO reference matches delivery note</w:t>
      </w:r>
    </w:p>
    <w:p>
      <w:pPr>
        <w:numPr>
          <w:ilvl w:val="0"/>
          <w:numId w:val="1001"/>
        </w:numPr>
        <w:pStyle w:val="Compact"/>
      </w:pPr>
      <w:r>
        <w:t xml:space="preserve">☐ Coil numbers match supplier manifest</w:t>
      </w:r>
    </w:p>
    <w:p>
      <w:pPr>
        <w:numPr>
          <w:ilvl w:val="0"/>
          <w:numId w:val="1001"/>
        </w:numPr>
        <w:pStyle w:val="Compact"/>
      </w:pPr>
      <w:r>
        <w:t xml:space="preserve">☐ Weighbridge weight within PO tolerance (typically ±2%)</w:t>
      </w:r>
    </w:p>
    <w:p>
      <w:pPr>
        <w:numPr>
          <w:ilvl w:val="0"/>
          <w:numId w:val="1001"/>
        </w:numPr>
        <w:pStyle w:val="Compact"/>
      </w:pPr>
      <w:r>
        <w:t xml:space="preserve">☐ Gauge verified with micrometer (sample)</w:t>
      </w:r>
    </w:p>
    <w:p>
      <w:pPr>
        <w:numPr>
          <w:ilvl w:val="0"/>
          <w:numId w:val="1001"/>
        </w:numPr>
        <w:pStyle w:val="Compact"/>
      </w:pPr>
      <w:r>
        <w:t xml:space="preserve">☐ Colour matches PO specification (visual)</w:t>
      </w:r>
    </w:p>
    <w:p>
      <w:pPr>
        <w:numPr>
          <w:ilvl w:val="0"/>
          <w:numId w:val="1001"/>
        </w:numPr>
        <w:pStyle w:val="Compact"/>
      </w:pPr>
      <w:r>
        <w:t xml:space="preserve">☐ No edge damage, rust, or oil contamination</w:t>
      </w:r>
    </w:p>
    <w:p>
      <w:pPr>
        <w:numPr>
          <w:ilvl w:val="0"/>
          <w:numId w:val="1001"/>
        </w:numPr>
        <w:pStyle w:val="Compact"/>
      </w:pPr>
      <w:r>
        <w:t xml:space="preserve">☐ Mill test certificate collected</w:t>
      </w:r>
    </w:p>
    <w:p>
      <w:pPr>
        <w:pStyle w:val="Heading3"/>
      </w:pPr>
      <w:bookmarkStart w:id="27" w:name="h.2.2-rejection-criteria"/>
      <w:r>
        <w:t xml:space="preserve">H.2.2 Rejection Criteria</w:t>
      </w:r>
      <w:bookmarkEnd w:id="27"/>
    </w:p>
    <w:p>
      <w:pPr>
        <w:pStyle w:val="FirstParagraph"/>
      </w:pPr>
      <w:r>
        <w:t xml:space="preserve">Reject coil (do not GRN) if:</w:t>
      </w:r>
      <w:r>
        <w:t xml:space="preserve"> </w:t>
      </w:r>
      <w:r>
        <w:t xml:space="preserve">- Weight short &gt; agreed tolerance</w:t>
      </w:r>
      <w:r>
        <w:t xml:space="preserve"> </w:t>
      </w:r>
      <w:r>
        <w:t xml:space="preserve">- Wrong gauge or colour</w:t>
      </w:r>
      <w:r>
        <w:t xml:space="preserve"> </w:t>
      </w:r>
      <w:r>
        <w:t xml:space="preserve">- Visible lamination defect</w:t>
      </w:r>
      <w:r>
        <w:t xml:space="preserve"> </w:t>
      </w:r>
      <w:r>
        <w:t xml:space="preserve">- Water damage</w:t>
      </w:r>
    </w:p>
    <w:p>
      <w:pPr>
        <w:pStyle w:val="BodyText"/>
      </w:pPr>
      <w:r>
        <w:t xml:space="preserve">Notify Procurement and MD; photograph damage; supplier claim initiated.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h.3-production-standards"/>
      <w:r>
        <w:t xml:space="preserve">H.3 PRODUCTION STANDARDS</w:t>
      </w:r>
      <w:bookmarkEnd w:id="28"/>
    </w:p>
    <w:p>
      <w:pPr>
        <w:pStyle w:val="Heading3"/>
      </w:pPr>
      <w:bookmarkStart w:id="29" w:name="h.3.1-corrugation-profiles"/>
      <w:r>
        <w:t xml:space="preserve">H.3.1 Corrugation Profiles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 Width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Long-span</w:t>
            </w:r>
          </w:p>
        </w:tc>
        <w:tc>
          <w:p>
            <w:pPr>
              <w:pStyle w:val="Compact"/>
              <w:jc w:val="left"/>
            </w:pPr>
            <w:r>
              <w:t xml:space="preserve">Standard roofing</w:t>
            </w:r>
          </w:p>
        </w:tc>
        <w:tc>
          <w:p>
            <w:pPr>
              <w:pStyle w:val="Compact"/>
              <w:jc w:val="left"/>
            </w:pPr>
            <w:r>
              <w:t xml:space="preserve">760 mm effective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Step-tile</w:t>
            </w:r>
          </w:p>
        </w:tc>
        <w:tc>
          <w:p>
            <w:pPr>
              <w:pStyle w:val="Compact"/>
              <w:jc w:val="left"/>
            </w:pPr>
            <w:r>
              <w:t xml:space="preserve">Aesthetic residential</w:t>
            </w:r>
          </w:p>
        </w:tc>
        <w:tc>
          <w:p>
            <w:pPr>
              <w:pStyle w:val="Compact"/>
              <w:jc w:val="left"/>
            </w:pPr>
            <w:r>
              <w:t xml:space="preserve">Profile-specific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p>
            <w:pPr>
              <w:pStyle w:val="Compact"/>
              <w:jc w:val="left"/>
            </w:pPr>
            <w:r>
              <w:t xml:space="preserve">Special orders</w:t>
            </w:r>
          </w:p>
        </w:tc>
        <w:tc>
          <w:p>
            <w:pPr>
              <w:pStyle w:val="Compact"/>
              <w:jc w:val="left"/>
            </w:pPr>
            <w:r>
              <w:t xml:space="preserve">Per quotation</w:t>
            </w:r>
          </w:p>
        </w:tc>
      </w:tr>
    </w:tbl>
    <w:p>
      <w:pPr>
        <w:pStyle w:val="Heading3"/>
      </w:pPr>
      <w:bookmarkStart w:id="30" w:name="h.3.2-quality-standards"/>
      <w:r>
        <w:t xml:space="preserve">H.3.2 Quality Standards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 depth</w:t>
            </w:r>
          </w:p>
        </w:tc>
        <w:tc>
          <w:p>
            <w:pPr>
              <w:pStyle w:val="Compact"/>
              <w:jc w:val="left"/>
            </w:pPr>
            <w:r>
              <w:t xml:space="preserve">±0.5 mm</w:t>
            </w:r>
          </w:p>
        </w:tc>
        <w:tc>
          <w:p>
            <w:pPr>
              <w:pStyle w:val="Compact"/>
              <w:jc w:val="left"/>
            </w:pPr>
            <w:r>
              <w:t xml:space="preserve">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 width</w:t>
            </w:r>
          </w:p>
        </w:tc>
        <w:tc>
          <w:p>
            <w:pPr>
              <w:pStyle w:val="Compact"/>
              <w:jc w:val="left"/>
            </w:pPr>
            <w:r>
              <w:t xml:space="preserve">Per specification</w:t>
            </w:r>
          </w:p>
        </w:tc>
        <w:tc>
          <w:p>
            <w:pPr>
              <w:pStyle w:val="Compact"/>
              <w:jc w:val="left"/>
            </w:pPr>
            <w:r>
              <w:t xml:space="preserve">Tape measure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uniformity</w:t>
            </w:r>
          </w:p>
        </w:tc>
        <w:tc>
          <w:p>
            <w:pPr>
              <w:pStyle w:val="Compact"/>
              <w:jc w:val="left"/>
            </w:pPr>
            <w:r>
              <w:t xml:space="preserve">No visible streaks</w:t>
            </w:r>
          </w:p>
        </w:tc>
        <w:tc>
          <w:p>
            <w:pPr>
              <w:pStyle w:val="Compact"/>
              <w:jc w:val="left"/>
            </w:pPr>
            <w:r>
              <w:t xml:space="preserve">Visual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 condition</w:t>
            </w:r>
          </w:p>
        </w:tc>
        <w:tc>
          <w:p>
            <w:pPr>
              <w:pStyle w:val="Compact"/>
              <w:jc w:val="left"/>
            </w:pPr>
            <w:r>
              <w:t xml:space="preserve">No burrs</w:t>
            </w:r>
          </w:p>
        </w:tc>
        <w:tc>
          <w:p>
            <w:pPr>
              <w:pStyle w:val="Compact"/>
              <w:jc w:val="left"/>
            </w:pPr>
            <w:r>
              <w:t xml:space="preserve">Hand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Metre count</w:t>
            </w:r>
          </w:p>
        </w:tc>
        <w:tc>
          <w:p>
            <w:pPr>
              <w:pStyle w:val="Compact"/>
              <w:jc w:val="left"/>
            </w:pPr>
            <w:r>
              <w:t xml:space="preserve">Per cutting list ±5%</w:t>
            </w:r>
          </w:p>
        </w:tc>
        <w:tc>
          <w:p>
            <w:pPr>
              <w:pStyle w:val="Compact"/>
              <w:jc w:val="left"/>
            </w:pPr>
            <w:r>
              <w:t xml:space="preserve">Counter / manual</w:t>
            </w:r>
          </w:p>
        </w:tc>
      </w:tr>
    </w:tbl>
    <w:p>
      <w:pPr>
        <w:pStyle w:val="Heading3"/>
      </w:pPr>
      <w:bookmarkStart w:id="31" w:name="h.3.3-stone-coated-production"/>
      <w:r>
        <w:t xml:space="preserve">H.3.3 Stone-Coated Production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Substrate coil → corrugation → stone application</w:t>
      </w:r>
    </w:p>
    <w:p>
      <w:pPr>
        <w:numPr>
          <w:ilvl w:val="0"/>
          <w:numId w:val="1002"/>
        </w:numPr>
        <w:pStyle w:val="Compact"/>
      </w:pPr>
      <w:r>
        <w:t xml:space="preserve">Sheets counted; m² = sheets × area per sheet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stoneFlatsheetSheetsToM2</w:t>
      </w:r>
      <w:r>
        <w:t xml:space="preserve"> </w:t>
      </w:r>
      <w:r>
        <w:t xml:space="preserve">conversion in system</w:t>
      </w:r>
    </w:p>
    <w:p>
      <w:pPr>
        <w:numPr>
          <w:ilvl w:val="0"/>
          <w:numId w:val="1002"/>
        </w:numPr>
        <w:pStyle w:val="Compact"/>
      </w:pPr>
      <w:r>
        <w:t xml:space="preserve">Quality: stone adhesion test per batch (QCO)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h.4-offcut-management"/>
      <w:r>
        <w:t xml:space="preserve">H.4 OFFCUT MANAGEMENT</w:t>
      </w:r>
      <w:bookmarkEnd w:id="32"/>
    </w:p>
    <w:p>
      <w:pPr>
        <w:pStyle w:val="Heading3"/>
      </w:pPr>
      <w:bookmarkStart w:id="33" w:name="h.4.1-normal-offcut"/>
      <w:r>
        <w:t xml:space="preserve">H.4.1 Normal Offcut</w:t>
      </w:r>
      <w:bookmarkEnd w:id="33"/>
    </w:p>
    <w:p>
      <w:pPr>
        <w:pStyle w:val="FirstParagraph"/>
      </w:pPr>
      <w:r>
        <w:t xml:space="preserve">Production waste within 3% of theoretical — no material incident required.</w:t>
      </w:r>
    </w:p>
    <w:p>
      <w:pPr>
        <w:pStyle w:val="Heading3"/>
      </w:pPr>
      <w:bookmarkStart w:id="34" w:name="h.4.2-abnormal-offcut"/>
      <w:r>
        <w:t xml:space="preserve">H.4.2 Abnormal Offcut</w:t>
      </w:r>
      <w:bookmarkEnd w:id="34"/>
    </w:p>
    <w:p>
      <w:pPr>
        <w:pStyle w:val="FirstParagraph"/>
      </w:pPr>
      <w:r>
        <w:t xml:space="preserve">Waste &gt;3% or identifiable defect:</w:t>
      </w:r>
      <w:r>
        <w:t xml:space="preserve"> </w:t>
      </w:r>
      <w:r>
        <w:t xml:space="preserve">1. Log material incident (production_offcut type)</w:t>
      </w:r>
      <w:r>
        <w:t xml:space="preserve"> </w:t>
      </w:r>
      <w:r>
        <w:t xml:space="preserve">2. BM approves</w:t>
      </w:r>
      <w:r>
        <w:t xml:space="preserve"> </w:t>
      </w:r>
      <w:r>
        <w:t xml:space="preserve">3. Metres added to offcut pool</w:t>
      </w:r>
      <w:r>
        <w:t xml:space="preserve"> </w:t>
      </w:r>
      <w:r>
        <w:t xml:space="preserve">4. Available for smaller orders or internal use</w:t>
      </w:r>
    </w:p>
    <w:p>
      <w:pPr>
        <w:pStyle w:val="Heading3"/>
      </w:pPr>
      <w:bookmarkStart w:id="35" w:name="h.4.3-offcut-issuance"/>
      <w:r>
        <w:t xml:space="preserve">H.4.3 Offcut Issuance</w:t>
      </w:r>
      <w:bookmarkEnd w:id="35"/>
    </w:p>
    <w:p>
      <w:pPr>
        <w:pStyle w:val="FirstParagraph"/>
      </w:pPr>
      <w:r>
        <w:t xml:space="preserve">When production uses offcut pool metres:</w:t>
      </w:r>
      <w:r>
        <w:t xml:space="preserve"> </w:t>
      </w:r>
      <w:r>
        <w:t xml:space="preserve">1. Select incident on job completion</w:t>
      </w:r>
      <w:r>
        <w:t xml:space="preserve"> </w:t>
      </w:r>
      <w:r>
        <w:t xml:space="preserve">2. System decrements</w:t>
      </w:r>
      <w:r>
        <w:t xml:space="preserve"> </w:t>
      </w:r>
      <w:r>
        <w:rPr>
          <w:rStyle w:val="VerbatimChar"/>
        </w:rPr>
        <w:t xml:space="preserve">meters_available</w:t>
      </w:r>
      <w:r>
        <w:t xml:space="preserve"> </w:t>
      </w:r>
      <w:r>
        <w:t xml:space="preserve">on incident</w:t>
      </w:r>
      <w:r>
        <w:t xml:space="preserve"> </w:t>
      </w:r>
      <w:r>
        <w:t xml:space="preserve">3. Completion record shows</w:t>
      </w:r>
      <w:r>
        <w:t xml:space="preserve"> </w:t>
      </w:r>
      <w:r>
        <w:t xml:space="preserve">“</w:t>
      </w:r>
      <w:r>
        <w:t xml:space="preserve">supplied from offcut</w:t>
      </w:r>
      <w:r>
        <w:t xml:space="preserve">”</w:t>
      </w:r>
      <w:r>
        <w:t xml:space="preserve"> </w:t>
      </w:r>
      <w:r>
        <w:t xml:space="preserve">4. May affect costing (AP3) — lower material cost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h.5-stock-register-procedure-detailed"/>
      <w:r>
        <w:t xml:space="preserve">H.5 STOCK REGISTER PROCEDURE (DETAILED)</w:t>
      </w:r>
      <w:bookmarkEnd w:id="36"/>
    </w:p>
    <w:p>
      <w:pPr>
        <w:pStyle w:val="Heading3"/>
      </w:pPr>
      <w:bookmarkStart w:id="37" w:name="h.5.1-physical-count-scope"/>
      <w:r>
        <w:t xml:space="preserve">H.5.1 Physical Count Scope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Asset 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Coil lots</w:t>
            </w:r>
          </w:p>
        </w:tc>
        <w:tc>
          <w:p>
            <w:pPr>
              <w:pStyle w:val="Compact"/>
              <w:jc w:val="left"/>
            </w:pPr>
            <w:r>
              <w:t xml:space="preserve">Weigh or verify coil tags + positions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Finished goods</w:t>
            </w:r>
          </w:p>
        </w:tc>
        <w:tc>
          <w:p>
            <w:pPr>
              <w:pStyle w:val="Compact"/>
              <w:jc w:val="left"/>
            </w:pPr>
            <w:r>
              <w:t xml:space="preserve">Metre stack measurement or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Accessories</w:t>
            </w:r>
          </w:p>
        </w:tc>
        <w:tc>
          <w:p>
            <w:pPr>
              <w:pStyle w:val="Compact"/>
              <w:jc w:val="left"/>
            </w:pPr>
            <w:r>
              <w:t xml:space="preserve">Piece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Stone stock</w:t>
            </w:r>
          </w:p>
        </w:tc>
        <w:tc>
          <w:p>
            <w:pPr>
              <w:pStyle w:val="Compact"/>
              <w:jc w:val="left"/>
            </w:pPr>
            <w:r>
              <w:t xml:space="preserve">Sheet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WIP</w:t>
            </w:r>
          </w:p>
        </w:tc>
        <w:tc>
          <w:p>
            <w:pPr>
              <w:pStyle w:val="Compact"/>
              <w:jc w:val="left"/>
            </w:pPr>
            <w:r>
              <w:t xml:space="preserve">Jobs in Running status — metres in process</w:t>
            </w:r>
          </w:p>
        </w:tc>
      </w:tr>
    </w:tbl>
    <w:p>
      <w:pPr>
        <w:pStyle w:val="Heading3"/>
      </w:pPr>
      <w:bookmarkStart w:id="38" w:name="h.5.2-variance-investigation"/>
      <w:r>
        <w:t xml:space="preserve">H.5.2 Variance Investigation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Coil kg</w:t>
            </w:r>
          </w:p>
        </w:tc>
        <w:tc>
          <w:p>
            <w:pPr>
              <w:pStyle w:val="Compact"/>
              <w:jc w:val="left"/>
            </w:pPr>
            <w:r>
              <w:t xml:space="preserve">&gt;1%</w:t>
            </w:r>
          </w:p>
        </w:tc>
        <w:tc>
          <w:p>
            <w:pPr>
              <w:pStyle w:val="Compact"/>
              <w:jc w:val="left"/>
            </w:pPr>
            <w:r>
              <w:t xml:space="preserve">Investigate control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FG metres</w:t>
            </w:r>
          </w:p>
        </w:tc>
        <w:tc>
          <w:p>
            <w:pPr>
              <w:pStyle w:val="Compact"/>
              <w:jc w:val="left"/>
            </w:pPr>
            <w:r>
              <w:t xml:space="preserve">&gt;2%</w:t>
            </w:r>
          </w:p>
        </w:tc>
        <w:tc>
          <w:p>
            <w:pPr>
              <w:pStyle w:val="Compact"/>
              <w:jc w:val="left"/>
            </w:pPr>
            <w:r>
              <w:t xml:space="preserve">Review deliveries and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Accessories</w:t>
            </w:r>
          </w:p>
        </w:tc>
        <w:tc>
          <w:p>
            <w:pPr>
              <w:pStyle w:val="Compact"/>
              <w:jc w:val="left"/>
            </w:pPr>
            <w:r>
              <w:t xml:space="preserve">&gt;5%</w:t>
            </w:r>
          </w:p>
        </w:tc>
        <w:tc>
          <w:p>
            <w:pPr>
              <w:pStyle w:val="Compact"/>
              <w:jc w:val="left"/>
            </w:pPr>
            <w:r>
              <w:t xml:space="preserve">Check theft, unrecorded issues</w:t>
            </w:r>
          </w:p>
        </w:tc>
      </w:tr>
    </w:tbl>
    <w:p>
      <w:pPr>
        <w:pStyle w:val="Heading3"/>
      </w:pPr>
      <w:bookmarkStart w:id="39" w:name="h.5.3-bm-adjustment-window"/>
      <w:r>
        <w:t xml:space="preserve">H.5.3 BM Adjustment Window</w:t>
      </w:r>
      <w:bookmarkEnd w:id="39"/>
    </w:p>
    <w:p>
      <w:pPr>
        <w:pStyle w:val="FirstParagraph"/>
      </w:pPr>
      <w:r>
        <w:t xml:space="preserve">Between store_confirmed and bm_approved:</w:t>
      </w:r>
      <w:r>
        <w:t xml:space="preserve"> </w:t>
      </w:r>
      <w:r>
        <w:t xml:space="preserve">- BM may post adjustment entries with documented reason</w:t>
      </w:r>
      <w:r>
        <w:t xml:space="preserve"> </w:t>
      </w:r>
      <w:r>
        <w:t xml:space="preserve">- After bm_approved: adjustments require MD and new count cycle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h.6-delivery-standards"/>
      <w:r>
        <w:t xml:space="preserve">H.6 DELIVERY STANDARDS</w:t>
      </w:r>
      <w:bookmarkEnd w:id="40"/>
    </w:p>
    <w:p>
      <w:pPr>
        <w:pStyle w:val="Heading3"/>
      </w:pPr>
      <w:bookmarkStart w:id="41" w:name="h.6.1-loading"/>
      <w:r>
        <w:t xml:space="preserve">H.6.1 Loading</w:t>
      </w:r>
      <w:bookmarkEnd w:id="41"/>
    </w:p>
    <w:p>
      <w:pPr>
        <w:numPr>
          <w:ilvl w:val="0"/>
          <w:numId w:val="1003"/>
        </w:numPr>
        <w:pStyle w:val="Compact"/>
      </w:pPr>
      <w:r>
        <w:t xml:space="preserve">Secure strapping per safety standard</w:t>
      </w:r>
    </w:p>
    <w:p>
      <w:pPr>
        <w:numPr>
          <w:ilvl w:val="0"/>
          <w:numId w:val="1003"/>
        </w:numPr>
        <w:pStyle w:val="Compact"/>
      </w:pPr>
      <w:r>
        <w:t xml:space="preserve">Gauge/colour labels visible on bundles</w:t>
      </w:r>
    </w:p>
    <w:p>
      <w:pPr>
        <w:numPr>
          <w:ilvl w:val="0"/>
          <w:numId w:val="1003"/>
        </w:numPr>
        <w:pStyle w:val="Compact"/>
      </w:pPr>
      <w:r>
        <w:t xml:space="preserve">Delivery note matches system DLV lines</w:t>
      </w:r>
    </w:p>
    <w:p>
      <w:pPr>
        <w:numPr>
          <w:ilvl w:val="0"/>
          <w:numId w:val="1003"/>
        </w:numPr>
        <w:pStyle w:val="Compact"/>
      </w:pPr>
      <w:r>
        <w:t xml:space="preserve">Vehicle capacity not exceeded</w:t>
      </w:r>
    </w:p>
    <w:p>
      <w:pPr>
        <w:pStyle w:val="Heading3"/>
      </w:pPr>
      <w:bookmarkStart w:id="42" w:name="h.6.2-proof-of-delivery"/>
      <w:r>
        <w:t xml:space="preserve">H.6.2 Proof of Delivery</w:t>
      </w:r>
      <w:bookmarkEnd w:id="42"/>
    </w:p>
    <w:p>
      <w:pPr>
        <w:pStyle w:val="FirstParagraph"/>
      </w:pPr>
      <w:r>
        <w:t xml:space="preserve">Required fields on POD:</w:t>
      </w:r>
      <w:r>
        <w:t xml:space="preserve"> </w:t>
      </w:r>
      <w:r>
        <w:t xml:space="preserve">- Customer name and signature</w:t>
      </w:r>
      <w:r>
        <w:t xml:space="preserve"> </w:t>
      </w:r>
      <w:r>
        <w:t xml:space="preserve">- Date and time</w:t>
      </w:r>
      <w:r>
        <w:t xml:space="preserve"> </w:t>
      </w:r>
      <w:r>
        <w:t xml:space="preserve">- Metres delivered per line</w:t>
      </w:r>
      <w:r>
        <w:t xml:space="preserve"> </w:t>
      </w:r>
      <w:r>
        <w:t xml:space="preserve">- Condition notes (damage at delivery)</w:t>
      </w:r>
      <w:r>
        <w:t xml:space="preserve"> </w:t>
      </w:r>
      <w:r>
        <w:t xml:space="preserve">- Driver name</w:t>
      </w:r>
    </w:p>
    <w:p>
      <w:pPr>
        <w:pStyle w:val="BodyText"/>
      </w:pPr>
      <w:r>
        <w:t xml:space="preserve">POD scanned and attached to delivery record in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Annex H — Inventory &amp; Production Standards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2026-06-24T14:06:44Z</dcterms:created>
  <dcterms:modified xsi:type="dcterms:W3CDTF">2026-06-24T14:06:44Z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