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sop-06-procurement"/>
      <w:r>
        <w:t xml:space="preserve">SOP-06: PROCUREMENT</w:t>
      </w:r>
      <w:bookmarkEnd w:id="20"/>
    </w:p>
    <w:p>
      <w:pPr>
        <w:pStyle w:val="FirstParagraph"/>
      </w:pPr>
      <w:r>
        <w:rPr>
          <w:b/>
        </w:rPr>
        <w:t xml:space="preserve">Zarewa Aluminium and Plastics Ltd — System of Operations v3.0</w:t>
      </w:r>
      <w:r>
        <w:br/>
      </w:r>
      <w:r>
        <w:rPr>
          <w:b/>
        </w:rPr>
        <w:t xml:space="preserve">Department:</w:t>
      </w:r>
      <w:r>
        <w:t xml:space="preserve"> </w:t>
      </w:r>
      <w:r>
        <w:t xml:space="preserve">Procurement</w:t>
      </w:r>
      <w:r>
        <w:br/>
      </w:r>
      <w:r>
        <w:rPr>
          <w:b/>
        </w:rPr>
        <w:t xml:space="preserve">System modules:</w:t>
      </w:r>
      <w:r>
        <w:t xml:space="preserve"> </w:t>
      </w:r>
      <w:r>
        <w:rPr>
          <w:rStyle w:val="VerbatimChar"/>
        </w:rPr>
        <w:t xml:space="preserve">/procurement</w:t>
      </w:r>
      <w:r>
        <w:t xml:space="preserve">,</w:t>
      </w:r>
      <w:r>
        <w:t xml:space="preserve"> </w:t>
      </w:r>
      <w:r>
        <w:rPr>
          <w:rStyle w:val="VerbatimChar"/>
        </w:rPr>
        <w:t xml:space="preserve">/procurement/suppliers/:id</w:t>
      </w:r>
      <w:r>
        <w:t xml:space="preserve">,</w:t>
      </w:r>
      <w:r>
        <w:t xml:space="preserve"> </w:t>
      </w:r>
      <w:r>
        <w:rPr>
          <w:rStyle w:val="VerbatimChar"/>
        </w:rPr>
        <w:t xml:space="preserve">/procurement/transport-agents/:id</w:t>
      </w:r>
      <w:r>
        <w:br/>
      </w:r>
      <w:r>
        <w:rPr>
          <w:b/>
        </w:rPr>
        <w:t xml:space="preserve">Primary roles:</w:t>
      </w:r>
      <w:r>
        <w:t xml:space="preserve"> </w:t>
      </w:r>
      <w:r>
        <w:rPr>
          <w:rStyle w:val="VerbatimChar"/>
        </w:rPr>
        <w:t xml:space="preserve">md</w:t>
      </w:r>
      <w:r>
        <w:t xml:space="preserve">, Procurement Officer (</w:t>
      </w:r>
      <w:r>
        <w:rPr>
          <w:rStyle w:val="VerbatimChar"/>
        </w:rPr>
        <w:t xml:space="preserve">desig_po</w:t>
      </w:r>
      <w:r>
        <w:t xml:space="preserve">,</w:t>
      </w:r>
      <w:r>
        <w:t xml:space="preserve"> </w:t>
      </w:r>
      <w:r>
        <w:rPr>
          <w:rStyle w:val="VerbatimChar"/>
        </w:rPr>
        <w:t xml:space="preserve">desig_hop</w:t>
      </w:r>
      <w:r>
        <w:t xml:space="preserve">)</w:t>
      </w:r>
      <w:r>
        <w:br/>
      </w:r>
      <w:r>
        <w:rPr>
          <w:b/>
        </w:rPr>
        <w:t xml:space="preserve">Supporting roles:</w:t>
      </w:r>
      <w:r>
        <w:t xml:space="preserve"> </w:t>
      </w:r>
      <w:r>
        <w:rPr>
          <w:rStyle w:val="VerbatimChar"/>
        </w:rPr>
        <w:t xml:space="preserve">operations_officer</w:t>
      </w:r>
      <w:r>
        <w:t xml:space="preserve"> </w:t>
      </w:r>
      <w:r>
        <w:t xml:space="preserve">(GRN),</w:t>
      </w:r>
      <w:r>
        <w:t xml:space="preserve"> </w:t>
      </w:r>
      <w:r>
        <w:rPr>
          <w:rStyle w:val="VerbatimChar"/>
        </w:rPr>
        <w:t xml:space="preserve">finance_manager</w:t>
      </w:r>
      <w:r>
        <w:t xml:space="preserve"> </w:t>
      </w:r>
      <w:r>
        <w:t xml:space="preserve">(payment)</w:t>
      </w:r>
    </w:p>
    <w:p>
      <w:r>
        <w:pict>
          <v:rect style="width:0;height:1.5pt" o:hralign="center" o:hrstd="t" o:hr="t"/>
        </w:pict>
      </w:r>
    </w:p>
    <w:p>
      <w:pPr>
        <w:pStyle w:val="Heading2"/>
      </w:pPr>
      <w:bookmarkStart w:id="21" w:name="purpose-and-scope"/>
      <w:r>
        <w:t xml:space="preserve">1. PURPOSE AND SCOPE</w:t>
      </w:r>
      <w:bookmarkEnd w:id="21"/>
    </w:p>
    <w:p>
      <w:pPr>
        <w:pStyle w:val="FirstParagraph"/>
      </w:pPr>
      <w:r>
        <w:t xml:space="preserve">Procurement manages the acquisition of raw materials (coil, stone, accessories), transport haulage, and supplier relationships. At Zarewa, procurement is centralised at HQ under MD authority. This SOP covers the complete PO lifecycle from requisition through payment.</w:t>
      </w:r>
    </w:p>
    <w:p>
      <w:r>
        <w:pict>
          <v:rect style="width:0;height:1.5pt" o:hralign="center" o:hrstd="t" o:hr="t"/>
        </w:pict>
      </w:r>
    </w:p>
    <w:p>
      <w:pPr>
        <w:pStyle w:val="Heading2"/>
      </w:pPr>
      <w:bookmarkStart w:id="22" w:name="procurement-module"/>
      <w:r>
        <w:t xml:space="preserve">2. PROCUREMENT MODULE</w:t>
      </w:r>
      <w:bookmarkEnd w:id="22"/>
    </w:p>
    <w:p>
      <w:pPr>
        <w:pStyle w:val="FirstParagraph"/>
      </w:pPr>
      <w:r>
        <w:t xml:space="preserve">Route:</w:t>
      </w:r>
      <w:r>
        <w:t xml:space="preserve"> </w:t>
      </w:r>
      <w:r>
        <w:rPr>
          <w:rStyle w:val="VerbatimChar"/>
        </w:rPr>
        <w:t xml:space="preserve">/procurement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Function</w:t>
            </w:r>
          </w:p>
        </w:tc>
      </w:tr>
      <w:tr>
        <w:tc>
          <w:p>
            <w:pPr>
              <w:pStyle w:val="Compact"/>
              <w:jc w:val="left"/>
            </w:pPr>
            <w:r>
              <w:t xml:space="preserve">Purchases</w:t>
            </w:r>
          </w:p>
        </w:tc>
        <w:tc>
          <w:p>
            <w:pPr>
              <w:pStyle w:val="Compact"/>
              <w:jc w:val="left"/>
            </w:pPr>
            <w:r>
              <w:t xml:space="preserve">PO create, approve, status tracking</w:t>
            </w:r>
          </w:p>
        </w:tc>
      </w:tr>
      <w:tr>
        <w:tc>
          <w:p>
            <w:pPr>
              <w:pStyle w:val="Compact"/>
              <w:jc w:val="left"/>
            </w:pPr>
            <w:r>
              <w:t xml:space="preserve">Payments</w:t>
            </w:r>
          </w:p>
        </w:tc>
        <w:tc>
          <w:p>
            <w:pPr>
              <w:pStyle w:val="Compact"/>
              <w:jc w:val="left"/>
            </w:pPr>
            <w:r>
              <w:t xml:space="preserve">Supplier payables, treasury-linked payments</w:t>
            </w:r>
          </w:p>
        </w:tc>
      </w:tr>
      <w:tr>
        <w:tc>
          <w:p>
            <w:pPr>
              <w:pStyle w:val="Compact"/>
              <w:jc w:val="left"/>
            </w:pPr>
            <w:r>
              <w:t xml:space="preserve">Transport catch-up</w:t>
            </w:r>
          </w:p>
        </w:tc>
        <w:tc>
          <w:p>
            <w:pPr>
              <w:pStyle w:val="Compact"/>
              <w:jc w:val="left"/>
            </w:pPr>
            <w:r>
              <w:t xml:space="preserve">In-transit reconciliation vs agents</w:t>
            </w:r>
          </w:p>
        </w:tc>
      </w:tr>
      <w:tr>
        <w:tc>
          <w:p>
            <w:pPr>
              <w:pStyle w:val="Compact"/>
              <w:jc w:val="left"/>
            </w:pPr>
            <w:r>
              <w:t xml:space="preserve">Suppliers</w:t>
            </w:r>
          </w:p>
        </w:tc>
        <w:tc>
          <w:p>
            <w:pPr>
              <w:pStyle w:val="Compact"/>
              <w:jc w:val="left"/>
            </w:pPr>
            <w:r>
              <w:t xml:space="preserve">Master data register</w:t>
            </w:r>
          </w:p>
        </w:tc>
      </w:tr>
      <w:tr>
        <w:tc>
          <w:p>
            <w:pPr>
              <w:pStyle w:val="Compact"/>
              <w:jc w:val="left"/>
            </w:pPr>
            <w:r>
              <w:t xml:space="preserve">Conversion</w:t>
            </w:r>
          </w:p>
        </w:tc>
        <w:tc>
          <w:p>
            <w:pPr>
              <w:pStyle w:val="Compact"/>
              <w:jc w:val="left"/>
            </w:pPr>
            <w:r>
              <w:t xml:space="preserve">Coil density standards, price list, material pricing</w:t>
            </w:r>
          </w:p>
        </w:tc>
      </w:tr>
    </w:tbl>
    <w:p>
      <w:r>
        <w:pict>
          <v:rect style="width:0;height:1.5pt" o:hralign="center" o:hrstd="t" o:hr="t"/>
        </w:pict>
      </w:r>
    </w:p>
    <w:p>
      <w:pPr>
        <w:pStyle w:val="Heading2"/>
      </w:pPr>
      <w:bookmarkStart w:id="23" w:name="supplier-management"/>
      <w:r>
        <w:t xml:space="preserve">3. SUPPLIER MANAGEMENT</w:t>
      </w:r>
      <w:bookmarkEnd w:id="23"/>
    </w:p>
    <w:p>
      <w:pPr>
        <w:pStyle w:val="Heading3"/>
      </w:pPr>
      <w:bookmarkStart w:id="24" w:name="scope"/>
      <w:r>
        <w:t xml:space="preserve">3.1 Scope</w:t>
      </w:r>
      <w:bookmarkEnd w:id="24"/>
    </w:p>
    <w:p>
      <w:pPr>
        <w:pStyle w:val="FirstParagraph"/>
      </w:pPr>
      <w:r>
        <w:t xml:space="preserve">Suppliers are</w:t>
      </w:r>
      <w:r>
        <w:t xml:space="preserve"> </w:t>
      </w:r>
      <w:r>
        <w:rPr>
          <w:b/>
        </w:rPr>
        <w:t xml:space="preserve">company-wide</w:t>
      </w:r>
      <w:r>
        <w:t xml:space="preserve"> </w:t>
      </w:r>
      <w:r>
        <w:t xml:space="preserve">master data — not branch-scoped. Shared across Kaduna, Yola, Maiduguri.</w:t>
      </w:r>
    </w:p>
    <w:p>
      <w:pPr>
        <w:pStyle w:val="Heading3"/>
      </w:pPr>
      <w:bookmarkStart w:id="25" w:name="registering-a-supplier"/>
      <w:r>
        <w:t xml:space="preserve">3.2 Registering a Supplier</w:t>
      </w:r>
      <w:bookmarkEnd w:id="25"/>
    </w:p>
    <w:p>
      <w:pPr>
        <w:numPr>
          <w:ilvl w:val="0"/>
          <w:numId w:val="1001"/>
        </w:numPr>
        <w:pStyle w:val="Compact"/>
      </w:pPr>
      <w:r>
        <w:rPr>
          <w:b/>
        </w:rPr>
        <w:t xml:space="preserve">Procurement</w:t>
      </w:r>
      <w:r>
        <w:t xml:space="preserve"> </w:t>
      </w:r>
      <w:r>
        <w:t xml:space="preserve">→</w:t>
      </w:r>
      <w:r>
        <w:t xml:space="preserve"> </w:t>
      </w:r>
      <w:r>
        <w:rPr>
          <w:b/>
        </w:rPr>
        <w:t xml:space="preserve">Suppliers</w:t>
      </w:r>
      <w:r>
        <w:t xml:space="preserve"> </w:t>
      </w:r>
      <w:r>
        <w:t xml:space="preserve">→</w:t>
      </w:r>
      <w:r>
        <w:t xml:space="preserve"> </w:t>
      </w:r>
      <w:r>
        <w:rPr>
          <w:b/>
        </w:rPr>
        <w:t xml:space="preserve">New Supplier</w:t>
      </w:r>
      <w:r>
        <w:t xml:space="preserve">.</w:t>
      </w:r>
    </w:p>
    <w:p>
      <w:pPr>
        <w:numPr>
          <w:ilvl w:val="0"/>
          <w:numId w:val="1001"/>
        </w:numPr>
        <w:pStyle w:val="Compact"/>
      </w:pPr>
      <w:r>
        <w:t xml:space="preserve">Complete:</w:t>
      </w:r>
    </w:p>
    <w:p>
      <w:pPr>
        <w:numPr>
          <w:ilvl w:val="1"/>
          <w:numId w:val="1002"/>
        </w:numPr>
        <w:pStyle w:val="Compact"/>
      </w:pPr>
      <w:r>
        <w:t xml:space="preserve">Legal name, trading name</w:t>
      </w:r>
    </w:p>
    <w:p>
      <w:pPr>
        <w:numPr>
          <w:ilvl w:val="1"/>
          <w:numId w:val="1002"/>
        </w:numPr>
        <w:pStyle w:val="Compact"/>
      </w:pPr>
      <w:r>
        <w:t xml:space="preserve">Tax ID (deduplication key)</w:t>
      </w:r>
    </w:p>
    <w:p>
      <w:pPr>
        <w:numPr>
          <w:ilvl w:val="1"/>
          <w:numId w:val="1002"/>
        </w:numPr>
        <w:pStyle w:val="Compact"/>
      </w:pPr>
      <w:r>
        <w:t xml:space="preserve">Phone (normalised)</w:t>
      </w:r>
    </w:p>
    <w:p>
      <w:pPr>
        <w:numPr>
          <w:ilvl w:val="1"/>
          <w:numId w:val="1002"/>
        </w:numPr>
        <w:pStyle w:val="Compact"/>
      </w:pPr>
      <w:r>
        <w:t xml:space="preserve">Contact persons</w:t>
      </w:r>
    </w:p>
    <w:p>
      <w:pPr>
        <w:numPr>
          <w:ilvl w:val="1"/>
          <w:numId w:val="1002"/>
        </w:numPr>
        <w:pStyle w:val="Compact"/>
      </w:pPr>
      <w:r>
        <w:t xml:space="preserve">Bank account details (multiple accounts supported)</w:t>
      </w:r>
    </w:p>
    <w:p>
      <w:pPr>
        <w:numPr>
          <w:ilvl w:val="1"/>
          <w:numId w:val="1002"/>
        </w:numPr>
        <w:pStyle w:val="Compact"/>
      </w:pPr>
      <w:r>
        <w:t xml:space="preserve">Attachments (contracts, certificates)</w:t>
      </w:r>
    </w:p>
    <w:p>
      <w:pPr>
        <w:numPr>
          <w:ilvl w:val="0"/>
          <w:numId w:val="1001"/>
        </w:numPr>
        <w:pStyle w:val="Compact"/>
      </w:pPr>
      <w:r>
        <w:t xml:space="preserve">Save → supplier profile at</w:t>
      </w:r>
      <w:r>
        <w:t xml:space="preserve"> </w:t>
      </w:r>
      <w:r>
        <w:rPr>
          <w:rStyle w:val="VerbatimChar"/>
        </w:rPr>
        <w:t xml:space="preserve">/procurement/suppliers/:supplierId</w:t>
      </w:r>
      <w:r>
        <w:t xml:space="preserve">.</w:t>
      </w:r>
    </w:p>
    <w:p>
      <w:pPr>
        <w:pStyle w:val="Heading3"/>
      </w:pPr>
      <w:bookmarkStart w:id="26" w:name="transport-agents"/>
      <w:r>
        <w:t xml:space="preserve">3.3 Transport Agents</w:t>
      </w:r>
      <w:bookmarkEnd w:id="26"/>
    </w:p>
    <w:p>
      <w:pPr>
        <w:pStyle w:val="FirstParagraph"/>
      </w:pPr>
      <w:r>
        <w:t xml:space="preserve">Haulage partners managed separately at</w:t>
      </w:r>
      <w:r>
        <w:t xml:space="preserve"> </w:t>
      </w:r>
      <w:r>
        <w:rPr>
          <w:rStyle w:val="VerbatimChar"/>
        </w:rPr>
        <w:t xml:space="preserve">/procurement/transport-agents/:agentId</w:t>
      </w:r>
      <w:r>
        <w:t xml:space="preserve">. Linked to PO transport and in-transit loads.</w:t>
      </w:r>
    </w:p>
    <w:p>
      <w:r>
        <w:pict>
          <v:rect style="width:0;height:1.5pt" o:hralign="center" o:hrstd="t" o:hr="t"/>
        </w:pict>
      </w:r>
    </w:p>
    <w:p>
      <w:pPr>
        <w:pStyle w:val="Heading2"/>
      </w:pPr>
      <w:bookmarkStart w:id="27" w:name="purchase-order-types"/>
      <w:r>
        <w:t xml:space="preserve">4. PURCHASE ORDER TYPES</w:t>
      </w:r>
      <w:bookmarkEnd w:id="27"/>
    </w:p>
    <w:p>
      <w:pPr>
        <w:pStyle w:val="FirstParagraph"/>
      </w:pPr>
      <w:r>
        <w:t xml:space="preserve">Derived from line items (</w:t>
      </w:r>
      <w:r>
        <w:rPr>
          <w:rStyle w:val="VerbatimChar"/>
        </w:rPr>
        <w:t xml:space="preserve">poLineTypes.js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 Kind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GRN Effect</w:t>
            </w:r>
          </w:p>
        </w:tc>
      </w:tr>
      <w:tr>
        <w:tc>
          <w:p>
            <w:pPr>
              <w:pStyle w:val="Compact"/>
              <w:jc w:val="left"/>
            </w:pPr>
            <w:r>
              <w:t xml:space="preserve">Coil</w:t>
            </w:r>
          </w:p>
        </w:tc>
        <w:tc>
          <w:p>
            <w:pPr>
              <w:pStyle w:val="Compact"/>
              <w:jc w:val="left"/>
            </w:pPr>
            <w:r>
              <w:t xml:space="preserve">Steel coil purchase</w:t>
            </w:r>
          </w:p>
        </w:tc>
        <w:tc>
          <w:p>
            <w:pPr>
              <w:pStyle w:val="Compact"/>
              <w:jc w:val="left"/>
            </w:pPr>
            <w:r>
              <w:t xml:space="preserve">Creates</w:t>
            </w:r>
            <w:r>
              <w:t xml:space="preserve"> </w:t>
            </w:r>
            <w:r>
              <w:rPr>
                <w:rStyle w:val="VerbatimChar"/>
              </w:rPr>
              <w:t xml:space="preserve">coil_lots</w:t>
            </w:r>
          </w:p>
        </w:tc>
      </w:tr>
      <w:tr>
        <w:tc>
          <w:p>
            <w:pPr>
              <w:pStyle w:val="Compact"/>
              <w:jc w:val="left"/>
            </w:pPr>
            <w:r>
              <w:t xml:space="preserve">Accessories</w:t>
            </w:r>
          </w:p>
        </w:tc>
        <w:tc>
          <w:p>
            <w:pPr>
              <w:pStyle w:val="Compact"/>
              <w:jc w:val="left"/>
            </w:pPr>
            <w:r>
              <w:t xml:space="preserve">Fixings, ridges, gutters</w:t>
            </w:r>
          </w:p>
        </w:tc>
        <w:tc>
          <w:p>
            <w:pPr>
              <w:pStyle w:val="Compact"/>
              <w:jc w:val="left"/>
            </w:pPr>
            <w:r>
              <w:t xml:space="preserve">Updates</w:t>
            </w:r>
            <w:r>
              <w:t xml:space="preserve"> </w:t>
            </w:r>
            <w:r>
              <w:rPr>
                <w:rStyle w:val="VerbatimChar"/>
              </w:rPr>
              <w:t xml:space="preserve">products</w:t>
            </w:r>
            <w:r>
              <w:t xml:space="preserve"> </w:t>
            </w:r>
            <w:r>
              <w:t xml:space="preserve">stock</w:t>
            </w:r>
          </w:p>
        </w:tc>
      </w:tr>
      <w:tr>
        <w:tc>
          <w:p>
            <w:pPr>
              <w:pStyle w:val="Compact"/>
              <w:jc w:val="left"/>
            </w:pPr>
            <w:r>
              <w:t xml:space="preserve">Stone/flatsheet</w:t>
            </w:r>
          </w:p>
        </w:tc>
        <w:tc>
          <w:p>
            <w:pPr>
              <w:pStyle w:val="Compact"/>
              <w:jc w:val="left"/>
            </w:pPr>
            <w:r>
              <w:t xml:space="preserve">Stone-coated substrates</w:t>
            </w:r>
          </w:p>
        </w:tc>
        <w:tc>
          <w:p>
            <w:pPr>
              <w:pStyle w:val="Compact"/>
              <w:jc w:val="left"/>
            </w:pPr>
            <w:r>
              <w:t xml:space="preserve">Updates stone inventory</w:t>
            </w:r>
          </w:p>
        </w:tc>
      </w:tr>
      <w:tr>
        <w:tc>
          <w:p>
            <w:pPr>
              <w:pStyle w:val="Compact"/>
              <w:jc w:val="left"/>
            </w:pPr>
            <w:r>
              <w:t xml:space="preserve">Supplier advance</w:t>
            </w:r>
          </w:p>
        </w:tc>
        <w:tc>
          <w:p>
            <w:pPr>
              <w:pStyle w:val="Compact"/>
              <w:jc w:val="left"/>
            </w:pPr>
            <w:r>
              <w:t xml:space="preserve">Pre-payment before receipt</w:t>
            </w:r>
          </w:p>
        </w:tc>
        <w:tc>
          <w:p>
            <w:pPr>
              <w:pStyle w:val="Compact"/>
              <w:jc w:val="left"/>
            </w:pPr>
            <w:r>
              <w:t xml:space="preserve">AP2 advance tracking</w:t>
            </w:r>
          </w:p>
        </w:tc>
      </w:tr>
      <w:tr>
        <w:tc>
          <w:p>
            <w:pPr>
              <w:pStyle w:val="Compact"/>
              <w:jc w:val="left"/>
            </w:pPr>
            <w:r>
              <w:t xml:space="preserve">Mixed</w:t>
            </w:r>
          </w:p>
        </w:tc>
        <w:tc>
          <w:p>
            <w:pPr>
              <w:pStyle w:val="Compact"/>
              <w:jc w:val="left"/>
            </w:pPr>
            <w:r>
              <w:t xml:space="preserve">Combination in single PO</w:t>
            </w:r>
          </w:p>
        </w:tc>
        <w:tc>
          <w:p>
            <w:pPr>
              <w:pStyle w:val="Compact"/>
              <w:jc w:val="left"/>
            </w:pPr>
            <w:r>
              <w:t xml:space="preserve">Multiple GRN types</w:t>
            </w:r>
          </w:p>
        </w:tc>
      </w:tr>
    </w:tbl>
    <w:p>
      <w:r>
        <w:pict>
          <v:rect style="width:0;height:1.5pt" o:hralign="center" o:hrstd="t" o:hr="t"/>
        </w:pict>
      </w:r>
    </w:p>
    <w:p>
      <w:pPr>
        <w:pStyle w:val="Heading2"/>
      </w:pPr>
      <w:bookmarkStart w:id="28" w:name="po-lifecycle"/>
      <w:r>
        <w:t xml:space="preserve">5. PO LIFECYCLE</w:t>
      </w:r>
      <w:bookmarkEnd w:id="28"/>
    </w:p>
    <w:p>
      <w:pPr>
        <w:pStyle w:val="Heading3"/>
      </w:pPr>
      <w:bookmarkStart w:id="29" w:name="status-flow"/>
      <w:r>
        <w:t xml:space="preserve">5.1 Status Flow</w:t>
      </w:r>
      <w:bookmarkEnd w:id="29"/>
    </w:p>
    <w:p>
      <w:pPr>
        <w:pStyle w:val="SourceCode"/>
      </w:pPr>
      <w:r>
        <w:rPr>
          <w:rStyle w:val="VerbatimChar"/>
        </w:rPr>
        <w:t xml:space="preserve">Draft → Pending → Approved → On loading → In Transit → Received</w:t>
      </w:r>
      <w:r>
        <w:br/>
      </w:r>
      <w:r>
        <w:rPr>
          <w:rStyle w:val="VerbatimChar"/>
        </w:rPr>
        <w:t xml:space="preserve">                  ↘ Rejected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r>
      <w:tr>
        <w:tc>
          <w:p>
            <w:pPr>
              <w:pStyle w:val="Compact"/>
              <w:jc w:val="left"/>
            </w:pPr>
            <w:r>
              <w:t xml:space="preserve">Pending</w:t>
            </w:r>
          </w:p>
        </w:tc>
        <w:tc>
          <w:p>
            <w:pPr>
              <w:pStyle w:val="Compact"/>
              <w:jc w:val="left"/>
            </w:pPr>
            <w:r>
              <w:t xml:space="preserve">Submitted awaiting approval</w:t>
            </w:r>
          </w:p>
        </w:tc>
      </w:tr>
      <w:tr>
        <w:tc>
          <w:p>
            <w:pPr>
              <w:pStyle w:val="Compact"/>
              <w:jc w:val="left"/>
            </w:pPr>
            <w:r>
              <w:t xml:space="preserve">Approved</w:t>
            </w:r>
          </w:p>
        </w:tc>
        <w:tc>
          <w:p>
            <w:pPr>
              <w:pStyle w:val="Compact"/>
              <w:jc w:val="left"/>
            </w:pPr>
            <w:r>
              <w:t xml:space="preserve">Committed; awaiting loading</w:t>
            </w:r>
          </w:p>
        </w:tc>
      </w:tr>
      <w:tr>
        <w:tc>
          <w:p>
            <w:pPr>
              <w:pStyle w:val="Compact"/>
              <w:jc w:val="left"/>
            </w:pPr>
            <w:r>
              <w:t xml:space="preserve">On loading</w:t>
            </w:r>
          </w:p>
        </w:tc>
        <w:tc>
          <w:p>
            <w:pPr>
              <w:pStyle w:val="Compact"/>
              <w:jc w:val="left"/>
            </w:pPr>
            <w:r>
              <w:t xml:space="preserve">Goods being loaded at supplier</w:t>
            </w:r>
          </w:p>
        </w:tc>
      </w:tr>
      <w:tr>
        <w:tc>
          <w:p>
            <w:pPr>
              <w:pStyle w:val="Compact"/>
              <w:jc w:val="left"/>
            </w:pPr>
            <w:r>
              <w:t xml:space="preserve">In Transit</w:t>
            </w:r>
          </w:p>
        </w:tc>
        <w:tc>
          <w:p>
            <w:pPr>
              <w:pStyle w:val="Compact"/>
              <w:jc w:val="left"/>
            </w:pPr>
            <w:r>
              <w:t xml:space="preserve">Haulage paid / goods moving</w:t>
            </w:r>
          </w:p>
        </w:tc>
      </w:tr>
      <w:tr>
        <w:tc>
          <w:p>
            <w:pPr>
              <w:pStyle w:val="Compact"/>
              <w:jc w:val="left"/>
            </w:pPr>
            <w:r>
              <w:t xml:space="preserve">Received</w:t>
            </w:r>
          </w:p>
        </w:tc>
        <w:tc>
          <w:p>
            <w:pPr>
              <w:pStyle w:val="Compact"/>
              <w:jc w:val="left"/>
            </w:pPr>
            <w:r>
              <w:t xml:space="preserve">GRN complete; quantities finalised</w:t>
            </w:r>
          </w:p>
        </w:tc>
      </w:tr>
    </w:tbl>
    <w:p>
      <w:pPr>
        <w:pStyle w:val="Heading3"/>
      </w:pPr>
      <w:bookmarkStart w:id="30" w:name="creating-a-purchase-order"/>
      <w:r>
        <w:t xml:space="preserve">5.2 Creating a Purchase Order</w:t>
      </w:r>
      <w:bookmarkEnd w:id="30"/>
    </w:p>
    <w:p>
      <w:pPr>
        <w:numPr>
          <w:ilvl w:val="0"/>
          <w:numId w:val="1003"/>
        </w:numPr>
        <w:pStyle w:val="Compact"/>
      </w:pPr>
      <w:r>
        <w:rPr>
          <w:b/>
        </w:rPr>
        <w:t xml:space="preserve">Procurement</w:t>
      </w:r>
      <w:r>
        <w:t xml:space="preserve"> </w:t>
      </w:r>
      <w:r>
        <w:t xml:space="preserve">→</w:t>
      </w:r>
      <w:r>
        <w:t xml:space="preserve"> </w:t>
      </w:r>
      <w:r>
        <w:rPr>
          <w:b/>
        </w:rPr>
        <w:t xml:space="preserve">Purchases</w:t>
      </w:r>
      <w:r>
        <w:t xml:space="preserve"> </w:t>
      </w:r>
      <w:r>
        <w:t xml:space="preserve">→</w:t>
      </w:r>
      <w:r>
        <w:t xml:space="preserve"> </w:t>
      </w:r>
      <w:r>
        <w:rPr>
          <w:b/>
        </w:rPr>
        <w:t xml:space="preserve">New PO</w:t>
      </w:r>
      <w:r>
        <w:t xml:space="preserve">.</w:t>
      </w:r>
    </w:p>
    <w:p>
      <w:pPr>
        <w:numPr>
          <w:ilvl w:val="0"/>
          <w:numId w:val="1003"/>
        </w:numPr>
        <w:pStyle w:val="Compact"/>
      </w:pPr>
      <w:r>
        <w:t xml:space="preserve">Select</w:t>
      </w:r>
      <w:r>
        <w:t xml:space="preserve"> </w:t>
      </w:r>
      <w:r>
        <w:rPr>
          <w:b/>
        </w:rPr>
        <w:t xml:space="preserve">supplier</w:t>
      </w:r>
      <w:r>
        <w:t xml:space="preserve">.</w:t>
      </w:r>
    </w:p>
    <w:p>
      <w:pPr>
        <w:numPr>
          <w:ilvl w:val="0"/>
          <w:numId w:val="1003"/>
        </w:numPr>
        <w:pStyle w:val="Compact"/>
      </w:pPr>
      <w:r>
        <w:t xml:space="preserve">Select PO type modal:</w:t>
      </w:r>
      <w:r>
        <w:t xml:space="preserve"> </w:t>
      </w:r>
      <w:r>
        <w:rPr>
          <w:b/>
        </w:rPr>
        <w:t xml:space="preserve">Coil</w:t>
      </w:r>
      <w:r>
        <w:t xml:space="preserve"> </w:t>
      </w:r>
      <w:r>
        <w:t xml:space="preserve">/</w:t>
      </w:r>
      <w:r>
        <w:t xml:space="preserve"> </w:t>
      </w:r>
      <w:r>
        <w:rPr>
          <w:b/>
        </w:rPr>
        <w:t xml:space="preserve">Stone</w:t>
      </w:r>
      <w:r>
        <w:t xml:space="preserve"> </w:t>
      </w:r>
      <w:r>
        <w:t xml:space="preserve">/</w:t>
      </w:r>
      <w:r>
        <w:t xml:space="preserve"> </w:t>
      </w:r>
      <w:r>
        <w:rPr>
          <w:b/>
        </w:rPr>
        <w:t xml:space="preserve">Accessory</w:t>
      </w:r>
      <w:r>
        <w:t xml:space="preserve">.</w:t>
      </w:r>
    </w:p>
    <w:p>
      <w:pPr>
        <w:numPr>
          <w:ilvl w:val="0"/>
          <w:numId w:val="1003"/>
        </w:numPr>
        <w:pStyle w:val="Compact"/>
      </w:pPr>
      <w:r>
        <w:t xml:space="preserve">Add lines:</w:t>
      </w:r>
    </w:p>
    <w:p>
      <w:pPr>
        <w:numPr>
          <w:ilvl w:val="1"/>
          <w:numId w:val="1004"/>
        </w:numPr>
        <w:pStyle w:val="Compact"/>
      </w:pPr>
      <w:r>
        <w:rPr>
          <w:b/>
        </w:rPr>
        <w:t xml:space="preserve">Coil:</w:t>
      </w:r>
      <w:r>
        <w:t xml:space="preserve"> </w:t>
      </w:r>
      <w:r>
        <w:t xml:space="preserve">gauge, colour, kg, price per kg, expected coil specs</w:t>
      </w:r>
    </w:p>
    <w:p>
      <w:pPr>
        <w:numPr>
          <w:ilvl w:val="1"/>
          <w:numId w:val="1004"/>
        </w:numPr>
        <w:pStyle w:val="Compact"/>
      </w:pPr>
      <w:r>
        <w:rPr>
          <w:b/>
        </w:rPr>
        <w:t xml:space="preserve">Stone:</w:t>
      </w:r>
      <w:r>
        <w:t xml:space="preserve"> </w:t>
      </w:r>
      <w:r>
        <w:t xml:space="preserve">sheets, m², product type</w:t>
      </w:r>
    </w:p>
    <w:p>
      <w:pPr>
        <w:numPr>
          <w:ilvl w:val="1"/>
          <w:numId w:val="1004"/>
        </w:numPr>
        <w:pStyle w:val="Compact"/>
      </w:pPr>
      <w:r>
        <w:rPr>
          <w:b/>
        </w:rPr>
        <w:t xml:space="preserve">Accessory:</w:t>
      </w:r>
      <w:r>
        <w:t xml:space="preserve"> </w:t>
      </w:r>
      <w:r>
        <w:t xml:space="preserve">SKU, quantity, unit price</w:t>
      </w:r>
    </w:p>
    <w:p>
      <w:pPr>
        <w:numPr>
          <w:ilvl w:val="0"/>
          <w:numId w:val="1003"/>
        </w:numPr>
        <w:pStyle w:val="Compact"/>
      </w:pPr>
      <w:r>
        <w:t xml:space="preserve">Enter transport fields: agent, haulage cost, expected delivery date.</w:t>
      </w:r>
    </w:p>
    <w:p>
      <w:pPr>
        <w:numPr>
          <w:ilvl w:val="0"/>
          <w:numId w:val="1003"/>
        </w:numPr>
        <w:pStyle w:val="Compact"/>
      </w:pPr>
      <w:r>
        <w:t xml:space="preserve">Save →</w:t>
      </w:r>
      <w:r>
        <w:t xml:space="preserve"> </w:t>
      </w:r>
      <w:r>
        <w:rPr>
          <w:rStyle w:val="VerbatimChar"/>
        </w:rPr>
        <w:t xml:space="preserve">PO-KD-26-NNNN</w:t>
      </w:r>
      <w:r>
        <w:t xml:space="preserve"> </w:t>
      </w:r>
      <w:r>
        <w:t xml:space="preserve">(branch code of creating workspace).</w:t>
      </w:r>
    </w:p>
    <w:p>
      <w:pPr>
        <w:numPr>
          <w:ilvl w:val="0"/>
          <w:numId w:val="1003"/>
        </w:numPr>
        <w:pStyle w:val="Compact"/>
      </w:pPr>
      <w:r>
        <w:t xml:space="preserve">Status: Pending (or Approved if creator has authority).</w:t>
      </w:r>
    </w:p>
    <w:p>
      <w:pPr>
        <w:pStyle w:val="Heading3"/>
      </w:pPr>
      <w:bookmarkStart w:id="31" w:name="po-approval"/>
      <w:r>
        <w:t xml:space="preserve">5.3 PO Approval</w:t>
      </w:r>
      <w:bookmarkEnd w:id="31"/>
    </w:p>
    <w:p>
      <w:pPr>
        <w:numPr>
          <w:ilvl w:val="0"/>
          <w:numId w:val="1005"/>
        </w:numPr>
        <w:pStyle w:val="Compact"/>
      </w:pPr>
      <w:r>
        <w:t xml:space="preserve">MD approves major coil POs (default policy)</w:t>
      </w:r>
    </w:p>
    <w:p>
      <w:pPr>
        <w:numPr>
          <w:ilvl w:val="0"/>
          <w:numId w:val="1005"/>
        </w:numPr>
        <w:pStyle w:val="Compact"/>
      </w:pPr>
      <w:r>
        <w:t xml:space="preserve">BM may approve within local limits if configured</w:t>
      </w:r>
    </w:p>
    <w:p>
      <w:pPr>
        <w:numPr>
          <w:ilvl w:val="0"/>
          <w:numId w:val="1005"/>
        </w:numPr>
        <w:pStyle w:val="Compact"/>
      </w:pPr>
      <w:r>
        <w:t xml:space="preserve">Rejected POs cannot proceed to loading</w:t>
      </w:r>
    </w:p>
    <w:p>
      <w:pPr>
        <w:pStyle w:val="Heading3"/>
      </w:pPr>
      <w:bookmarkStart w:id="32" w:name="transport-and-in-transit"/>
      <w:r>
        <w:t xml:space="preserve">5.4 Transport and In-Transit</w:t>
      </w:r>
      <w:bookmarkEnd w:id="32"/>
    </w:p>
    <w:p>
      <w:pPr>
        <w:numPr>
          <w:ilvl w:val="0"/>
          <w:numId w:val="1006"/>
        </w:numPr>
        <w:pStyle w:val="Compact"/>
      </w:pPr>
      <w:r>
        <w:t xml:space="preserve">Assign</w:t>
      </w:r>
      <w:r>
        <w:t xml:space="preserve"> </w:t>
      </w:r>
      <w:r>
        <w:rPr>
          <w:b/>
        </w:rPr>
        <w:t xml:space="preserve">transport agent</w:t>
      </w:r>
      <w:r>
        <w:t xml:space="preserve"> </w:t>
      </w:r>
      <w:r>
        <w:t xml:space="preserve">on approved PO.</w:t>
      </w:r>
    </w:p>
    <w:p>
      <w:pPr>
        <w:numPr>
          <w:ilvl w:val="0"/>
          <w:numId w:val="1006"/>
        </w:numPr>
        <w:pStyle w:val="Compact"/>
      </w:pPr>
      <w:r>
        <w:t xml:space="preserve">Update status →</w:t>
      </w:r>
      <w:r>
        <w:t xml:space="preserve"> </w:t>
      </w:r>
      <w:r>
        <w:rPr>
          <w:b/>
        </w:rPr>
        <w:t xml:space="preserve">On loading</w:t>
      </w:r>
      <w:r>
        <w:t xml:space="preserve"> </w:t>
      </w:r>
      <w:r>
        <w:t xml:space="preserve">when loading commences.</w:t>
      </w:r>
    </w:p>
    <w:p>
      <w:pPr>
        <w:numPr>
          <w:ilvl w:val="0"/>
          <w:numId w:val="1006"/>
        </w:numPr>
        <w:pStyle w:val="Compact"/>
      </w:pPr>
      <w:r>
        <w:t xml:space="preserve">Post</w:t>
      </w:r>
      <w:r>
        <w:t xml:space="preserve"> </w:t>
      </w:r>
      <w:r>
        <w:rPr>
          <w:b/>
        </w:rPr>
        <w:t xml:space="preserve">haulage payment</w:t>
      </w:r>
      <w:r>
        <w:t xml:space="preserve"> </w:t>
      </w:r>
      <w:r>
        <w:t xml:space="preserve">(optional) → may advance to</w:t>
      </w:r>
      <w:r>
        <w:t xml:space="preserve"> </w:t>
      </w:r>
      <w:r>
        <w:rPr>
          <w:b/>
        </w:rPr>
        <w:t xml:space="preserve">In Transit</w:t>
      </w:r>
      <w:r>
        <w:t xml:space="preserve">.</w:t>
      </w:r>
    </w:p>
    <w:p>
      <w:pPr>
        <w:numPr>
          <w:ilvl w:val="0"/>
          <w:numId w:val="1006"/>
        </w:numPr>
        <w:pStyle w:val="Compact"/>
      </w:pPr>
      <w:r>
        <w:rPr>
          <w:rStyle w:val="VerbatimChar"/>
        </w:rPr>
        <w:t xml:space="preserve">syncPurchaseOrderTransportPaymentState</w:t>
      </w:r>
      <w:r>
        <w:t xml:space="preserve"> </w:t>
      </w:r>
      <w:r>
        <w:t xml:space="preserve">links treasury payment to status.</w:t>
      </w:r>
    </w:p>
    <w:p>
      <w:pPr>
        <w:numPr>
          <w:ilvl w:val="0"/>
          <w:numId w:val="1006"/>
        </w:numPr>
        <w:pStyle w:val="Compact"/>
      </w:pPr>
      <w:r>
        <w:t xml:space="preserve">Create</w:t>
      </w:r>
      <w:r>
        <w:t xml:space="preserve"> </w:t>
      </w:r>
      <w:r>
        <w:rPr>
          <w:b/>
        </w:rPr>
        <w:t xml:space="preserve">In-Transit Load</w:t>
      </w:r>
      <w:r>
        <w:t xml:space="preserve"> </w:t>
      </w:r>
      <w:r>
        <w:t xml:space="preserve">(</w:t>
      </w:r>
      <w:r>
        <w:rPr>
          <w:rStyle w:val="VerbatimChar"/>
        </w:rPr>
        <w:t xml:space="preserve">IT-KD-26-NNNN</w:t>
      </w:r>
      <w:r>
        <w:t xml:space="preserve">) for tracking.</w:t>
      </w:r>
    </w:p>
    <w:p>
      <w:pPr>
        <w:pStyle w:val="Heading3"/>
      </w:pPr>
      <w:bookmarkStart w:id="33" w:name="goods-receipt-handoff-to-operations"/>
      <w:r>
        <w:t xml:space="preserve">5.5 Goods Receipt (Handoff to Operations)</w:t>
      </w:r>
      <w:bookmarkEnd w:id="33"/>
    </w:p>
    <w:p>
      <w:pPr>
        <w:pStyle w:val="FirstParagraph"/>
      </w:pPr>
      <w:r>
        <w:t xml:space="preserve">When goods arrive at branch —</w:t>
      </w:r>
      <w:r>
        <w:t xml:space="preserve"> </w:t>
      </w:r>
      <w:r>
        <w:rPr>
          <w:b/>
        </w:rPr>
        <w:t xml:space="preserve">Operations posts GRN</w:t>
      </w:r>
      <w:r>
        <w:t xml:space="preserve"> </w:t>
      </w:r>
      <w:r>
        <w:t xml:space="preserve">(SOP-04 §3):</w:t>
      </w:r>
      <w:r>
        <w:t xml:space="preserve"> </w:t>
      </w:r>
      <w:r>
        <w:t xml:space="preserve">- PO status →</w:t>
      </w:r>
      <w:r>
        <w:t xml:space="preserve"> </w:t>
      </w:r>
      <w:r>
        <w:rPr>
          <w:b/>
        </w:rPr>
        <w:t xml:space="preserve">Received</w:t>
      </w:r>
      <w:r>
        <w:t xml:space="preserve"> </w:t>
      </w:r>
      <w:r>
        <w:t xml:space="preserve">when all lines fully received</w:t>
      </w:r>
      <w:r>
        <w:t xml:space="preserve"> </w:t>
      </w:r>
      <w:r>
        <w:t xml:space="preserve">- Short receipt: tolerance check; above tolerance → MD work item (</w:t>
      </w:r>
      <w:r>
        <w:rPr>
          <w:rStyle w:val="VerbatimChar"/>
        </w:rPr>
        <w:t xml:space="preserve">procurementWorkItems.js</w:t>
      </w:r>
      <w:r>
        <w:t xml:space="preserve">)</w:t>
      </w:r>
    </w:p>
    <w:p>
      <w:r>
        <w:pict>
          <v:rect style="width:0;height:1.5pt" o:hralign="center" o:hrstd="t" o:hr="t"/>
        </w:pict>
      </w:r>
    </w:p>
    <w:p>
      <w:pPr>
        <w:pStyle w:val="Heading2"/>
      </w:pPr>
      <w:bookmarkStart w:id="34" w:name="supplier-payment"/>
      <w:r>
        <w:t xml:space="preserve">6. SUPPLIER PAYMENT</w:t>
      </w:r>
      <w:bookmarkEnd w:id="34"/>
    </w:p>
    <w:p>
      <w:pPr>
        <w:pStyle w:val="Heading3"/>
      </w:pPr>
      <w:bookmarkStart w:id="35" w:name="procedure"/>
      <w:r>
        <w:t xml:space="preserve">6.1 Procedure</w:t>
      </w:r>
      <w:bookmarkEnd w:id="35"/>
    </w:p>
    <w:p>
      <w:pPr>
        <w:numPr>
          <w:ilvl w:val="0"/>
          <w:numId w:val="1007"/>
        </w:numPr>
        <w:pStyle w:val="Compact"/>
      </w:pPr>
      <w:r>
        <w:rPr>
          <w:b/>
        </w:rPr>
        <w:t xml:space="preserve">Procurement</w:t>
      </w:r>
      <w:r>
        <w:t xml:space="preserve"> </w:t>
      </w:r>
      <w:r>
        <w:t xml:space="preserve">→</w:t>
      </w:r>
      <w:r>
        <w:t xml:space="preserve"> </w:t>
      </w:r>
      <w:r>
        <w:rPr>
          <w:b/>
        </w:rPr>
        <w:t xml:space="preserve">Payments</w:t>
      </w:r>
      <w:r>
        <w:t xml:space="preserve"> </w:t>
      </w:r>
      <w:r>
        <w:t xml:space="preserve">tab (or Finance desk).</w:t>
      </w:r>
    </w:p>
    <w:p>
      <w:pPr>
        <w:numPr>
          <w:ilvl w:val="0"/>
          <w:numId w:val="1007"/>
        </w:numPr>
        <w:pStyle w:val="Compact"/>
      </w:pPr>
      <w:r>
        <w:t xml:space="preserve">Select PO / payable line.</w:t>
      </w:r>
    </w:p>
    <w:p>
      <w:pPr>
        <w:numPr>
          <w:ilvl w:val="0"/>
          <w:numId w:val="1007"/>
        </w:numPr>
        <w:pStyle w:val="Compact"/>
      </w:pPr>
      <w:r>
        <w:t xml:space="preserve">Verify three-way match readiness: ordered, received, due.</w:t>
      </w:r>
    </w:p>
    <w:p>
      <w:pPr>
        <w:numPr>
          <w:ilvl w:val="0"/>
          <w:numId w:val="1007"/>
        </w:numPr>
        <w:pStyle w:val="Compact"/>
      </w:pPr>
      <w:r>
        <w:t xml:space="preserve">Finance posts</w:t>
      </w:r>
      <w:r>
        <w:t xml:space="preserve"> </w:t>
      </w:r>
      <w:r>
        <w:rPr>
          <w:b/>
        </w:rPr>
        <w:t xml:space="preserve">supplier payment</w:t>
      </w:r>
      <w:r>
        <w:t xml:space="preserve">:</w:t>
      </w:r>
    </w:p>
    <w:p>
      <w:pPr>
        <w:numPr>
          <w:ilvl w:val="1"/>
          <w:numId w:val="1008"/>
        </w:numPr>
        <w:pStyle w:val="Compact"/>
      </w:pPr>
      <w:r>
        <w:t xml:space="preserve">Links to PO and treasury account</w:t>
      </w:r>
    </w:p>
    <w:p>
      <w:pPr>
        <w:numPr>
          <w:ilvl w:val="1"/>
          <w:numId w:val="1008"/>
        </w:numPr>
        <w:pStyle w:val="Compact"/>
      </w:pPr>
      <w:r>
        <w:t xml:space="preserve">Updates</w:t>
      </w:r>
      <w:r>
        <w:t xml:space="preserve"> </w:t>
      </w:r>
      <w:r>
        <w:rPr>
          <w:rStyle w:val="VerbatimChar"/>
        </w:rPr>
        <w:t xml:space="preserve">accounts_payable</w:t>
      </w:r>
      <w:r>
        <w:t xml:space="preserve"> </w:t>
      </w:r>
      <w:r>
        <w:t xml:space="preserve">and</w:t>
      </w:r>
      <w:r>
        <w:t xml:space="preserve"> </w:t>
      </w:r>
      <w:r>
        <w:rPr>
          <w:rStyle w:val="VerbatimChar"/>
        </w:rPr>
        <w:t xml:space="preserve">supplier_paid_ngn</w:t>
      </w:r>
    </w:p>
    <w:p>
      <w:pPr>
        <w:numPr>
          <w:ilvl w:val="0"/>
          <w:numId w:val="1007"/>
        </w:numPr>
        <w:pStyle w:val="Compact"/>
      </w:pPr>
      <w:r>
        <w:t xml:space="preserve">AP2: payment clears AP liability created at GRN.</w:t>
      </w:r>
    </w:p>
    <w:p>
      <w:pPr>
        <w:pStyle w:val="Heading3"/>
      </w:pPr>
      <w:bookmarkStart w:id="36" w:name="supplier-advances-ap2"/>
      <w:r>
        <w:t xml:space="preserve">6.2 Supplier Advances (AP2)</w:t>
      </w:r>
      <w:bookmarkEnd w:id="36"/>
    </w:p>
    <w:p>
      <w:pPr>
        <w:pStyle w:val="FirstParagraph"/>
      </w:pPr>
      <w:r>
        <w:t xml:space="preserve">Pre-payment before goods receipt:</w:t>
      </w:r>
      <w:r>
        <w:t xml:space="preserve"> </w:t>
      </w:r>
      <w:r>
        <w:t xml:space="preserve">1. Record advance on PO</w:t>
      </w:r>
      <w:r>
        <w:t xml:space="preserve"> </w:t>
      </w:r>
      <w:r>
        <w:t xml:space="preserve">2. Tracked as supplier advance under AP2</w:t>
      </w:r>
      <w:r>
        <w:t xml:space="preserve"> </w:t>
      </w:r>
      <w:r>
        <w:t xml:space="preserve">3. On GRN: advance applied against payable</w:t>
      </w:r>
      <w:r>
        <w:t xml:space="preserve"> </w:t>
      </w:r>
      <w:r>
        <w:t xml:space="preserve">4. Diagnostics: Accounting desk → AP2 → unmatched advances</w:t>
      </w:r>
    </w:p>
    <w:p>
      <w:r>
        <w:pict>
          <v:rect style="width:0;height:1.5pt" o:hralign="center" o:hrstd="t" o:hr="t"/>
        </w:pict>
      </w:r>
    </w:p>
    <w:p>
      <w:pPr>
        <w:pStyle w:val="Heading2"/>
      </w:pPr>
      <w:bookmarkStart w:id="37" w:name="material-requests"/>
      <w:r>
        <w:t xml:space="preserve">7. MATERIAL REQUESTS</w:t>
      </w:r>
      <w:bookmarkEnd w:id="37"/>
    </w:p>
    <w:p>
      <w:pPr>
        <w:pStyle w:val="FirstParagraph"/>
      </w:pPr>
      <w:r>
        <w:t xml:space="preserve">Internal branch-to-branch or store requests:</w:t>
      </w:r>
    </w:p>
    <w:p>
      <w:pPr>
        <w:numPr>
          <w:ilvl w:val="0"/>
          <w:numId w:val="1009"/>
        </w:numPr>
        <w:pStyle w:val="Compact"/>
      </w:pPr>
      <w:r>
        <w:t xml:space="preserve">Create</w:t>
      </w:r>
      <w:r>
        <w:t xml:space="preserve"> </w:t>
      </w:r>
      <w:r>
        <w:rPr>
          <w:b/>
        </w:rPr>
        <w:t xml:space="preserve">Material Request</w:t>
      </w:r>
      <w:r>
        <w:t xml:space="preserve"> </w:t>
      </w:r>
      <w:r>
        <w:t xml:space="preserve">(MREQ-XX-YY-NNNN) from Office or Operations</w:t>
      </w:r>
    </w:p>
    <w:p>
      <w:pPr>
        <w:numPr>
          <w:ilvl w:val="0"/>
          <w:numId w:val="1009"/>
        </w:numPr>
        <w:pStyle w:val="Compact"/>
      </w:pPr>
      <w:r>
        <w:t xml:space="preserve">Approve and fulfil</w:t>
      </w:r>
    </w:p>
    <w:p>
      <w:pPr>
        <w:numPr>
          <w:ilvl w:val="0"/>
          <w:numId w:val="1009"/>
        </w:numPr>
        <w:pStyle w:val="Compact"/>
      </w:pPr>
      <w:r>
        <w:t xml:space="preserve">Stock movements; optional inter-branch treasury entries</w:t>
      </w:r>
    </w:p>
    <w:p>
      <w:r>
        <w:pict>
          <v:rect style="width:0;height:1.5pt" o:hralign="center" o:hrstd="t" o:hr="t"/>
        </w:pict>
      </w:r>
    </w:p>
    <w:p>
      <w:pPr>
        <w:pStyle w:val="Heading2"/>
      </w:pPr>
      <w:bookmarkStart w:id="38" w:name="conversion-standards"/>
      <w:r>
        <w:t xml:space="preserve">8. CONVERSION STANDARDS</w:t>
      </w:r>
      <w:bookmarkEnd w:id="38"/>
    </w:p>
    <w:p>
      <w:pPr>
        <w:pStyle w:val="FirstParagraph"/>
      </w:pPr>
      <w:r>
        <w:rPr>
          <w:b/>
        </w:rPr>
        <w:t xml:space="preserve">Procurement</w:t>
      </w:r>
      <w:r>
        <w:t xml:space="preserve"> </w:t>
      </w:r>
      <w:r>
        <w:t xml:space="preserve">→</w:t>
      </w:r>
      <w:r>
        <w:t xml:space="preserve"> </w:t>
      </w:r>
      <w:r>
        <w:rPr>
          <w:b/>
        </w:rPr>
        <w:t xml:space="preserve">Conversion</w:t>
      </w:r>
      <w:r>
        <w:t xml:space="preserve"> </w:t>
      </w:r>
      <w:r>
        <w:t xml:space="preserve">tab:</w:t>
      </w:r>
    </w:p>
    <w:p>
      <w:pPr>
        <w:numPr>
          <w:ilvl w:val="0"/>
          <w:numId w:val="1010"/>
        </w:numPr>
        <w:pStyle w:val="Compact"/>
      </w:pPr>
      <w:r>
        <w:t xml:space="preserve">Coil density (kg/m) per gauge — used for conversion variance calculation</w:t>
      </w:r>
    </w:p>
    <w:p>
      <w:pPr>
        <w:numPr>
          <w:ilvl w:val="0"/>
          <w:numId w:val="1010"/>
        </w:numPr>
        <w:pStyle w:val="Compact"/>
      </w:pPr>
      <w:r>
        <w:t xml:space="preserve">Price list administration (also</w:t>
      </w:r>
      <w:r>
        <w:t xml:space="preserve"> </w:t>
      </w:r>
      <w:r>
        <w:rPr>
          <w:rStyle w:val="VerbatimChar"/>
        </w:rPr>
        <w:t xml:space="preserve">/price-list</w:t>
      </w:r>
      <w:r>
        <w:t xml:space="preserve">)</w:t>
      </w:r>
    </w:p>
    <w:p>
      <w:pPr>
        <w:numPr>
          <w:ilvl w:val="0"/>
          <w:numId w:val="1010"/>
        </w:numPr>
        <w:pStyle w:val="Compact"/>
      </w:pPr>
      <w:r>
        <w:t xml:space="preserve">Material pricing workbook floors</w:t>
      </w:r>
    </w:p>
    <w:p>
      <w:pPr>
        <w:pStyle w:val="FirstParagraph"/>
      </w:pPr>
      <w:r>
        <w:t xml:space="preserve">Changes affect production conversion checks — coordinate with Production Manager before updating.</w:t>
      </w:r>
    </w:p>
    <w:p>
      <w:r>
        <w:pict>
          <v:rect style="width:0;height:1.5pt" o:hralign="center" o:hrstd="t" o:hr="t"/>
        </w:pict>
      </w:r>
    </w:p>
    <w:p>
      <w:pPr>
        <w:pStyle w:val="Heading2"/>
      </w:pPr>
      <w:bookmarkStart w:id="39" w:name="procurement-dashboard"/>
      <w:r>
        <w:t xml:space="preserve">9. PROCUREMENT DASHBOARD</w:t>
      </w:r>
      <w:bookmarkEnd w:id="39"/>
    </w:p>
    <w:p>
      <w:pPr>
        <w:pStyle w:val="FirstParagraph"/>
      </w:pPr>
      <w:r>
        <w:rPr>
          <w:rStyle w:val="VerbatimChar"/>
        </w:rPr>
        <w:t xml:space="preserve">/api/procurement/dashboard/*</w:t>
      </w:r>
      <w:r>
        <w:t xml:space="preserve">:</w:t>
      </w:r>
      <w:r>
        <w:t xml:space="preserve"> </w:t>
      </w:r>
      <w:r>
        <w:t xml:space="preserve">- Open POs by status</w:t>
      </w:r>
      <w:r>
        <w:t xml:space="preserve"> </w:t>
      </w:r>
      <w:r>
        <w:t xml:space="preserve">- In-transit loads</w:t>
      </w:r>
      <w:r>
        <w:t xml:space="preserve"> </w:t>
      </w:r>
      <w:r>
        <w:t xml:space="preserve">- Supplier payable aging</w:t>
      </w:r>
      <w:r>
        <w:t xml:space="preserve"> </w:t>
      </w:r>
      <w:r>
        <w:t xml:space="preserve">- Short receipt alerts</w:t>
      </w:r>
    </w:p>
    <w:p>
      <w:r>
        <w:pict>
          <v:rect style="width:0;height:1.5pt" o:hralign="center" o:hrstd="t" o:hr="t"/>
        </w:pict>
      </w:r>
    </w:p>
    <w:p>
      <w:pPr>
        <w:pStyle w:val="Heading2"/>
      </w:pPr>
      <w:bookmarkStart w:id="40" w:name="controls"/>
      <w:r>
        <w:t xml:space="preserve">10. CONTROLS</w:t>
      </w:r>
      <w:bookmarkEnd w:id="40"/>
    </w:p>
    <w:tbl>
      <w:tblPr>
        <w:tblStyle w:val="Table"/>
        <w:tblW w:type="pct" w:w="5000.0"/>
        <w:tblLook w:firstRow="1"/>
      </w:tblPr>
      <w:tblGrid>
        <w:gridCol w:w="4192"/>
        <w:gridCol w:w="3727"/>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Detail</w:t>
            </w:r>
          </w:p>
        </w:tc>
      </w:tr>
      <w:tr>
        <w:tc>
          <w:p>
            <w:pPr>
              <w:pStyle w:val="Compact"/>
              <w:jc w:val="left"/>
            </w:pPr>
            <w:r>
              <w:t xml:space="preserve">MD notification</w:t>
            </w:r>
          </w:p>
        </w:tc>
        <w:tc>
          <w:p>
            <w:pPr>
              <w:pStyle w:val="Compact"/>
              <w:jc w:val="left"/>
            </w:pPr>
            <w:r>
              <w:t xml:space="preserve">Coil short receipt above tolerance</w:t>
            </w:r>
          </w:p>
        </w:tc>
      </w:tr>
      <w:tr>
        <w:tc>
          <w:p>
            <w:pPr>
              <w:pStyle w:val="Compact"/>
              <w:jc w:val="left"/>
            </w:pPr>
            <w:r>
              <w:t xml:space="preserve">Company-wide suppliers</w:t>
            </w:r>
          </w:p>
        </w:tc>
        <w:tc>
          <w:p>
            <w:pPr>
              <w:pStyle w:val="Compact"/>
              <w:jc w:val="left"/>
            </w:pPr>
            <w:r>
              <w:t xml:space="preserve">Single supplier record prevents duplicate payments</w:t>
            </w:r>
          </w:p>
        </w:tc>
      </w:tr>
      <w:tr>
        <w:tc>
          <w:p>
            <w:pPr>
              <w:pStyle w:val="Compact"/>
              <w:jc w:val="left"/>
            </w:pPr>
            <w:r>
              <w:t xml:space="preserve">PO edit after Received</w:t>
            </w:r>
          </w:p>
        </w:tc>
        <w:tc>
          <w:p>
            <w:pPr>
              <w:pStyle w:val="Compact"/>
              <w:jc w:val="left"/>
            </w:pPr>
            <w:r>
              <w:t xml:space="preserve">Requires Edit Approval</w:t>
            </w:r>
          </w:p>
        </w:tc>
      </w:tr>
      <w:tr>
        <w:tc>
          <w:p>
            <w:pPr>
              <w:pStyle w:val="Compact"/>
              <w:jc w:val="left"/>
            </w:pPr>
            <w:r>
              <w:t xml:space="preserve">Transport payment sync</w:t>
            </w:r>
          </w:p>
        </w:tc>
        <w:tc>
          <w:p>
            <w:pPr>
              <w:pStyle w:val="Compact"/>
              <w:jc w:val="left"/>
            </w:pPr>
            <w:r>
              <w:t xml:space="preserve">Status auto-updates on haulage treasury post</w:t>
            </w:r>
          </w:p>
        </w:tc>
      </w:tr>
      <w:tr>
        <w:tc>
          <w:p>
            <w:pPr>
              <w:pStyle w:val="Compact"/>
              <w:jc w:val="left"/>
            </w:pPr>
            <w:r>
              <w:t xml:space="preserve">AP2 liability</w:t>
            </w:r>
          </w:p>
        </w:tc>
        <w:tc>
          <w:p>
            <w:pPr>
              <w:pStyle w:val="Compact"/>
              <w:jc w:val="left"/>
            </w:pPr>
            <w:r>
              <w:t xml:space="preserve">GRN creates AP; payment clears — not payment-created liability</w:t>
            </w:r>
          </w:p>
        </w:tc>
      </w:tr>
    </w:tbl>
    <w:p>
      <w:r>
        <w:pict>
          <v:rect style="width:0;height:1.5pt" o:hralign="center" o:hrstd="t" o:hr="t"/>
        </w:pict>
      </w:r>
    </w:p>
    <w:p>
      <w:pPr>
        <w:pStyle w:val="Heading2"/>
      </w:pPr>
      <w:bookmarkStart w:id="41" w:name="month-end-procurement-checklist"/>
      <w:r>
        <w:t xml:space="preserve">11. MONTH-END PROCUREMENT CHECKLIST</w:t>
      </w:r>
      <w:bookmarkEnd w:id="41"/>
    </w:p>
    <w:p>
      <w:pPr>
        <w:numPr>
          <w:ilvl w:val="0"/>
          <w:numId w:val="1011"/>
        </w:numPr>
        <w:pStyle w:val="Compact"/>
      </w:pPr>
      <w:r>
        <w:t xml:space="preserve">☐ All received goods GRN’d</w:t>
      </w:r>
    </w:p>
    <w:p>
      <w:pPr>
        <w:numPr>
          <w:ilvl w:val="0"/>
          <w:numId w:val="1011"/>
        </w:numPr>
        <w:pStyle w:val="Compact"/>
      </w:pPr>
      <w:r>
        <w:t xml:space="preserve">☐ In-transit loads reconciled</w:t>
      </w:r>
    </w:p>
    <w:p>
      <w:pPr>
        <w:numPr>
          <w:ilvl w:val="0"/>
          <w:numId w:val="1011"/>
        </w:numPr>
        <w:pStyle w:val="Compact"/>
      </w:pPr>
      <w:r>
        <w:t xml:space="preserve">☐ Supplier payables match GRN register</w:t>
      </w:r>
    </w:p>
    <w:p>
      <w:pPr>
        <w:numPr>
          <w:ilvl w:val="0"/>
          <w:numId w:val="1011"/>
        </w:numPr>
        <w:pStyle w:val="Compact"/>
      </w:pPr>
      <w:r>
        <w:t xml:space="preserve">☐ Unmatched advances investigated (AP2 diagnostics)</w:t>
      </w:r>
    </w:p>
    <w:p>
      <w:pPr>
        <w:numPr>
          <w:ilvl w:val="0"/>
          <w:numId w:val="1011"/>
        </w:numPr>
        <w:pStyle w:val="Compact"/>
      </w:pPr>
      <w:r>
        <w:t xml:space="preserve">☐ Open POs documented (on order vs in transit)</w:t>
      </w:r>
    </w:p>
    <w:p>
      <w:r>
        <w:pict>
          <v:rect style="width:0;height:1.5pt" o:hralign="center" o:hrstd="t" o:hr="t"/>
        </w:pict>
      </w:r>
    </w:p>
    <w:p>
      <w:pPr>
        <w:pStyle w:val="FirstParagraph"/>
      </w:pPr>
      <w:r>
        <w:rPr>
          <w:i/>
        </w:rPr>
        <w:t xml:space="preserve">End of SOP-06. Cross-references: SOP-04 (GRN), SOP-03 (AP2 payables), SOP-08 (MD approvals).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2026-06-24T14:06:40Z</dcterms:created>
  <dcterms:modified xsi:type="dcterms:W3CDTF">2026-06-24T14:06:40Z</dcterms:modified>
</cp:coreProperties>
</file>

<file path=docProps/custom.xml><?xml version="1.0" encoding="utf-8"?>
<Properties xmlns="http://schemas.openxmlformats.org/officeDocument/2006/custom-properties" xmlns:vt="http://schemas.openxmlformats.org/officeDocument/2006/docPropsVTypes"/>
</file>