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jc w:val="right"/>
      </w:pPr>
      <w:r>
        <w:rPr>
          <w:rFonts w:ascii="Times New Roman" w:hAnsi="Times New Roman"/>
          <w:b w:val="0"/>
          <w:sz w:val="24"/>
          <w:u w:val="none"/>
        </w:rPr>
        <w:t>Приложение</w:t>
      </w:r>
    </w:p>
    <w:p>
      <w:pPr>
        <w:spacing w:line="276" w:lineRule="auto" w:after="200"/>
        <w:jc w:val="center"/>
      </w:pPr>
      <w:r>
        <w:rPr>
          <w:rFonts w:ascii="Times New Roman" w:hAnsi="Times New Roman"/>
          <w:b w:val="0"/>
          <w:sz w:val="24"/>
          <w:u w:val="none"/>
        </w:rPr>
        <w:t xml:space="preserve">Организация мероприятий по основным направлениям воспитательной работы в </w:t>
      </w:r>
      <w:r>
        <w:rPr>
          <w:rFonts w:ascii="Times New Roman" w:hAnsi="Times New Roman"/>
          <w:b w:val="0"/>
          <w:sz w:val="24"/>
          <w:u w:val="none"/>
        </w:rPr>
        <w:t>_________________________ за марта 2026 года</w:t>
      </w:r>
    </w:p>
    <w:p>
      <w:pPr>
        <w:spacing w:line="276" w:lineRule="auto" w:after="200"/>
      </w:pPr>
      <w:r>
        <w:rPr>
          <w:rFonts w:ascii="Times New Roman" w:hAnsi="Times New Roman"/>
          <w:b w:val="0"/>
          <w:sz w:val="24"/>
          <w:u w:val="none"/>
        </w:rPr>
        <w:t xml:space="preserve">Численность педагогических работников, получающих денежное вознаграждение за классное руководство (кураторство), по состоянию на 13.01.2026 г. - </w:t>
      </w:r>
      <w:r>
        <w:rPr>
          <w:rFonts w:ascii="Times New Roman" w:hAnsi="Times New Roman"/>
          <w:b w:val="0"/>
          <w:sz w:val="24"/>
          <w:highlight w:val="yellow"/>
          <w:u w:val="none"/>
        </w:rPr>
        <w:t>_____ человек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"/>
        <w:gridCol w:w="1276"/>
        <w:gridCol w:w="1843"/>
        <w:gridCol w:w="1559"/>
        <w:gridCol w:w="1417"/>
        <w:gridCol w:w="2126"/>
        <w:gridCol w:w="1843"/>
        <w:gridCol w:w="2976"/>
        <w:gridCol w:w="1990"/>
      </w:tblGrid>
      <w:tr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№ п/п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Дата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Название мероприятия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Уровень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Место проведения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 xml:space="preserve">Форма проведения мероприятия </w:t>
              <w:br/>
              <w:br/>
              <w:t>(классный час, волонтерская акция, родительское собрание, презентация, мастер-класс, конференции, форумы, региональные и всероссийские акции, проекты, иные)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 xml:space="preserve">Формат участия в мероприятии </w:t>
              <w:br/>
              <w:br/>
              <w:t>(очный, дистанционный, смешанный)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Краткое описание, результат</w:t>
            </w:r>
          </w:p>
        </w:tc>
        <w:tc>
          <w:tcPr>
            <w:tcW w:type="dxa" w:w="1619"/>
            <w:shd w:fill="F2F2F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Ссылки на публикации</w:t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гражданско-патриотической направленности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2026-04-20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 «Терроризм, как не стать жертвой вербовки»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 по профилактике терроризма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https://vk.com/wall-113103317_10220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добровольческой направленности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в рамках духовно-нравственного воспитания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2026-04-26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Неделя психологии «Страничка психолога»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Соцсети колледжа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Дистанционный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Изучение стресса и способов борьбы с ним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https://vk.com/wall-113103317_10278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естественно-научной направленности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творческой направленности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2026-04-16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Игровая перемена "Многоцветие России"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Интерактивное мероприятие по изучению культурного кода России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https://vk.com/wall-113103317_10144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2026-04-12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Конкурс тематических газет "К звёздам - первыми!"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Творческий конкурс по истории освоения космоса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https://vk.com/wall-113103317_10118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2026-04-12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День космонавтики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Мероприятие, посвящённое первому полёту человека в космос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https://vk.com/wall-113103317_10084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Мероприятия, посвященные безопасности жизнедеятельности и здоровому образу жизни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2026-04-22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Темная сторона искусственного интеллекта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Ауд. 113 Колледжа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Презентация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Урок по финансовой безопасности и защите от мошенничества с искусственным интеллектом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https://vk.com/wall-113103317_10238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2026-04-15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Операция «Чистое поколение – 2026»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Региональные и всероссийские акции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Антинаркотическая операция по профилактике наркопотребления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https://vk.com/wall-113103317_10094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2026-04-06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Продолжение урока по финансовой безопасности «Темная сторона искусственного интеллекта»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Презентация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Повторный урок по защите от финансовых угроз с использованием ИИ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https://vk.com/wall-113103317_10085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экологической направленности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2026-04-13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Выставка «Пасхальная радость»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Колледж</w:t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Классный час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Очный</w:t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Выставка пасхальных работ студентов и их семей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https://vk.com/wall-113103317_10122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Мероприятия, направленные на развитие лидерских качеств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>Мероприятия по воспитанию ценности научного познания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15455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none"/>
              </w:rPr>
              <w:t xml:space="preserve">Направление 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2026-04-20</w:t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Запись отсутствует</w:t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Соцсети колледжа</w:t>
            </w:r>
          </w:p>
        </w:tc>
      </w:tr>
      <w:tr>
        <w:tc>
          <w:tcPr>
            <w:tcW w:type="dxa" w:w="42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1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84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9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199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</w:tbl>
    <w:sectPr w:rsidR="00FC693F" w:rsidRPr="0006063C" w:rsidSect="00034616">
      <w:pgSz w:w="16838" w:h="11906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