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800"/>
        <w:ind/>
        <w:jc w:val="center"/>
        <w:rPr>
          <w:rFonts w:ascii="Arial" w:hAnsi="Arial"/>
          <w:b/>
          <w:bCs/>
          <w:color w:val="000000" w:themeColor="text1"/>
          <w:sz w:val="24"/>
          <w:szCs w:val="24"/>
        </w:rPr>
      </w:pPr>
      <w:r>
        <w:rPr>
          <w:rFonts w:ascii="Arial" w:hAnsi="Arial"/>
          <w:b/>
          <w:color w:val="000000" w:themeColor="text1"/>
          <w:sz w:val="24"/>
          <w:szCs w:val="24"/>
        </w:rPr>
        <w:t xml:space="preserve">INFORME TÉCNICO DE ARQUITECTURA E INTEGRACIÓN</w:t>
      </w:r>
      <w:r>
        <w:rPr>
          <w:color w:val="000000" w:themeColor="text1"/>
          <w:sz w:val="24"/>
          <w:szCs w:val="24"/>
        </w:rPr>
      </w:r>
      <w:r>
        <w:rPr>
          <w:rFonts w:ascii="Arial" w:hAnsi="Arial"/>
          <w:b/>
          <w:bCs/>
          <w:color w:val="000000" w:themeColor="text1"/>
          <w:sz w:val="24"/>
          <w:szCs w:val="24"/>
        </w:rPr>
      </w:r>
    </w:p>
    <w:p>
      <w:pPr>
        <w:pBdr/>
        <w:spacing w:after="600"/>
        <w:ind/>
        <w:jc w:val="center"/>
        <w:rPr>
          <w:color w:val="000000" w:themeColor="text1"/>
          <w:sz w:val="24"/>
          <w:szCs w:val="24"/>
        </w:rPr>
      </w:pPr>
      <w:r>
        <w:rPr>
          <w:rFonts w:ascii="Arial" w:hAnsi="Arial"/>
          <w:i/>
          <w:color w:val="000000" w:themeColor="text1"/>
          <w:sz w:val="24"/>
          <w:szCs w:val="24"/>
        </w:rPr>
        <w:t xml:space="preserve">Comparador Multimodal Asíncrono de Modelos de Inteligencia Artificial (Versión 3.4)</w:t>
      </w:r>
      <w:r>
        <w:rPr>
          <w:color w:val="000000" w:themeColor="text1"/>
          <w:sz w:val="24"/>
          <w:szCs w:val="24"/>
        </w:rPr>
      </w:r>
    </w:p>
    <w:p>
      <w:pPr>
        <w:pBdr/>
        <w:spacing w:after="120" w:before="2000"/>
        <w:ind/>
        <w:jc w:val="center"/>
        <w:rPr>
          <w:color w:val="000000" w:themeColor="text1"/>
          <w:sz w:val="24"/>
          <w:szCs w:val="24"/>
        </w:rPr>
      </w:pPr>
      <w:r>
        <w:rPr>
          <w:b/>
          <w:color w:val="000000" w:themeColor="text1"/>
          <w:sz w:val="24"/>
          <w:szCs w:val="24"/>
        </w:rPr>
        <w:t xml:space="preserve">Preparado para: Evaluaciones de Sistemas y Modelos de Lenguaje</w:t>
      </w:r>
      <w:r>
        <w:rPr>
          <w:color w:val="000000" w:themeColor="text1"/>
          <w:sz w:val="24"/>
          <w:szCs w:val="24"/>
        </w:rPr>
      </w:r>
    </w:p>
    <w:p>
      <w:pPr>
        <w:pBdr/>
        <w:spacing/>
        <w:ind/>
        <w:jc w:val="center"/>
        <w:rPr>
          <w:color w:val="000000" w:themeColor="text1"/>
          <w:sz w:val="24"/>
          <w:szCs w:val="24"/>
        </w:rPr>
      </w:pPr>
      <w:r>
        <w:rPr>
          <w:color w:val="000000" w:themeColor="text1"/>
          <w:sz w:val="24"/>
          <w:szCs w:val="24"/>
        </w:rPr>
        <w:t xml:space="preserve">Fecha de publicacion técnica: Junio de 2026</w:t>
      </w:r>
      <w:r>
        <w:rPr>
          <w:color w:val="000000" w:themeColor="text1"/>
          <w:sz w:val="24"/>
          <w:szCs w:val="24"/>
        </w:rPr>
      </w:r>
    </w:p>
    <w:p>
      <w:pPr>
        <w:pBdr/>
        <w:spacing/>
        <w:ind/>
        <w:rPr>
          <w:color w:val="000000" w:themeColor="text1"/>
          <w:sz w:val="24"/>
          <w:szCs w:val="24"/>
        </w:rPr>
      </w:pPr>
      <w:r>
        <w:rPr>
          <w:color w:val="000000" w:themeColor="text1"/>
          <w:sz w:val="24"/>
          <w:szCs w:val="24"/>
        </w:rPr>
        <w:br w:type="page" w:clear="all"/>
      </w:r>
      <w:r>
        <w:rPr>
          <w:color w:val="000000" w:themeColor="text1"/>
          <w:sz w:val="24"/>
          <w:szCs w:val="24"/>
        </w:rPr>
      </w:r>
    </w:p>
    <w:p>
      <w:pPr>
        <w:pStyle w:val="693"/>
        <w:keepNext w:val="true"/>
        <w:pBdr/>
        <w:spacing w:after="120" w:before="360"/>
        <w:ind/>
        <w:rPr>
          <w:color w:val="000000" w:themeColor="text1"/>
          <w:sz w:val="24"/>
          <w:szCs w:val="24"/>
        </w:rPr>
      </w:pPr>
      <w:r>
        <w:rPr>
          <w:rFonts w:ascii="Arial" w:hAnsi="Arial"/>
          <w:b/>
          <w:color w:val="000000" w:themeColor="text1"/>
          <w:sz w:val="24"/>
          <w:szCs w:val="24"/>
        </w:rPr>
        <w:t xml:space="preserve">1. Resumen Ejecutivo e Introducción</w:t>
      </w:r>
      <w:r>
        <w:rPr>
          <w:color w:val="000000" w:themeColor="text1"/>
          <w:sz w:val="24"/>
          <w:szCs w:val="24"/>
        </w:rPr>
      </w:r>
    </w:p>
    <w:p>
      <w:pPr>
        <w:pBdr/>
        <w:spacing/>
        <w:ind/>
        <w:rPr>
          <w:color w:val="000000" w:themeColor="text1"/>
          <w:sz w:val="24"/>
          <w:szCs w:val="24"/>
        </w:rPr>
      </w:pPr>
      <w:r>
        <w:rPr>
          <w:color w:val="000000" w:themeColor="text1"/>
          <w:sz w:val="24"/>
          <w:szCs w:val="24"/>
        </w:rPr>
        <w:t xml:space="preserve">El presente informe técnico desc</w:t>
      </w:r>
      <w:r>
        <w:rPr>
          <w:color w:val="000000" w:themeColor="text1"/>
          <w:sz w:val="24"/>
          <w:szCs w:val="24"/>
        </w:rPr>
        <w:t xml:space="preserve">ribe la arquitectura de software, la lógica de integración y la metodología de comparación implementadas en la plataforma de benchmarking en tiempo real denominada 'Antigravity Arena'. Este sistema surge de la necesidad de evaluar el rendimiento, la precis</w:t>
      </w:r>
      <w:r>
        <w:rPr>
          <w:color w:val="000000" w:themeColor="text1"/>
          <w:sz w:val="24"/>
          <w:szCs w:val="24"/>
        </w:rPr>
        <w:t xml:space="preserve">ión, el sesgo creativo y la coherencia conceptual de diferentes arquitecturas de Inteligencia Artificial en tres dominios clave: generación de texto, análisis de visión artificial multimodal y síntesis de contenido gráfico (imágenes y secuencias de video).</w:t>
      </w:r>
      <w:r>
        <w:rPr>
          <w:color w:val="000000" w:themeColor="text1"/>
          <w:sz w:val="24"/>
          <w:szCs w:val="24"/>
        </w:rPr>
      </w:r>
    </w:p>
    <w:p>
      <w:pPr>
        <w:pBdr/>
        <w:spacing/>
        <w:ind/>
        <w:rPr>
          <w:color w:val="000000" w:themeColor="text1"/>
          <w:sz w:val="24"/>
          <w:szCs w:val="24"/>
        </w:rPr>
      </w:pPr>
      <w:r>
        <w:rPr>
          <w:color w:val="000000" w:themeColor="text1"/>
          <w:sz w:val="24"/>
          <w:szCs w:val="24"/>
        </w:rPr>
        <w:t xml:space="preserve">A diferen</w:t>
      </w:r>
      <w:r>
        <w:rPr>
          <w:color w:val="000000" w:themeColor="text1"/>
          <w:sz w:val="24"/>
          <w:szCs w:val="24"/>
        </w:rPr>
        <w:t xml:space="preserve">cia de las herramientas convencionales de comparación basadas en parámetros estáticos o pruebas de rendimiento en lotes (batch processing), esta solución implementa un entorno interactivo y reactivo. Dicho entorno permite contrastar el comportamiento de mo</w:t>
      </w:r>
      <w:r>
        <w:rPr>
          <w:color w:val="000000" w:themeColor="text1"/>
          <w:sz w:val="24"/>
          <w:szCs w:val="24"/>
        </w:rPr>
        <w:t xml:space="preserve">delos de vanguardia utilizando una combinación estricta de servicios de pago y APIs públicas libres de costo, garantizando así un ciclo de pruebas de alto nivel técnico sin dependencias financieras prohibitivas para proyectos académicos o de investigación.</w:t>
      </w:r>
      <w:r>
        <w:rPr>
          <w:color w:val="000000" w:themeColor="text1"/>
          <w:sz w:val="24"/>
          <w:szCs w:val="24"/>
        </w:rPr>
      </w:r>
    </w:p>
    <w:p>
      <w:pPr>
        <w:pBdr/>
        <w:spacing/>
        <w:ind/>
        <w:rPr>
          <w:color w:val="000000" w:themeColor="text1"/>
          <w:sz w:val="24"/>
          <w:szCs w:val="24"/>
        </w:rPr>
      </w:pPr>
      <w:r>
        <w:rPr>
          <w:color w:val="000000" w:themeColor="text1"/>
          <w:sz w:val="24"/>
          <w:szCs w:val="24"/>
        </w:rPr>
        <w:t xml:space="preserve">El enfoque fundamental de la plataforma ra</w:t>
      </w:r>
      <w:r>
        <w:rPr>
          <w:color w:val="000000" w:themeColor="text1"/>
          <w:sz w:val="24"/>
          <w:szCs w:val="24"/>
        </w:rPr>
        <w:t xml:space="preserve">dica en su capacidad de ejecutar solicitudes en paralelo, recolectar los datos de salida, y procesarlos mediante un Juez de Inteligencia Artificial centralizado. Este Juez realiza un análisis semántico y espacial instantáneo de los resultados de cada model</w:t>
      </w:r>
      <w:r>
        <w:rPr>
          <w:color w:val="000000" w:themeColor="text1"/>
          <w:sz w:val="24"/>
          <w:szCs w:val="24"/>
        </w:rPr>
        <w:t xml:space="preserve">o, asignando calificaciones precisas y redactando un informe comparativo detallado. Todo esto ocurre de forma automatizada en el backend, sin intervención obligatoria del operador, lo que permite acumular estadísticas de coherencia histórica a largo plazo.</w:t>
      </w:r>
      <w:r>
        <w:rPr>
          <w:color w:val="000000" w:themeColor="text1"/>
          <w:sz w:val="24"/>
          <w:szCs w:val="24"/>
        </w:rPr>
      </w:r>
    </w:p>
    <w:p>
      <w:pPr>
        <w:pStyle w:val="693"/>
        <w:keepNext w:val="true"/>
        <w:pBdr/>
        <w:spacing w:after="120" w:before="360"/>
        <w:ind/>
        <w:rPr>
          <w:color w:val="000000" w:themeColor="text1"/>
          <w:sz w:val="24"/>
          <w:szCs w:val="24"/>
        </w:rPr>
      </w:pPr>
      <w:r>
        <w:rPr>
          <w:rFonts w:ascii="Arial" w:hAnsi="Arial"/>
          <w:b/>
          <w:color w:val="000000" w:themeColor="text1"/>
          <w:sz w:val="24"/>
          <w:szCs w:val="24"/>
        </w:rPr>
        <w:t xml:space="preserve">2. Arquitectura de Software y Procesamiento Asíncrono</w:t>
      </w:r>
      <w:r>
        <w:rPr>
          <w:color w:val="000000" w:themeColor="text1"/>
          <w:sz w:val="24"/>
          <w:szCs w:val="24"/>
        </w:rPr>
      </w:r>
    </w:p>
    <w:p>
      <w:pPr>
        <w:pBdr/>
        <w:spacing/>
        <w:ind/>
        <w:rPr>
          <w:color w:val="000000" w:themeColor="text1"/>
          <w:sz w:val="24"/>
          <w:szCs w:val="24"/>
        </w:rPr>
      </w:pPr>
      <w:r>
        <w:rPr>
          <w:color w:val="000000" w:themeColor="text1"/>
          <w:sz w:val="24"/>
          <w:szCs w:val="24"/>
        </w:rPr>
        <w:t xml:space="preserve">El sist</w:t>
      </w:r>
      <w:r>
        <w:rPr>
          <w:color w:val="000000" w:themeColor="text1"/>
          <w:sz w:val="24"/>
          <w:szCs w:val="24"/>
        </w:rPr>
        <w:t xml:space="preserve">ema ha sido estructurado bajo un patrón de microservicios desacoplados para optimizar la escalabilidad y evitar bloqueos de recursos. El frontend, desarrollado sobre una arquitectura reactiva en React y compilado con Vite, gestiona de forma interactiva la </w:t>
      </w:r>
      <w:r>
        <w:rPr>
          <w:color w:val="000000" w:themeColor="text1"/>
          <w:sz w:val="24"/>
          <w:szCs w:val="24"/>
        </w:rPr>
        <w:t xml:space="preserve">recolección de entradas del usuario, el uploader de imágenes base64 y el renderizado dinámico de resultados. El backend está construido sobre FastAPI (Python), aprovechando su alto rendimiento asíncrono nativo y su facilidad de integración con subprocesos.</w:t>
      </w:r>
      <w:r>
        <w:rPr>
          <w:color w:val="000000" w:themeColor="text1"/>
          <w:sz w:val="24"/>
          <w:szCs w:val="24"/>
        </w:rPr>
      </w:r>
    </w:p>
    <w:p>
      <w:pPr>
        <w:pStyle w:val="694"/>
        <w:keepNext w:val="true"/>
        <w:pBdr/>
        <w:spacing w:after="120" w:before="240"/>
        <w:ind/>
        <w:rPr>
          <w:color w:val="000000" w:themeColor="text1"/>
          <w:sz w:val="24"/>
          <w:szCs w:val="24"/>
        </w:rPr>
      </w:pPr>
      <w:r>
        <w:rPr>
          <w:rFonts w:ascii="Arial" w:hAnsi="Arial"/>
          <w:b/>
          <w:color w:val="000000" w:themeColor="text1"/>
          <w:sz w:val="24"/>
          <w:szCs w:val="24"/>
        </w:rPr>
        <w:t xml:space="preserve">2.1 Lógica del Ciclo de Vida de las Tareas (Background Tasks)</w:t>
      </w:r>
      <w:r>
        <w:rPr>
          <w:color w:val="000000" w:themeColor="text1"/>
          <w:sz w:val="24"/>
          <w:szCs w:val="24"/>
        </w:rPr>
      </w:r>
    </w:p>
    <w:p>
      <w:pPr>
        <w:pBdr/>
        <w:spacing/>
        <w:ind/>
        <w:rPr>
          <w:color w:val="000000" w:themeColor="text1"/>
          <w:sz w:val="24"/>
          <w:szCs w:val="24"/>
        </w:rPr>
      </w:pPr>
      <w:r>
        <w:rPr>
          <w:color w:val="000000" w:themeColor="text1"/>
          <w:sz w:val="24"/>
          <w:szCs w:val="24"/>
        </w:rPr>
        <w:t xml:space="preserve">Dado que la generación de imágenes y los análisis de visión profunda consumen un tiempo que suele oscilar entre los 4 y los 15 segundos (dependiendo </w:t>
      </w:r>
      <w:r>
        <w:rPr>
          <w:color w:val="000000" w:themeColor="text1"/>
          <w:sz w:val="24"/>
          <w:szCs w:val="24"/>
        </w:rPr>
        <w:t xml:space="preserve">de la carga de las redes neuronales de los proveedores), ejecutar estas operaciones en el hilo principal de una petición HTTP convencional resultaría en congelamientos de interfaz o errores de terminación de conexión (timeouts) en el navegador del usuario.</w:t>
      </w:r>
      <w:r>
        <w:rPr>
          <w:color w:val="000000" w:themeColor="text1"/>
          <w:sz w:val="24"/>
          <w:szCs w:val="24"/>
        </w:rPr>
      </w:r>
    </w:p>
    <w:p>
      <w:pPr>
        <w:pBdr/>
        <w:spacing/>
        <w:ind/>
        <w:rPr>
          <w:color w:val="000000" w:themeColor="text1"/>
          <w:sz w:val="24"/>
          <w:szCs w:val="24"/>
        </w:rPr>
      </w:pPr>
      <w:r>
        <w:rPr>
          <w:color w:val="000000" w:themeColor="text1"/>
          <w:sz w:val="24"/>
          <w:szCs w:val="24"/>
        </w:rPr>
        <w:t xml:space="preserve">Para soluc</w:t>
      </w:r>
      <w:r>
        <w:rPr>
          <w:color w:val="000000" w:themeColor="text1"/>
          <w:sz w:val="24"/>
          <w:szCs w:val="24"/>
        </w:rPr>
        <w:t xml:space="preserve">ionar esta limitante técnica, el backend implementa un patrón de Tareas en Segundo Plano asíncronas. Cuando el cliente del frontend envía una petición de inicio a los endpoints de generación, la API de FastAPI realiza el siguiente procedimiento secuencial:</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1. Generación de un Identificador Único de Tarea (UUID v4) para indexar la operación en memoria.</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2. Inicialización del estado de la tarea en el diccionario global en memoria (ACTIVE_TASKS) con progreso en cero y logs vacíos.</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3. Despacho asíncrono de la función de procesamiento técnico al gestor de BackgroundTasks del servidor.</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4. Retorno inmediato del identificador único de tarea (task_id) al frontend del navegador en menos de 200 milisegundos.</w:t>
      </w:r>
      <w:r>
        <w:rPr>
          <w:color w:val="000000" w:themeColor="text1"/>
          <w:sz w:val="24"/>
          <w:szCs w:val="24"/>
        </w:rPr>
      </w:r>
    </w:p>
    <w:p>
      <w:pPr>
        <w:pBdr/>
        <w:spacing/>
        <w:ind/>
        <w:rPr>
          <w:color w:val="000000" w:themeColor="text1"/>
          <w:sz w:val="24"/>
          <w:szCs w:val="24"/>
        </w:rPr>
      </w:pPr>
      <w:r>
        <w:rPr>
          <w:color w:val="000000" w:themeColor="text1"/>
          <w:sz w:val="24"/>
          <w:szCs w:val="24"/>
        </w:rPr>
        <w:t xml:space="preserve">Una vez que el frontend recibe el identificador único de tarea, inicia un ciclo de consultas repetidas (polling) cada 2000 milisegundos hacia el endpoint de estado de la tarea. Este endpoint devuelve </w:t>
      </w:r>
      <w:r>
        <w:rPr>
          <w:color w:val="000000" w:themeColor="text1"/>
          <w:sz w:val="24"/>
          <w:szCs w:val="24"/>
        </w:rPr>
        <w:t xml:space="preserve">el porcentaje actual de progreso y un mensaje explicativo del hito actual que se está ejecutando (por ejemplo, 'Enviando imagen a Gemini 2.5', 'Procesando en la GPU de Pollinations Flux', etc.). Esto ofrece una experiencia visual informativa e interactiva.</w:t>
      </w:r>
      <w:r>
        <w:rPr>
          <w:color w:val="000000" w:themeColor="text1"/>
          <w:sz w:val="24"/>
          <w:szCs w:val="24"/>
        </w:rPr>
      </w:r>
    </w:p>
    <w:p>
      <w:pPr>
        <w:pBdr/>
        <w:spacing/>
        <w:ind/>
        <w:rPr>
          <w:color w:val="000000" w:themeColor="text1"/>
          <w:sz w:val="24"/>
          <w:szCs w:val="24"/>
        </w:rPr>
      </w:pPr>
      <w:r>
        <w:rPr>
          <w:color w:val="000000" w:themeColor="text1"/>
          <w:sz w:val="24"/>
          <w:szCs w:val="24"/>
        </w:rPr>
        <w:br w:type="page" w:clear="all"/>
      </w:r>
      <w:r>
        <w:rPr>
          <w:color w:val="000000" w:themeColor="text1"/>
          <w:sz w:val="24"/>
          <w:szCs w:val="24"/>
        </w:rPr>
      </w:r>
    </w:p>
    <w:p>
      <w:pPr>
        <w:pStyle w:val="693"/>
        <w:keepNext w:val="true"/>
        <w:pBdr/>
        <w:spacing w:after="120" w:before="360"/>
        <w:ind/>
        <w:rPr>
          <w:color w:val="000000" w:themeColor="text1"/>
          <w:sz w:val="24"/>
          <w:szCs w:val="24"/>
        </w:rPr>
      </w:pPr>
      <w:r>
        <w:rPr>
          <w:rFonts w:ascii="Arial" w:hAnsi="Arial"/>
          <w:b/>
          <w:color w:val="000000" w:themeColor="text1"/>
          <w:sz w:val="24"/>
          <w:szCs w:val="24"/>
        </w:rPr>
        <w:t xml:space="preserve">3. Análisis Técnico y Metodología de las Arenas de Comparación</w:t>
      </w:r>
      <w:r>
        <w:rPr>
          <w:color w:val="000000" w:themeColor="text1"/>
          <w:sz w:val="24"/>
          <w:szCs w:val="24"/>
        </w:rPr>
      </w:r>
    </w:p>
    <w:p>
      <w:pPr>
        <w:pBdr/>
        <w:spacing/>
        <w:ind/>
        <w:rPr>
          <w:color w:val="000000" w:themeColor="text1"/>
          <w:sz w:val="24"/>
          <w:szCs w:val="24"/>
        </w:rPr>
      </w:pPr>
      <w:r>
        <w:rPr>
          <w:color w:val="000000" w:themeColor="text1"/>
          <w:sz w:val="24"/>
          <w:szCs w:val="24"/>
        </w:rPr>
        <w:t xml:space="preserve">El núcleo funciona</w:t>
      </w:r>
      <w:r>
        <w:rPr>
          <w:color w:val="000000" w:themeColor="text1"/>
          <w:sz w:val="24"/>
          <w:szCs w:val="24"/>
        </w:rPr>
        <w:t xml:space="preserve">l del comparador se divide en tres arenas específicas de evaluación técnica. Cada una ha sido diseñada bajo principios de optimización de recursos y gratuidad de APIs, limitando la necesidad de tarjetas de crédito o depósitos monetarios en los proveedores.</w:t>
      </w:r>
      <w:r>
        <w:rPr>
          <w:color w:val="000000" w:themeColor="text1"/>
          <w:sz w:val="24"/>
          <w:szCs w:val="24"/>
        </w:rPr>
      </w:r>
    </w:p>
    <w:p>
      <w:pPr>
        <w:pStyle w:val="694"/>
        <w:keepNext w:val="true"/>
        <w:pBdr/>
        <w:spacing w:after="120" w:before="240"/>
        <w:ind/>
        <w:rPr>
          <w:color w:val="000000" w:themeColor="text1"/>
          <w:sz w:val="24"/>
          <w:szCs w:val="24"/>
        </w:rPr>
      </w:pPr>
      <w:r>
        <w:rPr>
          <w:rFonts w:ascii="Arial" w:hAnsi="Arial"/>
          <w:b/>
          <w:color w:val="000000" w:themeColor="text1"/>
          <w:sz w:val="24"/>
          <w:szCs w:val="24"/>
        </w:rPr>
        <w:t xml:space="preserve">3.1 Arena de Generación de Texto</w:t>
      </w:r>
      <w:r>
        <w:rPr>
          <w:color w:val="000000" w:themeColor="text1"/>
          <w:sz w:val="24"/>
          <w:szCs w:val="24"/>
        </w:rPr>
      </w:r>
    </w:p>
    <w:p>
      <w:pPr>
        <w:pBdr/>
        <w:spacing/>
        <w:ind/>
        <w:rPr>
          <w:color w:val="000000" w:themeColor="text1"/>
          <w:sz w:val="24"/>
          <w:szCs w:val="24"/>
        </w:rPr>
      </w:pPr>
      <w:r>
        <w:rPr>
          <w:color w:val="000000" w:themeColor="text1"/>
          <w:sz w:val="24"/>
          <w:szCs w:val="24"/>
        </w:rPr>
        <w:t xml:space="preserve">Esta arena confronta la creatividad lingüística, la riqueza semántica y el apego sintáctico al estilo seleccionado. El Modelo A está representado por Google Gemini</w:t>
      </w:r>
      <w:r>
        <w:rPr>
          <w:color w:val="000000" w:themeColor="text1"/>
          <w:sz w:val="24"/>
          <w:szCs w:val="24"/>
        </w:rPr>
        <w:t xml:space="preserve"> 2.5 Flash, el cual se consulta mediante el SDK oficial 'google-genai' utilizando la clave gratuita provista por Google AI Studio. El Modelo B está representado por Llama 3, consumido de forma libre de costo y sin límites a través de la API abierta de Poll</w:t>
      </w:r>
      <w:r>
        <w:rPr>
          <w:color w:val="000000" w:themeColor="text1"/>
          <w:sz w:val="24"/>
          <w:szCs w:val="24"/>
        </w:rPr>
        <w:t xml:space="preserve">inations.ai. Los criterios de evaluación automática y humana se basan en el conteo exacto de palabras generadas respecto al objetivo del slider, la riqueza metafórica en los relatos de fantasía y el nivel de persuasión comercial en las copias de marketing.</w:t>
      </w:r>
      <w:r>
        <w:rPr>
          <w:color w:val="000000" w:themeColor="text1"/>
          <w:sz w:val="24"/>
          <w:szCs w:val="24"/>
        </w:rPr>
      </w:r>
    </w:p>
    <w:p>
      <w:pPr>
        <w:pStyle w:val="694"/>
        <w:keepNext w:val="true"/>
        <w:pBdr/>
        <w:spacing w:after="120" w:before="240"/>
        <w:ind/>
        <w:rPr>
          <w:color w:val="000000" w:themeColor="text1"/>
          <w:sz w:val="24"/>
          <w:szCs w:val="24"/>
        </w:rPr>
      </w:pPr>
      <w:r>
        <w:rPr>
          <w:rFonts w:ascii="Arial" w:hAnsi="Arial"/>
          <w:b/>
          <w:color w:val="000000" w:themeColor="text1"/>
          <w:sz w:val="24"/>
          <w:szCs w:val="24"/>
        </w:rPr>
        <w:t xml:space="preserve">3.2 Arena de Análisis Multimodal de Imagen (Visión)</w:t>
      </w:r>
      <w:r>
        <w:rPr>
          <w:color w:val="000000" w:themeColor="text1"/>
          <w:sz w:val="24"/>
          <w:szCs w:val="24"/>
        </w:rPr>
      </w:r>
    </w:p>
    <w:p>
      <w:pPr>
        <w:pBdr/>
        <w:spacing/>
        <w:ind/>
        <w:rPr>
          <w:color w:val="000000" w:themeColor="text1"/>
          <w:sz w:val="24"/>
          <w:szCs w:val="24"/>
        </w:rPr>
      </w:pPr>
      <w:r>
        <w:rPr>
          <w:color w:val="000000" w:themeColor="text1"/>
          <w:sz w:val="24"/>
          <w:szCs w:val="24"/>
        </w:rPr>
        <w:t xml:space="preserve">El procesamiento de visión artificial multimodal permite a los modelos interpretar, describir y extraer patrones técnicos de una imagen subida por el usuario. El sistema confronta dos gene</w:t>
      </w:r>
      <w:r>
        <w:rPr>
          <w:color w:val="000000" w:themeColor="text1"/>
          <w:sz w:val="24"/>
          <w:szCs w:val="24"/>
        </w:rPr>
        <w:t xml:space="preserve">raciones de una misma marca para evaluar saltos cualitativos entre versiones: Google Gemini 2.5 Flash contra Google Gemini 1.5 Flash. El backend decodifica la imagen del usuario de su formato base64 y la inyecta como un flujo de bytes nativos (`types.Part.</w:t>
      </w:r>
      <w:r>
        <w:rPr>
          <w:color w:val="000000" w:themeColor="text1"/>
          <w:sz w:val="24"/>
          <w:szCs w:val="24"/>
        </w:rPr>
        <w:t xml:space="preserve">from_bytes`) al contexto del cliente de Google. Esta comparación resulta 100% gratuita al utilizar la misma clave de API de AI Studio y evalúa qué versión tiene mejor visión espacial y capacidad de seguir instrucciones complejas sobre elementos de la foto.</w:t>
      </w:r>
      <w:r>
        <w:rPr>
          <w:color w:val="000000" w:themeColor="text1"/>
          <w:sz w:val="24"/>
          <w:szCs w:val="24"/>
        </w:rPr>
      </w:r>
    </w:p>
    <w:p>
      <w:pPr>
        <w:pStyle w:val="694"/>
        <w:keepNext w:val="true"/>
        <w:pBdr/>
        <w:spacing w:after="120" w:before="240"/>
        <w:ind/>
        <w:rPr>
          <w:color w:val="000000" w:themeColor="text1"/>
          <w:sz w:val="24"/>
          <w:szCs w:val="24"/>
        </w:rPr>
      </w:pPr>
      <w:r>
        <w:rPr>
          <w:rFonts w:ascii="Arial" w:hAnsi="Arial"/>
          <w:b/>
          <w:color w:val="000000" w:themeColor="text1"/>
          <w:sz w:val="24"/>
          <w:szCs w:val="24"/>
        </w:rPr>
        <w:t xml:space="preserve">3.3 Arena de Generación de Imagen</w:t>
      </w:r>
      <w:r>
        <w:rPr>
          <w:color w:val="000000" w:themeColor="text1"/>
          <w:sz w:val="24"/>
          <w:szCs w:val="24"/>
        </w:rPr>
      </w:r>
    </w:p>
    <w:p>
      <w:pPr>
        <w:pBdr/>
        <w:spacing/>
        <w:ind/>
        <w:rPr>
          <w:color w:val="000000" w:themeColor="text1"/>
          <w:sz w:val="24"/>
          <w:szCs w:val="24"/>
        </w:rPr>
      </w:pPr>
      <w:r>
        <w:rPr>
          <w:color w:val="000000" w:themeColor="text1"/>
          <w:sz w:val="24"/>
          <w:szCs w:val="24"/>
        </w:rPr>
        <w:t xml:space="preserve">Para eval</w:t>
      </w:r>
      <w:r>
        <w:rPr>
          <w:color w:val="000000" w:themeColor="text1"/>
          <w:sz w:val="24"/>
          <w:szCs w:val="24"/>
        </w:rPr>
        <w:t xml:space="preserve">uar la síntesis de contenido gráfico estático, la plataforma contrasta Google Imagen 3.0 (Modelo A) frente a Pollinations Flux (Modelo B). Google Imagen 3.0 se ejecuta mediante la clave gratuita de Gemini API, mientras que Pollinations Flux se consume de f</w:t>
      </w:r>
      <w:r>
        <w:rPr>
          <w:color w:val="000000" w:themeColor="text1"/>
          <w:sz w:val="24"/>
          <w:szCs w:val="24"/>
        </w:rPr>
        <w:t xml:space="preserve">orma directa, libre y sin claves de API mediante su endpoint de servidor. Las imágenes se redimensionan en tiempo real en píxeles dependiendo de la relación de aspecto configurada (1:1, 16:9, 9:16) antes de ser devueltas en base64 al navegador del usuario.</w:t>
      </w:r>
      <w:r>
        <w:rPr>
          <w:color w:val="000000" w:themeColor="text1"/>
          <w:sz w:val="24"/>
          <w:szCs w:val="24"/>
        </w:rPr>
      </w:r>
    </w:p>
    <w:p>
      <w:pPr>
        <w:pStyle w:val="693"/>
        <w:keepNext w:val="true"/>
        <w:pBdr/>
        <w:spacing w:after="120" w:before="360"/>
        <w:ind/>
        <w:rPr>
          <w:color w:val="000000" w:themeColor="text1"/>
          <w:sz w:val="24"/>
          <w:szCs w:val="24"/>
        </w:rPr>
      </w:pPr>
      <w:r>
        <w:rPr>
          <w:rFonts w:ascii="Arial" w:hAnsi="Arial"/>
          <w:b/>
          <w:color w:val="000000" w:themeColor="text1"/>
          <w:sz w:val="24"/>
          <w:szCs w:val="24"/>
        </w:rPr>
        <w:t xml:space="preserve">4. Juez de IA Automatizado y Multimodal</w:t>
      </w:r>
      <w:r>
        <w:rPr>
          <w:color w:val="000000" w:themeColor="text1"/>
          <w:sz w:val="24"/>
          <w:szCs w:val="24"/>
        </w:rPr>
      </w:r>
    </w:p>
    <w:p>
      <w:pPr>
        <w:pBdr/>
        <w:spacing/>
        <w:ind/>
        <w:rPr>
          <w:color w:val="000000" w:themeColor="text1"/>
          <w:sz w:val="24"/>
          <w:szCs w:val="24"/>
        </w:rPr>
      </w:pPr>
      <w:r>
        <w:rPr>
          <w:color w:val="000000" w:themeColor="text1"/>
          <w:sz w:val="24"/>
          <w:szCs w:val="24"/>
        </w:rPr>
        <w:t xml:space="preserve">Una de las mayores innovaciones del sistema radica en su árbitro de coherencia automático. Tradicionalmente, los sistemas de comparación requieren la interacción manual del usuario para registrar votos y determinar un ganador. En esta plat</w:t>
      </w:r>
      <w:r>
        <w:rPr>
          <w:color w:val="000000" w:themeColor="text1"/>
          <w:sz w:val="24"/>
          <w:szCs w:val="24"/>
        </w:rPr>
        <w:t xml:space="preserve">aforma, se ha implementado un proceso de evaluación automática en tiempo real que corre inmediatamente después de que ambos modelos entregan sus resultados, informando las puntuaciones y el análisis detallado en la base de la pantalla de forma instantánea.</w:t>
      </w:r>
      <w:r>
        <w:rPr>
          <w:color w:val="000000" w:themeColor="text1"/>
          <w:sz w:val="24"/>
          <w:szCs w:val="24"/>
        </w:rPr>
      </w:r>
    </w:p>
    <w:p>
      <w:pPr>
        <w:pBdr/>
        <w:spacing/>
        <w:ind/>
        <w:rPr>
          <w:color w:val="000000" w:themeColor="text1"/>
          <w:sz w:val="24"/>
          <w:szCs w:val="24"/>
        </w:rPr>
      </w:pPr>
      <w:r>
        <w:rPr>
          <w:color w:val="000000" w:themeColor="text1"/>
          <w:sz w:val="24"/>
          <w:szCs w:val="24"/>
        </w:rPr>
        <w:t xml:space="preserve">Para las arenas de texto y visión, el Juez de IA (representado por Gemini 2.5 Flash) recibe el prompt original junto con los dos textos de s</w:t>
      </w:r>
      <w:r>
        <w:rPr>
          <w:color w:val="000000" w:themeColor="text1"/>
          <w:sz w:val="24"/>
          <w:szCs w:val="24"/>
        </w:rPr>
        <w:t xml:space="preserve">alida. Se aplican instrucciones de sistema estrictas y se configura la API para forzar una respuesta en formato JSON puro. El Juez evalúa de forma objetiva la gramática, la creatividad y la coherencia temática, asignando notas del 1 al 10 para cada modelo.</w:t>
      </w:r>
      <w:r>
        <w:rPr>
          <w:color w:val="000000" w:themeColor="text1"/>
          <w:sz w:val="24"/>
          <w:szCs w:val="24"/>
        </w:rPr>
      </w:r>
    </w:p>
    <w:p>
      <w:pPr>
        <w:pBdr/>
        <w:spacing/>
        <w:ind/>
        <w:rPr>
          <w:color w:val="000000" w:themeColor="text1"/>
          <w:sz w:val="24"/>
          <w:szCs w:val="24"/>
        </w:rPr>
      </w:pPr>
      <w:r>
        <w:rPr>
          <w:color w:val="000000" w:themeColor="text1"/>
          <w:sz w:val="24"/>
          <w:szCs w:val="24"/>
        </w:rPr>
        <w:t xml:space="preserve">Para la arena de generación de imágenes, el Juez de IA ejecuta un flujo multimodal avanzado. Dado que Ge</w:t>
      </w:r>
      <w:r>
        <w:rPr>
          <w:color w:val="000000" w:themeColor="text1"/>
          <w:sz w:val="24"/>
          <w:szCs w:val="24"/>
        </w:rPr>
        <w:t xml:space="preserve">mini 2.5 es capaz de comprender e interpretar datos visuales directamente, el backend extrae los bytes de imagen generados por Google Imagen y por Pollinations Flux, inyectándolos como archivos adjuntos al contexto del Juez. El Juez de IA observa físicamen</w:t>
      </w:r>
      <w:r>
        <w:rPr>
          <w:color w:val="000000" w:themeColor="text1"/>
          <w:sz w:val="24"/>
          <w:szCs w:val="24"/>
        </w:rPr>
        <w:t xml:space="preserve">te ambas imágenes, evalúa la precisión con la que plasmaron los objetos descritos en el prompt original, detecta anomalías visuales y determina cuál imagen es semántica y compositivamente más fiel a la idea base, redactando un veredicto escrito en español.</w:t>
      </w:r>
      <w:r>
        <w:rPr>
          <w:color w:val="000000" w:themeColor="text1"/>
          <w:sz w:val="24"/>
          <w:szCs w:val="24"/>
        </w:rPr>
      </w:r>
    </w:p>
    <w:p>
      <w:pPr>
        <w:pBdr/>
        <w:spacing/>
        <w:ind/>
        <w:rPr>
          <w:color w:val="000000" w:themeColor="text1"/>
          <w:sz w:val="24"/>
          <w:szCs w:val="24"/>
        </w:rPr>
      </w:pPr>
      <w:r>
        <w:rPr>
          <w:color w:val="000000" w:themeColor="text1"/>
          <w:sz w:val="24"/>
          <w:szCs w:val="24"/>
        </w:rPr>
        <w:br w:type="page" w:clear="all"/>
      </w:r>
      <w:r>
        <w:rPr>
          <w:color w:val="000000" w:themeColor="text1"/>
          <w:sz w:val="24"/>
          <w:szCs w:val="24"/>
        </w:rPr>
      </w:r>
    </w:p>
    <w:p>
      <w:pPr>
        <w:pStyle w:val="693"/>
        <w:keepNext w:val="true"/>
        <w:pBdr/>
        <w:spacing w:after="120" w:before="360"/>
        <w:ind/>
        <w:rPr>
          <w:color w:val="000000" w:themeColor="text1"/>
          <w:sz w:val="24"/>
          <w:szCs w:val="24"/>
        </w:rPr>
      </w:pPr>
      <w:r>
        <w:rPr>
          <w:rFonts w:ascii="Arial" w:hAnsi="Arial"/>
          <w:b/>
          <w:color w:val="000000" w:themeColor="text1"/>
          <w:sz w:val="24"/>
          <w:szCs w:val="24"/>
        </w:rPr>
        <w:t xml:space="preserve">5. Sistema de Estadísticas, Persistencia y Frontend</w:t>
      </w:r>
      <w:r>
        <w:rPr>
          <w:color w:val="000000" w:themeColor="text1"/>
          <w:sz w:val="24"/>
          <w:szCs w:val="24"/>
        </w:rPr>
      </w:r>
    </w:p>
    <w:p>
      <w:pPr>
        <w:pBdr/>
        <w:spacing/>
        <w:ind/>
        <w:rPr>
          <w:color w:val="000000" w:themeColor="text1"/>
          <w:sz w:val="24"/>
          <w:szCs w:val="24"/>
        </w:rPr>
      </w:pPr>
      <w:r>
        <w:rPr>
          <w:color w:val="000000" w:themeColor="text1"/>
          <w:sz w:val="24"/>
          <w:szCs w:val="24"/>
        </w:rPr>
        <w:t xml:space="preserve">La persistencia de l</w:t>
      </w:r>
      <w:r>
        <w:rPr>
          <w:color w:val="000000" w:themeColor="text1"/>
          <w:sz w:val="24"/>
          <w:szCs w:val="24"/>
        </w:rPr>
        <w:t xml:space="preserve">os datos del comparador está delegada al módulo de backend `stats_manager.py`. Este módulo se encarga de inicializar, leer e incrementar las estadísticas históricas almacenadas en el archivo `comparison_stats.json` en el directorio de trabajo del servidor.</w:t>
      </w:r>
      <w:r>
        <w:rPr>
          <w:color w:val="000000" w:themeColor="text1"/>
          <w:sz w:val="24"/>
          <w:szCs w:val="24"/>
        </w:rPr>
      </w:r>
    </w:p>
    <w:p>
      <w:pPr>
        <w:pBdr/>
        <w:spacing/>
        <w:ind/>
        <w:rPr>
          <w:color w:val="000000" w:themeColor="text1"/>
          <w:sz w:val="24"/>
          <w:szCs w:val="24"/>
        </w:rPr>
      </w:pPr>
      <w:r>
        <w:rPr>
          <w:color w:val="000000" w:themeColor="text1"/>
          <w:sz w:val="24"/>
          <w:szCs w:val="24"/>
        </w:rPr>
        <w:t xml:space="preserve">Cada vez que el operador decide emitir un voto manual utilizando los botones del frontend, el cliente envía una solicitud de tipo POST al endpoint `/api/vote` incluyendo la categoría del duelo, el modelo elegido y el prompt que se ejecutó. El gestor </w:t>
      </w:r>
      <w:r>
        <w:rPr>
          <w:color w:val="000000" w:themeColor="text1"/>
          <w:sz w:val="24"/>
          <w:szCs w:val="24"/>
        </w:rPr>
        <w:t xml:space="preserve">de estadísticas no solo incrementa los contadores acumulados de las variables `text_votes`, `vision_votes`, `image_votes` y `video_votes`, sino que además inserta un registro histórico con la fecha y hora exacta del voto en un arreglo denominado `history`.</w:t>
      </w:r>
      <w:r>
        <w:rPr>
          <w:color w:val="000000" w:themeColor="text1"/>
          <w:sz w:val="24"/>
          <w:szCs w:val="24"/>
        </w:rPr>
      </w:r>
    </w:p>
    <w:p>
      <w:pPr>
        <w:pBdr/>
        <w:spacing/>
        <w:ind/>
        <w:rPr>
          <w:color w:val="000000" w:themeColor="text1"/>
          <w:sz w:val="24"/>
          <w:szCs w:val="24"/>
        </w:rPr>
      </w:pPr>
      <w:r>
        <w:rPr>
          <w:color w:val="000000" w:themeColor="text1"/>
          <w:sz w:val="24"/>
          <w:szCs w:val="24"/>
        </w:rPr>
        <w:t xml:space="preserve">El frontend de Re</w:t>
      </w:r>
      <w:r>
        <w:rPr>
          <w:color w:val="000000" w:themeColor="text1"/>
          <w:sz w:val="24"/>
          <w:szCs w:val="24"/>
        </w:rPr>
        <w:t xml:space="preserve">act consume en tiempo real esta estructura del JSON. En la barra lateral, calcula de forma dinámica los porcentajes de victorias y renderiza barras de progreso fluidas y adaptadas al modo que se encuentre activo. En la parte inferior, renderiza una tabla d</w:t>
      </w:r>
      <w:r>
        <w:rPr>
          <w:color w:val="000000" w:themeColor="text1"/>
          <w:sz w:val="24"/>
          <w:szCs w:val="24"/>
        </w:rPr>
        <w:t xml:space="preserve">e historial en vidrio templado (glassmorphic) que mapea de forma interactiva los metadatos a nombres de modelos formales y comprensibles, permitiendo llevar una bitácora de qué modelos se adaptaron mejor a cada prompt ingresado durante el ciclo de pruebas.</w:t>
      </w:r>
      <w:r>
        <w:rPr>
          <w:color w:val="000000" w:themeColor="text1"/>
          <w:sz w:val="24"/>
          <w:szCs w:val="24"/>
        </w:rPr>
      </w:r>
    </w:p>
    <w:p>
      <w:pPr>
        <w:pStyle w:val="693"/>
        <w:keepNext w:val="true"/>
        <w:pBdr/>
        <w:spacing w:after="120" w:before="360"/>
        <w:ind/>
        <w:rPr>
          <w:color w:val="000000" w:themeColor="text1"/>
          <w:sz w:val="24"/>
          <w:szCs w:val="24"/>
        </w:rPr>
      </w:pPr>
      <w:r>
        <w:rPr>
          <w:rFonts w:ascii="Arial" w:hAnsi="Arial"/>
          <w:b/>
          <w:color w:val="000000" w:themeColor="text1"/>
          <w:sz w:val="24"/>
          <w:szCs w:val="24"/>
        </w:rPr>
        <w:t xml:space="preserve">6. Conclusión y Guía de Puesta en Marcha</w:t>
      </w:r>
      <w:r>
        <w:rPr>
          <w:color w:val="000000" w:themeColor="text1"/>
          <w:sz w:val="24"/>
          <w:szCs w:val="24"/>
        </w:rPr>
      </w:r>
    </w:p>
    <w:p>
      <w:pPr>
        <w:pBdr/>
        <w:spacing/>
        <w:ind/>
        <w:rPr>
          <w:color w:val="000000" w:themeColor="text1"/>
          <w:sz w:val="24"/>
          <w:szCs w:val="24"/>
        </w:rPr>
      </w:pPr>
      <w:r>
        <w:rPr>
          <w:color w:val="000000" w:themeColor="text1"/>
          <w:sz w:val="24"/>
          <w:szCs w:val="24"/>
        </w:rPr>
        <w:t xml:space="preserve">La reconfiguración completa a modelos 100% gratuitos representa un avance sumamente práctico para el entorno de desarrollo del proyecto. Al desvincular APIs complejas y de pago obligatorio, el sistema se torna accesible para cualquier operador que di</w:t>
      </w:r>
      <w:r>
        <w:rPr>
          <w:color w:val="000000" w:themeColor="text1"/>
          <w:sz w:val="24"/>
          <w:szCs w:val="24"/>
        </w:rPr>
        <w:t xml:space="preserve">sponga de una única clave de API de Gemini, la cual puede obtenerse en pocos segundos. La integración híbrida de Gemini con las APIs libres de Pollinations.ai garantiza un flujo de trabajo continuo, seguro y de excelente calidad visual en imágenes y texto.</w:t>
      </w:r>
      <w:r>
        <w:rPr>
          <w:color w:val="000000" w:themeColor="text1"/>
          <w:sz w:val="24"/>
          <w:szCs w:val="24"/>
        </w:rPr>
      </w:r>
    </w:p>
    <w:p>
      <w:pPr>
        <w:pStyle w:val="694"/>
        <w:keepNext w:val="true"/>
        <w:pBdr/>
        <w:spacing w:after="120" w:before="240"/>
        <w:ind/>
        <w:rPr>
          <w:color w:val="000000" w:themeColor="text1"/>
          <w:sz w:val="24"/>
          <w:szCs w:val="24"/>
        </w:rPr>
      </w:pPr>
      <w:r>
        <w:rPr>
          <w:rFonts w:ascii="Arial" w:hAnsi="Arial"/>
          <w:b/>
          <w:color w:val="000000" w:themeColor="text1"/>
          <w:sz w:val="24"/>
          <w:szCs w:val="24"/>
        </w:rPr>
        <w:t xml:space="preserve">6.1 Pasos para la Inicialización del Comparador</w:t>
      </w:r>
      <w:r>
        <w:rPr>
          <w:color w:val="000000" w:themeColor="text1"/>
          <w:sz w:val="24"/>
          <w:szCs w:val="24"/>
        </w:rPr>
      </w:r>
    </w:p>
    <w:p>
      <w:pPr>
        <w:pBdr/>
        <w:spacing/>
        <w:ind/>
        <w:rPr>
          <w:color w:val="000000" w:themeColor="text1"/>
          <w:sz w:val="24"/>
          <w:szCs w:val="24"/>
        </w:rPr>
      </w:pPr>
      <w:r>
        <w:rPr>
          <w:color w:val="000000" w:themeColor="text1"/>
          <w:sz w:val="24"/>
          <w:szCs w:val="24"/>
        </w:rPr>
        <w:t xml:space="preserve">Para ejecutar el comparador multimodal, el operador debe seguir el procedimiento secuencial que se describe a continuación:</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1. Crear y configurar el archivo de variables de entorno .env dentro del directorio backend, ingresando únicamente la clave de Gemini en GEMINI_API_KEY.</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2. Mantener vacías las variables de Stability y OpenAI para que el backend conmute de forma automática a los modelos libres de Pollinations y los simuladores de video.</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3. Dar permisos de ejecución e iniciar el script de orquestación unificado ./run.sh en la terminal principal de Linux.</w:t>
      </w:r>
      <w:r>
        <w:rPr>
          <w:color w:val="000000" w:themeColor="text1"/>
          <w:sz w:val="24"/>
          <w:szCs w:val="24"/>
        </w:rPr>
      </w:r>
    </w:p>
    <w:p>
      <w:pPr>
        <w:pStyle w:val="723"/>
        <w:pBdr/>
        <w:spacing/>
        <w:ind/>
        <w:rPr>
          <w:color w:val="000000" w:themeColor="text1"/>
          <w:sz w:val="24"/>
          <w:szCs w:val="24"/>
        </w:rPr>
      </w:pPr>
      <w:r>
        <w:rPr>
          <w:color w:val="000000" w:themeColor="text1"/>
          <w:sz w:val="24"/>
          <w:szCs w:val="24"/>
        </w:rPr>
        <w:t xml:space="preserve">4. Acceder al enlace local entregado por la compilación de Vite en el navegador web habitual para iniciar las pruebas.</w:t>
      </w:r>
      <w:r>
        <w:rPr>
          <w:color w:val="000000" w:themeColor="text1"/>
          <w:sz w:val="24"/>
          <w:szCs w:val="24"/>
        </w:rPr>
      </w:r>
    </w:p>
    <w:p>
      <w:pPr>
        <w:pBdr/>
        <w:spacing/>
        <w:ind/>
        <w:rPr>
          <w:color w:val="000000" w:themeColor="text1"/>
          <w:sz w:val="24"/>
          <w:szCs w:val="24"/>
        </w:rPr>
      </w:pPr>
      <w:r>
        <w:rPr>
          <w:color w:val="000000" w:themeColor="text1"/>
          <w:sz w:val="24"/>
          <w:szCs w:val="24"/>
        </w:rPr>
        <w:t xml:space="preserve">Este diseño arquitectónico y metodológico robusto asegura que el comparador permanezca estable, responsivo y completamente funcional de forma ilimitada y libre de costos de operación.</w:t>
      </w:r>
      <w:r>
        <w:rPr>
          <w:color w:val="000000" w:themeColor="text1"/>
          <w:sz w:val="24"/>
          <w:szCs w:val="24"/>
        </w:rPr>
      </w:r>
    </w:p>
    <w:p w14:paraId="0B777563">
      <w:pPr>
        <w:pBdr/>
        <w:spacing/>
        <w:ind/>
        <w:rPr>
          <w:sz w:val="24"/>
          <w:szCs w:val="24"/>
        </w:rPr>
      </w:pPr>
      <w:r>
        <w:rPr>
          <w:sz w:val="24"/>
          <w:szCs w:val="24"/>
        </w:rPr>
      </w:r>
      <w:r>
        <w:rPr>
          <w:sz w:val="24"/>
          <w:szCs w:val="24"/>
        </w:rPr>
      </w:r>
    </w:p>
    <w:p w14:paraId="7AA2DDC5">
      <w:pPr>
        <w:pBdr/>
        <w:tabs>
          <w:tab w:val="left" w:leader="none" w:pos="6032"/>
        </w:tabs>
        <w:spacing/>
        <w:ind/>
        <w:rPr>
          <w:sz w:val="24"/>
          <w:szCs w:val="24"/>
        </w:rPr>
      </w:pPr>
      <w:r>
        <w:rPr>
          <w:sz w:val="24"/>
          <w:szCs w:val="24"/>
        </w:rPr>
      </w:r>
      <w:r>
        <w:rPr>
          <w:sz w:val="24"/>
          <w:szCs w:val="24"/>
        </w:rPr>
        <w:tab/>
      </w:r>
      <w:r>
        <w:rPr>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60" w:line="276" w:lineRule="auto"/>
      <w:ind/>
    </w:pPr>
    <w:rPr>
      <w:rFonts w:ascii="Arial" w:hAnsi="Arial"/>
      <w:color w:val="334155"/>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2026-06-01T04:27:21Z</dcterms:modified>
  <cp:category/>
</cp:coreProperties>
</file>