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147713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147713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  <w:r w:rsidR="00147713">
              <w:rPr>
                <w:rStyle w:val="font31"/>
                <w:rFonts w:hint="default"/>
                <w:color w:val="auto"/>
                <w:sz w:val="22"/>
                <w:lang w:bidi="ar"/>
              </w:rPr>
              <w:t>2020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147713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147713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147713">
              <w:rPr>
                <w:rStyle w:val="font11"/>
                <w:rFonts w:hint="default"/>
                <w:color w:val="auto"/>
                <w:sz w:val="22"/>
                <w:lang w:bidi="ar"/>
              </w:rPr>
              <w:t>2023-3-10</w:t>
            </w:r>
            <w:bookmarkStart w:id="0" w:name="_GoBack"/>
            <w:bookmarkEnd w:id="0"/>
          </w:p>
        </w:tc>
      </w:tr>
      <w:tr w:rsidR="00612B09" w:rsidRPr="007062E5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1088E" w:rsidP="00643754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643754">
              <w:rPr>
                <w:rStyle w:val="text"/>
                <w:rFonts w:hint="eastAsia"/>
                <w:color w:val="1F4665"/>
                <w:shd w:val="clear" w:color="auto" w:fill="EAEAEA"/>
              </w:rPr>
              <w:t>三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643754">
              <w:rPr>
                <w:rStyle w:val="text"/>
                <w:color w:val="1F4665"/>
                <w:shd w:val="clear" w:color="auto" w:fill="EAEAEA"/>
              </w:rPr>
              <w:t>TELNET</w:t>
            </w:r>
            <w:r w:rsidR="00643754">
              <w:rPr>
                <w:rStyle w:val="text"/>
                <w:color w:val="1F4665"/>
                <w:shd w:val="clear" w:color="auto" w:fill="EAEAEA"/>
              </w:rPr>
              <w:t>协议</w:t>
            </w:r>
          </w:p>
        </w:tc>
      </w:tr>
      <w:tr w:rsidR="00612B09" w:rsidRPr="007062E5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DB4763" w:rsidRDefault="0051088E" w:rsidP="00DB4763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 xml:space="preserve">1) </w:t>
            </w:r>
            <w:r w:rsidR="00643754"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理解Telnet协议的工作原理。</w:t>
            </w:r>
          </w:p>
        </w:tc>
      </w:tr>
      <w:tr w:rsidR="00612B09" w:rsidRPr="007062E5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Default="00643754" w:rsidP="0051088E">
            <w:pPr>
              <w:widowControl/>
              <w:textAlignment w:val="center"/>
              <w:rPr>
                <w:color w:val="14191E"/>
                <w:szCs w:val="21"/>
                <w:shd w:val="clear" w:color="auto" w:fill="FFFFFF"/>
              </w:rPr>
            </w:pP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1) 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是一个简单的远程终端协议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通过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连接远程服务器。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客户进程把收到的数据传送给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，由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负责在客户端和服务器端建立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连接，数据就通过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连接送到了服务器端，服务器的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TCP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层将收到的数据送到相应的应用层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Telnet</w:t>
            </w:r>
            <w:r>
              <w:rPr>
                <w:rFonts w:hint="eastAsia"/>
                <w:color w:val="14191E"/>
                <w:szCs w:val="21"/>
                <w:shd w:val="clear" w:color="auto" w:fill="FFFFFF"/>
              </w:rPr>
              <w:t>服务器进程。</w:t>
            </w:r>
          </w:p>
          <w:p w:rsidR="00643754" w:rsidRPr="000539A2" w:rsidRDefault="00643754" w:rsidP="0051088E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</w:p>
        </w:tc>
      </w:tr>
      <w:tr w:rsidR="00612B09" w:rsidRPr="007062E5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1F0722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Telnet</w:t>
            </w:r>
            <w:r w:rsidR="0051088E">
              <w:rPr>
                <w:rFonts w:ascii="宋体" w:hAnsi="宋体" w:cs="宋体" w:hint="eastAsia"/>
                <w:szCs w:val="21"/>
              </w:rPr>
              <w:t>工作流程和报文格式</w:t>
            </w:r>
          </w:p>
        </w:tc>
      </w:tr>
      <w:tr w:rsidR="00612B09" w:rsidRPr="007062E5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9A2" w:rsidRDefault="00643754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048000" cy="3305175"/>
                  <wp:effectExtent l="0" t="0" r="0" b="9525"/>
                  <wp:docPr id="1" name="图片 1" descr="tel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B09" w:rsidRPr="000539A2" w:rsidRDefault="000539A2" w:rsidP="000539A2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本次实验根据虚拟机的真实MAC地址进行实</w:t>
            </w:r>
          </w:p>
        </w:tc>
      </w:tr>
      <w:tr w:rsidR="00612B09" w:rsidRPr="007062E5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一、利用网络协议分析软件抓取Telnet协议数据包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1.1  在打开主机A上的“网络协议分析软件，单击工具栏”过滤器“-〉”添加“-〉”类型过滤器“-&gt;”telnet协议“-&gt;”接受”-&gt;”设置参数”-〉”确定“，然后单击”开始“按钮，捕捉telnet数据包。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42FAA54" wp14:editId="3CE2AD76">
                  <wp:extent cx="4760595" cy="3216910"/>
                  <wp:effectExtent l="0" t="0" r="190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1.2  在主机A上,单击”开始”-&gt;”运行”-〉输入“cmd”-&gt;”telnet 192.168.1.200”,telnet目标主机B，输入账号root,密码Simplexue123，“回车”后登录到远程服务器上。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4D33DB" wp14:editId="4864CE5A">
                  <wp:extent cx="4760595" cy="329819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9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1.3  在命令行窗口输入“ifconfig”,显示目标主机网卡信息。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48E8B5" wp14:editId="72885CA6">
                  <wp:extent cx="4760595" cy="3180715"/>
                  <wp:effectExtent l="0" t="0" r="190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1.4  网络协议分析软件捕获telnet协议数据包。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3FF49A0F" wp14:editId="0EA5474B">
                  <wp:extent cx="4760595" cy="3536950"/>
                  <wp:effectExtent l="0" t="0" r="190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3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1.5  单击“协议视图”，在数据包列表区逐个数据包查看telnet数据包交互过程。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F89C1E" wp14:editId="348055FC">
                  <wp:extent cx="4760595" cy="3521710"/>
                  <wp:effectExtent l="0" t="0" r="190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1.6  在数据包中发现“r”字母，在随后的数据报包中会陆续出现字母“o”、“o”……..等，这是因为telnet在传输用户输入的内容时一次只传输1个字节，因此每个报文中只能看到一个字母。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  <w:r>
              <w:rPr>
                <w:rFonts w:ascii="Arial" w:hAnsi="Arial" w:cs="Arial"/>
                <w:color w:val="14191E"/>
                <w:sz w:val="21"/>
                <w:szCs w:val="21"/>
              </w:rPr>
              <w:t xml:space="preserve"> 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FC07F11" wp14:editId="051BC54F">
                  <wp:extent cx="4760595" cy="3559175"/>
                  <wp:effectExtent l="0" t="0" r="190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二、利用数据包发送器发送Telnet数据包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2.1  在主机A上打开数据包发送器，单击工具栏“添加”按钮，选择“TELNET协议模板”，单击“确认”按钮，建立一个Telnet数据包。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D0F4D7E" wp14:editId="578F8F46">
                  <wp:extent cx="4760595" cy="315023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2.2  填写以太网帧头、IP首部、TCP首部和TELNET报文的内容。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  <w:r>
              <w:rPr>
                <w:rFonts w:cs="Arial" w:hint="eastAsia"/>
                <w:color w:val="14191E"/>
              </w:rPr>
              <w:t>8所示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填写以太网协议首部信息：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目的物理地址</w:t>
            </w:r>
            <w:r>
              <w:rPr>
                <w:rFonts w:cs="Arial" w:hint="eastAsia"/>
                <w:color w:val="14191E"/>
              </w:rPr>
              <w:t>：在地址本中选择主机B的IP地址(192.168.1.200)，确认后自动填入主机B的MAC地址：00-55-55-55-55-55；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源物理地址</w:t>
            </w:r>
            <w:r>
              <w:rPr>
                <w:rFonts w:cs="Arial" w:hint="eastAsia"/>
                <w:color w:val="14191E"/>
              </w:rPr>
              <w:t>：在地址本中选择主机A(192.168.1.2)，确认后自动填入主机A的MAC地址：00-22-22-22-22-22；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类型或长度</w:t>
            </w:r>
            <w:r>
              <w:rPr>
                <w:rFonts w:cs="Arial" w:hint="eastAsia"/>
                <w:color w:val="14191E"/>
              </w:rPr>
              <w:t>：该字段应为0800(即IP协议的类型值)。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填写IP协议头信息：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总长度字段</w:t>
            </w:r>
            <w:r>
              <w:rPr>
                <w:rFonts w:cs="Arial" w:hint="eastAsia"/>
                <w:color w:val="14191E"/>
              </w:rPr>
              <w:t>：包括TCP段内容的总长度，20 IP+20 TCP+6 TELNET = 46；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高层协议字段</w:t>
            </w:r>
            <w:r>
              <w:rPr>
                <w:rFonts w:cs="Arial" w:hint="eastAsia"/>
                <w:color w:val="14191E"/>
              </w:rPr>
              <w:t>：即上层协议类型为6(TCP协议的类型为6)；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发送IP地址</w:t>
            </w:r>
            <w:r>
              <w:rPr>
                <w:rFonts w:cs="Arial" w:hint="eastAsia"/>
                <w:color w:val="14191E"/>
              </w:rPr>
              <w:t>：在地址本中选择主机A的IP地址，确认后自动填入主机A的IP地址192.168.1.2；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目标IP地址</w:t>
            </w:r>
            <w:r>
              <w:rPr>
                <w:rFonts w:cs="Arial" w:hint="eastAsia"/>
                <w:color w:val="14191E"/>
              </w:rPr>
              <w:t>：在地址本中选择交换机的管理IP地址，确认后自动填入交换机的IP地址192.168.1.200；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填写TCP协议的各个字段信息：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16位源端口号</w:t>
            </w:r>
            <w:r>
              <w:rPr>
                <w:rFonts w:cs="Arial" w:hint="eastAsia"/>
                <w:color w:val="14191E"/>
              </w:rPr>
              <w:t>：任意大于1024的数；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16位目的端口号</w:t>
            </w:r>
            <w:r>
              <w:rPr>
                <w:rFonts w:cs="Arial" w:hint="eastAsia"/>
                <w:color w:val="14191E"/>
              </w:rPr>
              <w:t>：23；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32位序号</w:t>
            </w:r>
            <w:r>
              <w:rPr>
                <w:rFonts w:cs="Arial" w:hint="eastAsia"/>
                <w:color w:val="14191E"/>
              </w:rPr>
              <w:t>：选择一个序号(例如：11112222)；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32位确认序号</w:t>
            </w:r>
            <w:r>
              <w:rPr>
                <w:rFonts w:cs="Arial" w:hint="eastAsia"/>
                <w:color w:val="14191E"/>
              </w:rPr>
              <w:t>：设置为0；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lastRenderedPageBreak/>
              <w:t>l  </w:t>
            </w:r>
            <w:r>
              <w:rPr>
                <w:rStyle w:val="a4"/>
                <w:rFonts w:cs="Arial" w:hint="eastAsia"/>
                <w:color w:val="14191E"/>
              </w:rPr>
              <w:t>首部长度</w:t>
            </w:r>
            <w:r>
              <w:rPr>
                <w:rFonts w:cs="Arial" w:hint="eastAsia"/>
                <w:color w:val="14191E"/>
              </w:rPr>
              <w:t>：首部长度设为5，即长度为20字节；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标志位</w:t>
            </w:r>
            <w:r>
              <w:rPr>
                <w:rFonts w:cs="Arial" w:hint="eastAsia"/>
                <w:color w:val="14191E"/>
              </w:rPr>
              <w:t>：标志位设为2，即标志位SYN=1；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窗口大小</w:t>
            </w:r>
            <w:r>
              <w:rPr>
                <w:rFonts w:cs="Arial" w:hint="eastAsia"/>
                <w:color w:val="14191E"/>
              </w:rPr>
              <w:t>：任意，例如填入32733；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 </w:t>
            </w:r>
            <w:r>
              <w:rPr>
                <w:rStyle w:val="a4"/>
                <w:rFonts w:cs="Arial" w:hint="eastAsia"/>
                <w:color w:val="14191E"/>
              </w:rPr>
              <w:t>紧急指针</w:t>
            </w:r>
            <w:r>
              <w:rPr>
                <w:rFonts w:cs="Arial" w:hint="eastAsia"/>
                <w:color w:val="14191E"/>
              </w:rPr>
              <w:t>：0；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l  填写TELNET协议报文的内容：可填入Telnet命令或者单字节的字母，例如构造一个传输Will命令的报文可填入FF FB 01 FF FB 03。</w:t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2.3  在数据包列表区中选中编辑完的数据包,单击工具栏中的”校验和”,自动计算数据包效验和。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BA791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3895FDE" wp14:editId="34349272">
                  <wp:extent cx="4760595" cy="3496945"/>
                  <wp:effectExtent l="0" t="0" r="190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2.4  选中发送的数据包，单机工具栏“发送”按钮，设置发送次数5。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4B1246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7575A" wp14:editId="4590B17D">
                  <wp:extent cx="4760595" cy="366204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754" w:rsidRDefault="00643754" w:rsidP="00643754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 w:hint="eastAsia"/>
                <w:color w:val="14191E"/>
              </w:rPr>
              <w:t>2.5  在协议结构树显示TCP报文的标志位是SYN，Telnet报文是Will。</w:t>
            </w:r>
            <w:r w:rsidRPr="00643754">
              <w:rPr>
                <w:rFonts w:cs="Arial" w:hint="eastAsia"/>
                <w:b/>
                <w:color w:val="FF0000"/>
              </w:rPr>
              <w:t>实验过程截图如下：</w:t>
            </w:r>
          </w:p>
          <w:p w:rsidR="00643754" w:rsidRDefault="004B1246" w:rsidP="00643754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0C3B1D" wp14:editId="3220E6AA">
                  <wp:extent cx="4760595" cy="3556000"/>
                  <wp:effectExtent l="0" t="0" r="1905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B09" w:rsidRPr="000539A2" w:rsidRDefault="00612B09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szCs w:val="21"/>
              </w:rPr>
            </w:pPr>
          </w:p>
        </w:tc>
      </w:tr>
      <w:tr w:rsidR="00612B09" w:rsidRPr="007062E5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31" w:rsidRDefault="007B3631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:rsidR="007B3631" w:rsidRDefault="007B3631" w:rsidP="007B363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1．FF FB 01 FF FB 03如何转换成Will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协议中，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FF FB 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代表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FF FB 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代表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。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这些字节都是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协议中的命令字节，用于在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会话期间进行通信。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协议是一种远程终端协议，用于在计算机之间进行网络连接，并提供类似于本地终端的功能。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报文中，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协议通常是通过在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数据中包含特殊的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控制字符来实现的。这些控制字符由前缀字节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标识，后面跟着一个命令字节。对于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命令，它们的命令字节分别是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和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。</w:t>
            </w:r>
          </w:p>
          <w:p w:rsidR="0022445D" w:rsidRPr="0022445D" w:rsidRDefault="0022445D" w:rsidP="0022445D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因此，当在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数据中看到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 0xFB 0x01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的字节序列时，它被解释为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"Will"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命令，表示发送方愿意启用指定的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选项。类似地，当看到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0xFF 0xFB 0x03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时，它被解释为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"Won't"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命令，表示发送方不希望启用指定的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Telnet</w:t>
            </w:r>
            <w:r w:rsidRPr="0022445D">
              <w:rPr>
                <w:rFonts w:ascii="Verdana" w:hAnsi="Verdana" w:cs="宋体"/>
                <w:color w:val="000000"/>
                <w:kern w:val="0"/>
                <w:szCs w:val="21"/>
              </w:rPr>
              <w:t>选项。</w:t>
            </w:r>
          </w:p>
          <w:p w:rsidR="00612B09" w:rsidRPr="0022445D" w:rsidRDefault="00612B09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B475C0" w:rsidRPr="00ED3AED" w:rsidRDefault="00B475C0" w:rsidP="002C7057"/>
    <w:sectPr w:rsidR="00B475C0" w:rsidRPr="00ED3AED" w:rsidSect="009D7459">
      <w:headerReference w:type="default" r:id="rId18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75" w:rsidRDefault="00BF4D75">
      <w:r>
        <w:separator/>
      </w:r>
    </w:p>
  </w:endnote>
  <w:endnote w:type="continuationSeparator" w:id="0">
    <w:p w:rsidR="00BF4D75" w:rsidRDefault="00BF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75" w:rsidRDefault="00BF4D75">
      <w:r>
        <w:separator/>
      </w:r>
    </w:p>
  </w:footnote>
  <w:footnote w:type="continuationSeparator" w:id="0">
    <w:p w:rsidR="00BF4D75" w:rsidRDefault="00BF4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47713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0722"/>
    <w:rsid w:val="001F24F0"/>
    <w:rsid w:val="001F2B32"/>
    <w:rsid w:val="001F50A0"/>
    <w:rsid w:val="001F64D9"/>
    <w:rsid w:val="00207BF5"/>
    <w:rsid w:val="00207CB6"/>
    <w:rsid w:val="00213662"/>
    <w:rsid w:val="00216DE3"/>
    <w:rsid w:val="0022445D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D64A2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1246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5F6835"/>
    <w:rsid w:val="0060631D"/>
    <w:rsid w:val="00612B09"/>
    <w:rsid w:val="00617364"/>
    <w:rsid w:val="00636A99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3631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7914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BF4D75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3940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D3AED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9DF13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350</Words>
  <Characters>2000</Characters>
  <Application>Microsoft Office Word</Application>
  <DocSecurity>0</DocSecurity>
  <Lines>16</Lines>
  <Paragraphs>4</Paragraphs>
  <ScaleCrop>false</ScaleCrop>
  <Company>cuc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11</cp:revision>
  <cp:lastPrinted>2018-06-13T02:18:00Z</cp:lastPrinted>
  <dcterms:created xsi:type="dcterms:W3CDTF">2022-03-10T01:00:00Z</dcterms:created>
  <dcterms:modified xsi:type="dcterms:W3CDTF">2023-03-17T09:44:00Z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