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8127" w14:textId="77777777" w:rsidR="000E11BD" w:rsidRPr="000E11BD" w:rsidRDefault="000E11BD" w:rsidP="000E11BD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СПРАВКА-ДОКЛАД</w:t>
      </w:r>
    </w:p>
    <w:p w14:paraId="50129633" w14:textId="77777777" w:rsidR="000E11BD" w:rsidRPr="000E11BD" w:rsidRDefault="000E11BD" w:rsidP="000E11BD">
      <w:pPr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sz w:val="24"/>
          <w:szCs w:val="24"/>
        </w:rPr>
        <w:t xml:space="preserve">о компании ТОО «Caspian </w:t>
      </w:r>
      <w:proofErr w:type="spellStart"/>
      <w:r w:rsidRPr="000E11BD">
        <w:rPr>
          <w:rFonts w:ascii="Times New Roman" w:hAnsi="Times New Roman" w:cs="Times New Roman"/>
          <w:b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b/>
          <w:sz w:val="24"/>
          <w:szCs w:val="24"/>
        </w:rPr>
        <w:t xml:space="preserve"> Center» (CGC)</w:t>
      </w:r>
    </w:p>
    <w:p w14:paraId="741904FB" w14:textId="77777777" w:rsidR="000E11BD" w:rsidRPr="000E11BD" w:rsidRDefault="000E11BD" w:rsidP="000E11BD">
      <w:pPr>
        <w:jc w:val="right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i/>
          <w:sz w:val="24"/>
          <w:szCs w:val="24"/>
        </w:rPr>
        <w:t>г. Астана, 2026 г.</w:t>
      </w:r>
    </w:p>
    <w:p w14:paraId="7EE104F2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1. Общие сведения</w:t>
      </w:r>
    </w:p>
    <w:p w14:paraId="1987AA2F" w14:textId="6872F02D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«Caspian </w:t>
      </w:r>
      <w:proofErr w:type="spellStart"/>
      <w:r w:rsidRPr="000E11BD">
        <w:rPr>
          <w:rFonts w:ascii="Times New Roman" w:hAnsi="Times New Roman" w:cs="Times New Roman"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sz w:val="24"/>
          <w:szCs w:val="24"/>
        </w:rPr>
        <w:t xml:space="preserve"> Center» </w:t>
      </w:r>
      <w:r>
        <w:rPr>
          <w:rFonts w:ascii="Times New Roman" w:hAnsi="Times New Roman" w:cs="Times New Roman"/>
          <w:sz w:val="24"/>
          <w:szCs w:val="24"/>
        </w:rPr>
        <w:br/>
      </w:r>
      <w:r w:rsidRPr="000E11BD">
        <w:rPr>
          <w:rFonts w:ascii="Times New Roman" w:hAnsi="Times New Roman" w:cs="Times New Roman"/>
          <w:sz w:val="24"/>
          <w:szCs w:val="24"/>
        </w:rPr>
        <w:t>(далее – CGC, Компания) работает на рынке инженерных изысканий Республики Казахстан с 2023 года. Компания зарегистрирована в г. Астана (БИН 230240009691) и специализируется на комплексном выполнении геофизических, геодезических, геологических, гидрологических, гидрографических и иных инженерных работ для проектирования и строительства объектов промышленной, транспортной, портовой и энергетической инфраструктуры, а также для нужд углеводородной отрасли.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6434"/>
      </w:tblGrid>
      <w:tr w:rsidR="000E11BD" w:rsidRPr="000E11BD" w14:paraId="0F39685E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49880B4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</w:t>
            </w:r>
          </w:p>
        </w:tc>
        <w:tc>
          <w:tcPr>
            <w:tcW w:w="6434" w:type="dxa"/>
            <w:vAlign w:val="center"/>
          </w:tcPr>
          <w:p w14:paraId="698E32A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Товарищество с ограниченной ответственностью «Caspian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Geology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Center»</w:t>
            </w:r>
          </w:p>
        </w:tc>
      </w:tr>
      <w:tr w:rsidR="000E11BD" w:rsidRPr="000E11BD" w14:paraId="3CCC315D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156F6A7A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БИН</w:t>
            </w:r>
          </w:p>
        </w:tc>
        <w:tc>
          <w:tcPr>
            <w:tcW w:w="6434" w:type="dxa"/>
            <w:vAlign w:val="center"/>
          </w:tcPr>
          <w:p w14:paraId="6E548DAE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230240009691</w:t>
            </w:r>
          </w:p>
        </w:tc>
      </w:tr>
      <w:tr w:rsidR="000E11BD" w:rsidRPr="000E11BD" w14:paraId="4B2B4441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08E9F05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6434" w:type="dxa"/>
            <w:vAlign w:val="center"/>
          </w:tcPr>
          <w:p w14:paraId="7A773B4F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010000, Республика Казахстан, г. Астана, пр.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Қабанбай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Батыр, здание 17, нежилое помещение 15</w:t>
            </w:r>
          </w:p>
        </w:tc>
      </w:tr>
      <w:tr w:rsidR="000E11BD" w:rsidRPr="000E11BD" w14:paraId="4143F4CC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2D8A5EAD" w14:textId="2AEA760C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Генеральный д</w:t>
            </w: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иректор</w:t>
            </w:r>
          </w:p>
        </w:tc>
        <w:tc>
          <w:tcPr>
            <w:tcW w:w="6434" w:type="dxa"/>
            <w:vAlign w:val="center"/>
          </w:tcPr>
          <w:p w14:paraId="305ED5FC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Шахтаев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Г. Ж.</w:t>
            </w:r>
          </w:p>
        </w:tc>
      </w:tr>
    </w:tbl>
    <w:p w14:paraId="6712FE30" w14:textId="77777777" w:rsidR="000E11BD" w:rsidRPr="000E11BD" w:rsidRDefault="000E11BD" w:rsidP="000E11BD">
      <w:pPr>
        <w:keepNext/>
        <w:spacing w:before="200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2. Направления деятельности</w:t>
      </w:r>
    </w:p>
    <w:p w14:paraId="5EAE6D99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Компания выполняет полный цикл инженерных изысканий – от полевых работ до камеральной обработки и выпуска отчётной документации:</w:t>
      </w:r>
    </w:p>
    <w:p w14:paraId="64AF719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полевые исследования грунтов, бурение и опробование, лабораторные испытания, литологическое расчленение разреза, оценка физико-механических свойств грунтов;</w:t>
      </w:r>
    </w:p>
    <w:p w14:paraId="39A5234B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гидрогеологические и гидрологические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изучение подземных вод, определение уровней и режима, гидрогеологические исследования площадок и трасс;</w:t>
      </w:r>
    </w:p>
    <w:p w14:paraId="0F47B6A3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геофизические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рекогносцировка и съёмка, сейсморазведочные работы, исследования для инженерных изысканий и для разведки и добычи углеводородов;</w:t>
      </w:r>
    </w:p>
    <w:p w14:paraId="4D363C2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инженерно-геодезические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топографические съёмки масштабов от 1:10000 до 1:200, съёмка подземных коммуникаций и сооружений, трассирование и съёмка линейных объектов, создание планово-высотных съёмочных сетей, построение и закладка геодезических центров, вынос в натуру и привязка выработок и точек изысканий;</w:t>
      </w:r>
    </w:p>
    <w:p w14:paraId="34AE22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гидрографические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промеры глубин, батиметрическая съёмка акваторий, построение цифровых моделей дна для проектирования морских, речных и портовых сооружений;</w:t>
      </w:r>
    </w:p>
    <w:p w14:paraId="17696291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камеральная обработка и отчётность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подготовка технических отчётов, ведомостей, картографических и графических материалов (карты фактического материала, геолого-литологические разрезы и колонки).</w:t>
      </w:r>
    </w:p>
    <w:p w14:paraId="40F7162A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3. Разрешительная документация</w:t>
      </w:r>
    </w:p>
    <w:p w14:paraId="621A19A7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Деятельность Компании осуществляется на основании государственных лицензий (неотчуждаемые, класс 1):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1703"/>
        <w:gridCol w:w="3624"/>
        <w:gridCol w:w="2465"/>
      </w:tblGrid>
      <w:tr w:rsidR="000E11BD" w:rsidRPr="000E11BD" w14:paraId="72FDE0EF" w14:textId="77777777" w:rsidTr="000E11BD">
        <w:trPr>
          <w:jc w:val="center"/>
        </w:trPr>
        <w:tc>
          <w:tcPr>
            <w:tcW w:w="1553" w:type="dxa"/>
            <w:shd w:val="clear" w:color="auto" w:fill="E8EEF5"/>
            <w:vAlign w:val="center"/>
          </w:tcPr>
          <w:p w14:paraId="1E57180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№ лицензии</w:t>
            </w:r>
          </w:p>
        </w:tc>
        <w:tc>
          <w:tcPr>
            <w:tcW w:w="1703" w:type="dxa"/>
            <w:shd w:val="clear" w:color="auto" w:fill="E8EEF5"/>
            <w:vAlign w:val="center"/>
          </w:tcPr>
          <w:p w14:paraId="0E427248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Дата выдачи</w:t>
            </w:r>
          </w:p>
        </w:tc>
        <w:tc>
          <w:tcPr>
            <w:tcW w:w="3624" w:type="dxa"/>
            <w:shd w:val="clear" w:color="auto" w:fill="E8EEF5"/>
            <w:vAlign w:val="center"/>
          </w:tcPr>
          <w:p w14:paraId="2626F98B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Вид деятельности</w:t>
            </w:r>
          </w:p>
        </w:tc>
        <w:tc>
          <w:tcPr>
            <w:tcW w:w="2465" w:type="dxa"/>
            <w:shd w:val="clear" w:color="auto" w:fill="E8EEF5"/>
            <w:vAlign w:val="center"/>
          </w:tcPr>
          <w:p w14:paraId="4040049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Лицензиар</w:t>
            </w:r>
          </w:p>
        </w:tc>
      </w:tr>
      <w:tr w:rsidR="000E11BD" w:rsidRPr="000E11BD" w14:paraId="568AEC98" w14:textId="77777777" w:rsidTr="000E11BD">
        <w:trPr>
          <w:jc w:val="center"/>
        </w:trPr>
        <w:tc>
          <w:tcPr>
            <w:tcW w:w="1553" w:type="dxa"/>
            <w:vAlign w:val="center"/>
          </w:tcPr>
          <w:p w14:paraId="10AB3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23006536</w:t>
            </w:r>
          </w:p>
        </w:tc>
        <w:tc>
          <w:tcPr>
            <w:tcW w:w="1703" w:type="dxa"/>
            <w:vAlign w:val="center"/>
          </w:tcPr>
          <w:p w14:paraId="12B2A939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13.03.2023</w:t>
            </w:r>
            <w:r w:rsidRPr="000E11BD">
              <w:rPr>
                <w:rFonts w:ascii="Times New Roman" w:hAnsi="Times New Roman" w:cs="Times New Roman"/>
                <w:sz w:val="24"/>
                <w:szCs w:val="24"/>
              </w:rPr>
              <w:br/>
              <w:t>(первичная – 02.03.2023)</w:t>
            </w:r>
          </w:p>
        </w:tc>
        <w:tc>
          <w:tcPr>
            <w:tcW w:w="3624" w:type="dxa"/>
            <w:vAlign w:val="center"/>
          </w:tcPr>
          <w:p w14:paraId="6B12B47D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Изыскательская деятельность: инженерно-геологические и инженерно-гидрогеологические работы; геофизические исследования; инженерно-геодезические работы</w:t>
            </w:r>
          </w:p>
        </w:tc>
        <w:tc>
          <w:tcPr>
            <w:tcW w:w="2465" w:type="dxa"/>
            <w:vAlign w:val="center"/>
          </w:tcPr>
          <w:p w14:paraId="47A315DF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ГУ «Управление контроля и качества городской среды г. Астаны», Акимат г. Астаны</w:t>
            </w:r>
          </w:p>
        </w:tc>
      </w:tr>
      <w:tr w:rsidR="000E11BD" w:rsidRPr="000E11BD" w14:paraId="04DE5D69" w14:textId="77777777" w:rsidTr="000E11BD">
        <w:trPr>
          <w:jc w:val="center"/>
        </w:trPr>
        <w:tc>
          <w:tcPr>
            <w:tcW w:w="1553" w:type="dxa"/>
            <w:vAlign w:val="center"/>
          </w:tcPr>
          <w:p w14:paraId="2AA36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23007605</w:t>
            </w:r>
          </w:p>
        </w:tc>
        <w:tc>
          <w:tcPr>
            <w:tcW w:w="1703" w:type="dxa"/>
            <w:vAlign w:val="center"/>
          </w:tcPr>
          <w:p w14:paraId="58FC313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31.03.2023</w:t>
            </w:r>
          </w:p>
        </w:tc>
        <w:tc>
          <w:tcPr>
            <w:tcW w:w="3624" w:type="dxa"/>
            <w:vAlign w:val="center"/>
          </w:tcPr>
          <w:p w14:paraId="5DF83B1B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Работы и услуги в сфере углеводородов: геофизические работы (прил. 001 от 31.03.2023) и сейсморазведочные работы (прил. 002 от 31.05.2023) при разведке и добыче углеводородов</w:t>
            </w:r>
          </w:p>
        </w:tc>
        <w:tc>
          <w:tcPr>
            <w:tcW w:w="2465" w:type="dxa"/>
            <w:vAlign w:val="center"/>
          </w:tcPr>
          <w:p w14:paraId="170062E3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Министерство энергетики Республики Казахстан</w:t>
            </w:r>
          </w:p>
        </w:tc>
      </w:tr>
    </w:tbl>
    <w:p w14:paraId="61B2286F" w14:textId="77777777" w:rsidR="000E11BD" w:rsidRPr="000E11BD" w:rsidRDefault="000E11BD" w:rsidP="000E11BD">
      <w:pPr>
        <w:keepNext/>
        <w:spacing w:before="200"/>
        <w:ind w:left="1"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4. Реализованные проекты</w:t>
      </w:r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Перечень работ, выполненных Компанией в 2025–2026 годах:</w:t>
      </w:r>
      <w:proofErr w:type="spellStart"/>
      <w:proofErr w:type="spellEnd"/>
      <w:proofErr w:type="gramStart"/>
      <w:proofErr w:type="gramEnd"/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948"/>
        <w:gridCol w:w="4706"/>
        <w:gridCol w:w="1077"/>
      </w:tblGrid>
      <w:tr>
        <w:tc>
          <w:tcPr>
            <w:tcW w:type="dxa" w:w="567"/>
            <w:shd w:val="clear" w:fill="E8EEF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shd w:val="clear" w:fill="E8EEF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Заказчик / объект</w:t>
            </w:r>
          </w:p>
        </w:tc>
        <w:tc>
          <w:tcPr>
            <w:tcW w:type="dxa" w:w="4706"/>
            <w:shd w:val="clear" w:fill="E8EEF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Виды работ</w:t>
            </w:r>
          </w:p>
        </w:tc>
        <w:tc>
          <w:tcPr>
            <w:tcW w:type="dxa" w:w="1077"/>
            <w:shd w:val="clear" w:fill="E8EEF5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Год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«Sarzha Grain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Инженерно-геодезические изыскания, топосъёмка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Инженерно-геологические и геодезические изыскания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Инженерно-геологические изыскания (геология)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Установка 11 реперов и уравнивание геодезической сети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«Semurg Invest»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Инженерно-топографическая съёмка М 1:1000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«Semurg Invest»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Инженерно-топографическая съёмка М 1:500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Гидрографические работы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«Kalamkas-Khazar Operating»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Батиметрия, Уральская седловина, Северный Каспий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ТОО «Organic Fish»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Батиметрия акватории рыбоводных садков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</w:tbl>
    <w:p w14:paraId="2AF49BDF" w14:textId="3F5A81A5" w:rsidR="00970E5D" w:rsidRPr="000E11BD" w:rsidRDefault="00970E5D" w:rsidP="00705A63">
      <w:pPr>
        <w:spacing w:after="0" w:line="24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</w:p>
    <w:sectPr w:rsidR="00970E5D" w:rsidRPr="000E11BD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B061" w14:textId="77777777" w:rsidR="00AB0F63" w:rsidRDefault="00AB0F63" w:rsidP="003D0A79">
      <w:pPr>
        <w:spacing w:after="0" w:line="240" w:lineRule="auto"/>
      </w:pPr>
      <w:r>
        <w:separator/>
      </w:r>
    </w:p>
  </w:endnote>
  <w:endnote w:type="continuationSeparator" w:id="0">
    <w:p w14:paraId="0797A80D" w14:textId="77777777" w:rsidR="00AB0F63" w:rsidRDefault="00AB0F63" w:rsidP="003D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706D6" w14:textId="77777777" w:rsidR="00AB0F63" w:rsidRDefault="00AB0F63" w:rsidP="003D0A79">
      <w:pPr>
        <w:spacing w:after="0" w:line="240" w:lineRule="auto"/>
      </w:pPr>
      <w:r>
        <w:separator/>
      </w:r>
    </w:p>
  </w:footnote>
  <w:footnote w:type="continuationSeparator" w:id="0">
    <w:p w14:paraId="2B3DAFD3" w14:textId="77777777" w:rsidR="00AB0F63" w:rsidRDefault="00AB0F63" w:rsidP="003D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0E11BD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0E11BD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0F63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B4321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2026-09-29T11:51:00Z</dcterms:modified>
</cp:coreProperties>
</file>