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1"/>
        </w:rPr>
        <w:t>Исх. № ______ от «___» ____________ 2026 г.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СПРАВКА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компании ТОО «Caspian Geology Center» (CGC)</w:t>
      </w:r>
    </w:p>
    <w:p>
      <w:pPr>
        <w:keepNext/>
        <w:spacing w:after="60" w:before="14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23"/>
        </w:rPr>
        <w:t>1. Общие сведения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Наименование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«Caspian Geology Center»</w:t>
            </w:r>
          </w:p>
        </w:tc>
      </w:tr>
      <w:tr>
        <w:tc>
          <w:tcPr>
            <w:tcW w:type="dxa" w:w="2835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БИН / год регистрации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230240009691 / 2023</w:t>
            </w:r>
          </w:p>
        </w:tc>
      </w:tr>
      <w:tr>
        <w:tc>
          <w:tcPr>
            <w:tcW w:type="dxa" w:w="2835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Юридический адрес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010000, г. Астана, пр. Қабанбай Батыр, здание 17, нежилое помещение 15</w:t>
            </w:r>
          </w:p>
        </w:tc>
      </w:tr>
      <w:tr>
        <w:tc>
          <w:tcPr>
            <w:tcW w:type="dxa" w:w="2835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Производственные базы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г. Актобе, промзона 565; Атырауская обл., Индерский р-н, п. Индербор</w:t>
            </w:r>
          </w:p>
        </w:tc>
      </w:tr>
      <w:tr>
        <w:tc>
          <w:tcPr>
            <w:tcW w:type="dxa" w:w="2835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Генеральный директор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Шахтаев Г. Ж.</w:t>
            </w:r>
          </w:p>
        </w:tc>
      </w:tr>
    </w:tbl>
    <w:p>
      <w:pPr>
        <w:keepNext/>
        <w:spacing w:after="60" w:before="14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23"/>
        </w:rPr>
        <w:t>2. Лицензии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134"/>
        <w:gridCol w:w="2324"/>
        <w:gridCol w:w="4819"/>
      </w:tblGrid>
      <w:tr>
        <w:tc>
          <w:tcPr>
            <w:tcW w:type="dxa" w:w="1077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134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Дата</w:t>
            </w:r>
          </w:p>
        </w:tc>
        <w:tc>
          <w:tcPr>
            <w:tcW w:type="dxa" w:w="2324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Лицензиар</w:t>
            </w:r>
          </w:p>
        </w:tc>
        <w:tc>
          <w:tcPr>
            <w:tcW w:type="dxa" w:w="4819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Виды работ</w:t>
            </w:r>
          </w:p>
        </w:tc>
      </w:tr>
      <w:tr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23006536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13.03.2023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Акимат г. Астаны (ГУ «Управление контроля и качества городской среды»)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Изыскательская деятельность: инженерно-геологические и гидрогеологические работы, геофизические исследования, инженерно-геодезические работы (топосъёмка М 1:10000–1:200, съёмка подземных коммуникаций, трассирование линейных сооружений, планово-высотные сети, закладка геодезических центров)</w:t>
            </w:r>
          </w:p>
        </w:tc>
      </w:tr>
      <w:tr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23007605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31.03.2023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Министерство энергетики РК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Работы и услуги в сфере углеводородов: геофизические работы (прил. 001) и сейсморазведочные работы (прил. 002) при разведке и добыче углеводородов</w:t>
            </w:r>
          </w:p>
        </w:tc>
      </w:tr>
    </w:tbl>
    <w:p>
      <w:pPr>
        <w:keepNext/>
        <w:spacing w:after="60" w:before="14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23"/>
        </w:rPr>
        <w:t>3. Виды выполняемых работ</w:t>
      </w:r>
    </w:p>
    <w:p>
      <w:pPr>
        <w:spacing w:after="40" w:before="0" w:line="240" w:lineRule="auto"/>
        <w:ind w:left="283" w:hanging="283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Инженерно-геодезические изыскания: </w:t>
      </w:r>
      <w:r>
        <w:rPr>
          <w:rFonts w:ascii="Times New Roman" w:hAnsi="Times New Roman" w:eastAsia="Times New Roman"/>
          <w:b w:val="0"/>
          <w:i w:val="0"/>
          <w:sz w:val="22"/>
        </w:rPr>
        <w:t>GNSS-опорные сети, закладка реперов и уравнивание сетей; топографическая съёмка М 1:500–1:10000; съёмка подземных коммуникаций; вынос в натуру.</w:t>
      </w:r>
    </w:p>
    <w:p>
      <w:pPr>
        <w:spacing w:after="40" w:before="0" w:line="240" w:lineRule="auto"/>
        <w:ind w:left="283" w:hanging="283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Инженерно-геологические изыскания: </w:t>
      </w:r>
      <w:r>
        <w:rPr>
          <w:rFonts w:ascii="Times New Roman" w:hAnsi="Times New Roman" w:eastAsia="Times New Roman"/>
          <w:b w:val="0"/>
          <w:i w:val="0"/>
          <w:sz w:val="22"/>
        </w:rPr>
        <w:t>бурение скважин с отбором монолитов и керна, лабораторные испытания грунтов, выделение ИГЭ, графические приложения (карты, разрезы, колонки).</w:t>
      </w:r>
    </w:p>
    <w:p>
      <w:pPr>
        <w:spacing w:after="40" w:before="0" w:line="240" w:lineRule="auto"/>
        <w:ind w:left="283" w:hanging="283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Гидрография и батиметрия: </w:t>
      </w:r>
      <w:r>
        <w:rPr>
          <w:rFonts w:ascii="Times New Roman" w:hAnsi="Times New Roman" w:eastAsia="Times New Roman"/>
          <w:b w:val="0"/>
          <w:i w:val="0"/>
          <w:sz w:val="22"/>
        </w:rPr>
        <w:t>промер глубин портовых акваторий, шельфа Северного Каспия и рыбохозяйственных водоёмов; цифровые модели рельефа дна.</w:t>
      </w:r>
    </w:p>
    <w:p>
      <w:pPr>
        <w:spacing w:after="40" w:before="0" w:line="240" w:lineRule="auto"/>
        <w:ind w:left="283" w:hanging="283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Геофизика: </w:t>
      </w:r>
      <w:r>
        <w:rPr>
          <w:rFonts w:ascii="Times New Roman" w:hAnsi="Times New Roman" w:eastAsia="Times New Roman"/>
          <w:b w:val="0"/>
          <w:i w:val="0"/>
          <w:sz w:val="22"/>
        </w:rPr>
        <w:t>геофизические исследования при инженерных изысканиях; геофизические и сейсморазведочные работы при разведке и добыче углеводородов.</w:t>
      </w:r>
    </w:p>
    <w:p>
      <w:pPr>
        <w:spacing w:after="40" w:before="0" w:line="240" w:lineRule="auto"/>
        <w:ind w:left="283" w:hanging="283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Изыскания для трубопроводов: </w:t>
      </w:r>
      <w:r>
        <w:rPr>
          <w:rFonts w:ascii="Times New Roman" w:hAnsi="Times New Roman" w:eastAsia="Times New Roman"/>
          <w:b w:val="0"/>
          <w:i w:val="0"/>
          <w:sz w:val="22"/>
        </w:rPr>
        <w:t>трассирование и топосъёмка трасс, инженерно-геологические изыскания по трассе, съёмка существующих подземных коммуникаций, промер и батиметрия на подводных переходах.</w:t>
      </w:r>
    </w:p>
    <w:p>
      <w:pPr>
        <w:spacing w:after="40" w:before="0" w:line="240" w:lineRule="auto"/>
        <w:ind w:left="283" w:hanging="283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 xml:space="preserve">Камеральные работы: </w:t>
      </w:r>
      <w:r>
        <w:rPr>
          <w:rFonts w:ascii="Times New Roman" w:hAnsi="Times New Roman" w:eastAsia="Times New Roman"/>
          <w:b w:val="0"/>
          <w:i w:val="0"/>
          <w:sz w:val="22"/>
        </w:rPr>
        <w:t>обработка данных и выпуск технических отчётов по СП РК 1.02-105-2014 и СП РК 1.02-102-2014.</w:t>
      </w:r>
    </w:p>
    <w:p>
      <w:pPr>
        <w:keepNext/>
        <w:spacing w:after="60" w:before="14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23"/>
        </w:rPr>
        <w:t>4. Выполненные работы (2025–2026 гг.)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2835"/>
        <w:gridCol w:w="5273"/>
        <w:gridCol w:w="793"/>
      </w:tblGrid>
      <w:tr>
        <w:tc>
          <w:tcPr>
            <w:tcW w:type="dxa" w:w="454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2835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Заказчик</w:t>
            </w:r>
          </w:p>
        </w:tc>
        <w:tc>
          <w:tcPr>
            <w:tcW w:type="dxa" w:w="5272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Виды работ</w:t>
            </w:r>
          </w:p>
        </w:tc>
        <w:tc>
          <w:tcPr>
            <w:tcW w:type="dxa" w:w="794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Год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«Sarzha Grain Terminal»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Инженерно-геодезические изыскания, топосъёмка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«Sarzha Cargo Terminal»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Инженерно-геологические и геодезические изыскания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«Sarzha Cargo Terminal»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Инженерно-геологические изыскания, Причал №10 ММТ «Саржа» (9 скважин глубиной 14–30 м, 206 п. м)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«Sarzha Cargo Terminal»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Закладка 11 реперов, уравнивание геодезической сети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«Semurg Invest»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Инженерно-топографическая съёмка М 1:1000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«Semurg Invest»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Инженерно-топографическая съёмка М 1:500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«Sarzha Cargo Terminal»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Гидрографические работы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2025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«Kalamkas-Khazar Operating»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Батиметрия, Уральская седловина, Северный Каспий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2025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ТОО «Organic Fish»</w:t>
            </w:r>
          </w:p>
        </w:tc>
        <w:tc>
          <w:tcPr>
            <w:tcW w:type="dxa" w:w="52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Батиметрия акватории рыбоводных садков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2025</w:t>
            </w:r>
          </w:p>
        </w:tc>
      </w:tr>
    </w:tbl>
    <w:p>
      <w:pPr>
        <w:keepNext/>
        <w:spacing w:after="60" w:before="14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23"/>
        </w:rPr>
        <w:t>5. Оборудование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Назначение</w:t>
            </w:r>
          </w:p>
        </w:tc>
        <w:tc>
          <w:tcPr>
            <w:tcW w:type="dxa" w:w="6520"/>
            <w:shd w:val="clear" w:fill="E8EE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Оборудование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Геодезия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Двухчастотные GNSS-приёмники Leica GS10, Leica GS16; нивелир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Бурение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Буровая установка УРБ-2А2; малогабаритный буровой станок Pride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Гидрография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highlight w:val="yellow"/>
              </w:rPr>
              <w:t>[эхолот, модель — заполнить]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Геофизика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highlight w:val="yellow"/>
              </w:rPr>
              <w:t>[аппаратура, модель — заполнить]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Программное обеспечение</w:t>
            </w:r>
          </w:p>
        </w:tc>
        <w:tc>
          <w:tcPr>
            <w:tcW w:type="dxa" w:w="65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AutoCAD, Microsoft Office; ПО обработки GNSS-измерений</w:t>
            </w:r>
          </w:p>
        </w:tc>
      </w:tr>
    </w:tbl>
    <w:p>
      <w:pPr>
        <w:spacing w:after="280" w:before="12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Специалисты Компании имеют профильное образование и опыт полевых работ на суше и акваториях Каспийского региона.</w:t>
      </w:r>
    </w:p>
    <w:p>
      <w:pPr>
        <w:spacing w:after="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Генеральный директор</w:t>
        <w:br/>
        <w:t>ТОО «Caspian Geology Center»</w:t>
      </w:r>
      <w:r>
        <w:tab/>
        <w:tab/>
        <w:tab/>
        <w:tab/>
        <w:tab/>
        <w:tab/>
      </w:r>
      <w:r>
        <w:rPr>
          <w:rFonts w:ascii="Times New Roman" w:hAnsi="Times New Roman" w:eastAsia="Times New Roman"/>
          <w:b/>
          <w:i w:val="0"/>
          <w:sz w:val="22"/>
        </w:rPr>
        <w:t>Шахтаев Г. Ж.</w:t>
      </w:r>
    </w:p>
    <w:p>
      <w:pPr>
        <w:spacing w:after="0" w:before="280" w:line="240" w:lineRule="auto"/>
        <w:jc w:val="left"/>
      </w:pPr>
      <w:r>
        <w:rPr>
          <w:rFonts w:ascii="Times New Roman" w:hAnsi="Times New Roman" w:eastAsia="Times New Roman"/>
          <w:b w:val="0"/>
          <w:i/>
          <w:sz w:val="19"/>
        </w:rPr>
        <w:t>Исполнитель: Асаев Р., тел. +7 776 124 20 49, r.assayev@caspiangeo.com</w:t>
      </w:r>
    </w:p>
    <w:sectPr w:rsidR="00970E5D" w:rsidRPr="000E11BD" w:rsidSect="00970E5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6B061" w14:textId="77777777" w:rsidR="00AB0F63" w:rsidRDefault="00AB0F63" w:rsidP="003D0A79">
      <w:pPr>
        <w:spacing w:after="0" w:line="240" w:lineRule="auto"/>
      </w:pPr>
      <w:r>
        <w:separator/>
      </w:r>
    </w:p>
  </w:endnote>
  <w:endnote w:type="continuationSeparator" w:id="0">
    <w:p w14:paraId="0797A80D" w14:textId="77777777" w:rsidR="00AB0F63" w:rsidRDefault="00AB0F63" w:rsidP="003D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706D6" w14:textId="77777777" w:rsidR="00AB0F63" w:rsidRDefault="00AB0F63" w:rsidP="003D0A79">
      <w:pPr>
        <w:spacing w:after="0" w:line="240" w:lineRule="auto"/>
      </w:pPr>
      <w:r>
        <w:separator/>
      </w:r>
    </w:p>
  </w:footnote>
  <w:footnote w:type="continuationSeparator" w:id="0">
    <w:p w14:paraId="2B3DAFD3" w14:textId="77777777" w:rsidR="00AB0F63" w:rsidRDefault="00AB0F63" w:rsidP="003D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7512" w:type="dxa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2409"/>
      <w:gridCol w:w="2552"/>
      <w:gridCol w:w="2551"/>
    </w:tblGrid>
    <w:tr w:rsidR="003D0A79" w:rsidRPr="004905C3" w14:paraId="0266E0CD" w14:textId="77777777" w:rsidTr="003D0A79">
      <w:trPr>
        <w:trHeight w:val="913"/>
      </w:trPr>
      <w:tc>
        <w:tcPr>
          <w:tcW w:w="2409" w:type="dxa"/>
        </w:tcPr>
        <w:p w14:paraId="1BE97209" w14:textId="6BC15393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Республика Казахстан,</w:t>
          </w:r>
        </w:p>
        <w:p w14:paraId="65C88AD3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г. Астана,</w:t>
          </w:r>
        </w:p>
        <w:p w14:paraId="051CA68A" w14:textId="6A0C3B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 xml:space="preserve">пр.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Кабанабай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батыра, 17,</w:t>
          </w:r>
        </w:p>
      </w:tc>
      <w:tc>
        <w:tcPr>
          <w:tcW w:w="2552" w:type="dxa"/>
        </w:tcPr>
        <w:p w14:paraId="372DBBAC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Қазақстан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Республикасы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>,</w:t>
          </w:r>
        </w:p>
        <w:p w14:paraId="7085908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Астана қ.,</w:t>
          </w:r>
        </w:p>
        <w:p w14:paraId="3BD5FA71" w14:textId="2E6ADDD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Қабанбай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 д-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лы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, 17 </w:t>
          </w:r>
        </w:p>
      </w:tc>
      <w:tc>
        <w:tcPr>
          <w:tcW w:w="2551" w:type="dxa"/>
        </w:tcPr>
        <w:p w14:paraId="5C830025" w14:textId="782B21E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  <w:lang w:val="en-US"/>
            </w:rPr>
            <w:t>Kabanbay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B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atyr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ave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>,</w:t>
          </w:r>
          <w:r w:rsidR="00361045"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17</w:t>
          </w:r>
        </w:p>
        <w:p w14:paraId="28A967C1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Astana, Z05H0B4,</w:t>
          </w:r>
        </w:p>
        <w:p w14:paraId="05FE2890" w14:textId="77777777" w:rsidR="003D0A79" w:rsidRPr="003D0A79" w:rsidRDefault="003D0A79" w:rsidP="003D0A79">
          <w:pPr>
            <w:pStyle w:val="a4"/>
            <w:rPr>
              <w:rFonts w:ascii="Arial" w:hAnsi="Arial" w:cs="Arial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Republic of Kazakhstan</w:t>
          </w:r>
        </w:p>
      </w:tc>
    </w:tr>
    <w:tr w:rsidR="003D0A79" w:rsidRPr="000E11BD" w14:paraId="58DC6241" w14:textId="77777777" w:rsidTr="003D0A79">
      <w:trPr>
        <w:trHeight w:val="665"/>
      </w:trPr>
      <w:tc>
        <w:tcPr>
          <w:tcW w:w="2409" w:type="dxa"/>
        </w:tcPr>
        <w:p w14:paraId="3FCACCB3" w14:textId="2EFF8E4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621BB9A8" w14:textId="23CA3136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17B95E9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CAE4F93" w14:textId="11E80835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2" w:type="dxa"/>
        </w:tcPr>
        <w:p w14:paraId="262FA9AC" w14:textId="4DB52A8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0D8CFB36" w14:textId="4B0C978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2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748E0448" w14:textId="0D8F9221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1" w:type="dxa"/>
        </w:tcPr>
        <w:p w14:paraId="07472ACE" w14:textId="3A2E00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Tel.: +7 (7172) 792570</w:t>
          </w:r>
        </w:p>
        <w:p w14:paraId="5041E2FF" w14:textId="2EFBACE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3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0AAE3964" w14:textId="57E5AA4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24C0CC46" w14:textId="6EAA0F63" w:rsidR="003D0A79" w:rsidRPr="003D0A79" w:rsidRDefault="007A785A">
    <w:pPr>
      <w:pStyle w:val="a4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40B8F5C" wp14:editId="7FE34479">
          <wp:simplePos x="0" y="0"/>
          <wp:positionH relativeFrom="page">
            <wp:posOffset>-735678</wp:posOffset>
          </wp:positionH>
          <wp:positionV relativeFrom="margin">
            <wp:posOffset>-125730</wp:posOffset>
          </wp:positionV>
          <wp:extent cx="8514153" cy="4912242"/>
          <wp:effectExtent l="0" t="0" r="0" b="0"/>
          <wp:wrapNone/>
          <wp:docPr id="1412879728" name="Рисунок 1412879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4153" cy="4912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50E05D8" wp14:editId="079B947C">
          <wp:simplePos x="0" y="0"/>
          <wp:positionH relativeFrom="margin">
            <wp:posOffset>-767207</wp:posOffset>
          </wp:positionH>
          <wp:positionV relativeFrom="margin">
            <wp:posOffset>-1505382</wp:posOffset>
          </wp:positionV>
          <wp:extent cx="2516798" cy="1452067"/>
          <wp:effectExtent l="0" t="0" r="0" b="0"/>
          <wp:wrapNone/>
          <wp:docPr id="6149980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6798" cy="145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5C7"/>
    <w:multiLevelType w:val="hybridMultilevel"/>
    <w:tmpl w:val="439E8C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C82385"/>
    <w:multiLevelType w:val="hybridMultilevel"/>
    <w:tmpl w:val="E00A877C"/>
    <w:lvl w:ilvl="0" w:tplc="29201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72349"/>
    <w:multiLevelType w:val="hybridMultilevel"/>
    <w:tmpl w:val="A8602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F6A94"/>
    <w:multiLevelType w:val="hybridMultilevel"/>
    <w:tmpl w:val="703C2808"/>
    <w:lvl w:ilvl="0" w:tplc="2726387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212AC7"/>
    <w:multiLevelType w:val="multilevel"/>
    <w:tmpl w:val="B624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61B9C"/>
    <w:multiLevelType w:val="multilevel"/>
    <w:tmpl w:val="D680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56F4D"/>
    <w:multiLevelType w:val="multilevel"/>
    <w:tmpl w:val="E3CA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A81"/>
    <w:multiLevelType w:val="multilevel"/>
    <w:tmpl w:val="18F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0472"/>
    <w:multiLevelType w:val="hybridMultilevel"/>
    <w:tmpl w:val="964A1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8"/>
    <w:rsid w:val="000030A6"/>
    <w:rsid w:val="00003C90"/>
    <w:rsid w:val="00011EEF"/>
    <w:rsid w:val="00020B45"/>
    <w:rsid w:val="000409B8"/>
    <w:rsid w:val="00041493"/>
    <w:rsid w:val="00063164"/>
    <w:rsid w:val="000670BF"/>
    <w:rsid w:val="00082DC7"/>
    <w:rsid w:val="00090824"/>
    <w:rsid w:val="0009292B"/>
    <w:rsid w:val="00092F7F"/>
    <w:rsid w:val="00095B5A"/>
    <w:rsid w:val="000A37CE"/>
    <w:rsid w:val="000E11BD"/>
    <w:rsid w:val="00104C85"/>
    <w:rsid w:val="0011374C"/>
    <w:rsid w:val="0012648D"/>
    <w:rsid w:val="00176894"/>
    <w:rsid w:val="00180EC0"/>
    <w:rsid w:val="001C0BC5"/>
    <w:rsid w:val="001D1C64"/>
    <w:rsid w:val="001D5F98"/>
    <w:rsid w:val="00201A71"/>
    <w:rsid w:val="0020223E"/>
    <w:rsid w:val="00203413"/>
    <w:rsid w:val="00256C0D"/>
    <w:rsid w:val="002606F1"/>
    <w:rsid w:val="00277761"/>
    <w:rsid w:val="002910A2"/>
    <w:rsid w:val="002A0391"/>
    <w:rsid w:val="002A1453"/>
    <w:rsid w:val="002B687E"/>
    <w:rsid w:val="002C7B24"/>
    <w:rsid w:val="002F0523"/>
    <w:rsid w:val="002F08CF"/>
    <w:rsid w:val="002F7472"/>
    <w:rsid w:val="00305B4D"/>
    <w:rsid w:val="003076E3"/>
    <w:rsid w:val="00330196"/>
    <w:rsid w:val="0033416D"/>
    <w:rsid w:val="0033755B"/>
    <w:rsid w:val="00361045"/>
    <w:rsid w:val="00373008"/>
    <w:rsid w:val="00377121"/>
    <w:rsid w:val="00386ED0"/>
    <w:rsid w:val="003A5C9D"/>
    <w:rsid w:val="003B5961"/>
    <w:rsid w:val="003D0A79"/>
    <w:rsid w:val="003E6C3F"/>
    <w:rsid w:val="003F03D4"/>
    <w:rsid w:val="003F68E3"/>
    <w:rsid w:val="0040207C"/>
    <w:rsid w:val="004024CA"/>
    <w:rsid w:val="0044304D"/>
    <w:rsid w:val="004520EB"/>
    <w:rsid w:val="004606AA"/>
    <w:rsid w:val="004758E1"/>
    <w:rsid w:val="004905C3"/>
    <w:rsid w:val="004D5D67"/>
    <w:rsid w:val="004D7F67"/>
    <w:rsid w:val="00504523"/>
    <w:rsid w:val="00527804"/>
    <w:rsid w:val="00587DFB"/>
    <w:rsid w:val="005B0AAF"/>
    <w:rsid w:val="005C567A"/>
    <w:rsid w:val="006169FB"/>
    <w:rsid w:val="00620B90"/>
    <w:rsid w:val="00682BFA"/>
    <w:rsid w:val="006A2E59"/>
    <w:rsid w:val="006C328C"/>
    <w:rsid w:val="006E35C0"/>
    <w:rsid w:val="006F18A8"/>
    <w:rsid w:val="006F3C91"/>
    <w:rsid w:val="00705A63"/>
    <w:rsid w:val="00721F69"/>
    <w:rsid w:val="0073451B"/>
    <w:rsid w:val="00766755"/>
    <w:rsid w:val="007722B6"/>
    <w:rsid w:val="00775783"/>
    <w:rsid w:val="00783257"/>
    <w:rsid w:val="007A4419"/>
    <w:rsid w:val="007A785A"/>
    <w:rsid w:val="00806BAB"/>
    <w:rsid w:val="00813A79"/>
    <w:rsid w:val="00836E82"/>
    <w:rsid w:val="00864A2C"/>
    <w:rsid w:val="00884245"/>
    <w:rsid w:val="008934BB"/>
    <w:rsid w:val="008A3491"/>
    <w:rsid w:val="008B5B7A"/>
    <w:rsid w:val="008D445C"/>
    <w:rsid w:val="008D486A"/>
    <w:rsid w:val="008E3837"/>
    <w:rsid w:val="008E48FF"/>
    <w:rsid w:val="00900B67"/>
    <w:rsid w:val="00921CAB"/>
    <w:rsid w:val="009335CC"/>
    <w:rsid w:val="009359EE"/>
    <w:rsid w:val="009362CA"/>
    <w:rsid w:val="009645E9"/>
    <w:rsid w:val="00970E5D"/>
    <w:rsid w:val="00972BF3"/>
    <w:rsid w:val="00972DC0"/>
    <w:rsid w:val="00977573"/>
    <w:rsid w:val="00981AC0"/>
    <w:rsid w:val="00983820"/>
    <w:rsid w:val="0098747F"/>
    <w:rsid w:val="009C26A5"/>
    <w:rsid w:val="009D6CB4"/>
    <w:rsid w:val="009D759A"/>
    <w:rsid w:val="009E62A8"/>
    <w:rsid w:val="009F10E4"/>
    <w:rsid w:val="00A126DD"/>
    <w:rsid w:val="00A13917"/>
    <w:rsid w:val="00A47F6B"/>
    <w:rsid w:val="00A745BB"/>
    <w:rsid w:val="00A82FF4"/>
    <w:rsid w:val="00AB0F63"/>
    <w:rsid w:val="00AB7068"/>
    <w:rsid w:val="00AD2725"/>
    <w:rsid w:val="00AE5FDD"/>
    <w:rsid w:val="00AF28D5"/>
    <w:rsid w:val="00B01964"/>
    <w:rsid w:val="00B07430"/>
    <w:rsid w:val="00B225FC"/>
    <w:rsid w:val="00B37885"/>
    <w:rsid w:val="00B40E57"/>
    <w:rsid w:val="00B512D8"/>
    <w:rsid w:val="00B628B4"/>
    <w:rsid w:val="00B70C33"/>
    <w:rsid w:val="00B72CA8"/>
    <w:rsid w:val="00B76467"/>
    <w:rsid w:val="00B92C56"/>
    <w:rsid w:val="00BC4F37"/>
    <w:rsid w:val="00C07C9E"/>
    <w:rsid w:val="00C07FFA"/>
    <w:rsid w:val="00C178FE"/>
    <w:rsid w:val="00C35434"/>
    <w:rsid w:val="00C54930"/>
    <w:rsid w:val="00C66E9B"/>
    <w:rsid w:val="00C67420"/>
    <w:rsid w:val="00C757CD"/>
    <w:rsid w:val="00CC5EA3"/>
    <w:rsid w:val="00CD0570"/>
    <w:rsid w:val="00D3077B"/>
    <w:rsid w:val="00D3399C"/>
    <w:rsid w:val="00D35E47"/>
    <w:rsid w:val="00D41D68"/>
    <w:rsid w:val="00D623A6"/>
    <w:rsid w:val="00D674C8"/>
    <w:rsid w:val="00D8293C"/>
    <w:rsid w:val="00DA291E"/>
    <w:rsid w:val="00DB4785"/>
    <w:rsid w:val="00DC4618"/>
    <w:rsid w:val="00DD2CAE"/>
    <w:rsid w:val="00DD5F6B"/>
    <w:rsid w:val="00DF64E1"/>
    <w:rsid w:val="00E15DE4"/>
    <w:rsid w:val="00E22F8F"/>
    <w:rsid w:val="00E27130"/>
    <w:rsid w:val="00E35A1C"/>
    <w:rsid w:val="00E47525"/>
    <w:rsid w:val="00E622B8"/>
    <w:rsid w:val="00E72F84"/>
    <w:rsid w:val="00E766EA"/>
    <w:rsid w:val="00E8516D"/>
    <w:rsid w:val="00ED2759"/>
    <w:rsid w:val="00EE08DE"/>
    <w:rsid w:val="00F01171"/>
    <w:rsid w:val="00F04137"/>
    <w:rsid w:val="00F20386"/>
    <w:rsid w:val="00F40821"/>
    <w:rsid w:val="00F57D44"/>
    <w:rsid w:val="00F70C58"/>
    <w:rsid w:val="00F93C7A"/>
    <w:rsid w:val="00F97763"/>
    <w:rsid w:val="00FC3082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B4321"/>
  <w15:chartTrackingRefBased/>
  <w15:docId w15:val="{D6C5966B-AA97-4B47-BF5C-668EE2A7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0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74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3">
    <w:name w:val="Table Grid"/>
    <w:basedOn w:val="a1"/>
    <w:uiPriority w:val="59"/>
    <w:rsid w:val="00C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D0A79"/>
  </w:style>
  <w:style w:type="paragraph" w:styleId="a6">
    <w:name w:val="footer"/>
    <w:basedOn w:val="a"/>
    <w:link w:val="a7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D0A79"/>
  </w:style>
  <w:style w:type="character" w:styleId="a8">
    <w:name w:val="Hyperlink"/>
    <w:basedOn w:val="a0"/>
    <w:uiPriority w:val="99"/>
    <w:unhideWhenUsed/>
    <w:rsid w:val="003D0A7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0A7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628B4"/>
    <w:pPr>
      <w:ind w:left="720"/>
      <w:contextualSpacing/>
    </w:pPr>
  </w:style>
  <w:style w:type="paragraph" w:styleId="ab">
    <w:name w:val="No Spacing"/>
    <w:uiPriority w:val="1"/>
    <w:qFormat/>
    <w:rsid w:val="00864A2C"/>
    <w:pPr>
      <w:spacing w:after="0" w:line="240" w:lineRule="auto"/>
      <w:ind w:left="-142" w:firstLine="142"/>
      <w:jc w:val="both"/>
    </w:pPr>
    <w:rPr>
      <w:kern w:val="0"/>
      <w:sz w:val="18"/>
      <w:szCs w:val="1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4082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4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40821"/>
    <w:rPr>
      <w:b/>
      <w:bCs/>
    </w:rPr>
  </w:style>
  <w:style w:type="character" w:customStyle="1" w:styleId="docdata">
    <w:name w:val="docdata"/>
    <w:aliases w:val="docy,v5,1185,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9359EE"/>
  </w:style>
  <w:style w:type="paragraph" w:customStyle="1" w:styleId="cvgsua">
    <w:name w:val="cvgsua"/>
    <w:basedOn w:val="a"/>
    <w:rsid w:val="0093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gcmg">
    <w:name w:val="a_gcmg"/>
    <w:basedOn w:val="a0"/>
    <w:rsid w:val="0093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caspiangeo.com" TargetMode="External"/><Relationship Id="rId2" Type="http://schemas.openxmlformats.org/officeDocument/2006/relationships/hyperlink" Target="mailto:info@caspiangeo.com" TargetMode="External"/><Relationship Id="rId1" Type="http://schemas.openxmlformats.org/officeDocument/2006/relationships/hyperlink" Target="mailto:info@caspiange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8953-19CC-4029-A151-536075DA7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</TotalTime>
  <Pages>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Руслан Асаев</cp:lastModifiedBy>
  <cp:revision>128</cp:revision>
  <cp:lastPrinted>2026-05-19T13:35:00Z</cp:lastPrinted>
  <dcterms:created xsi:type="dcterms:W3CDTF">2023-04-04T06:20:00Z</dcterms:created>
  <dcterms:modified xsi:type="dcterms:W3CDTF">2026-09-29T11:51:00Z</dcterms:modified>
</cp:coreProperties>
</file>