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i w:val="0"/>
          <w:color w:val="1F3A5F"/>
          <w:sz w:val="32"/>
        </w:rPr>
        <w:t>СПРАВКА-ДОКЛАД</w:t>
      </w:r>
    </w:p>
    <w:p>
      <w:pPr>
        <w:jc w:val="center"/>
      </w:pPr>
      <w:r>
        <w:rPr>
          <w:b/>
          <w:i w:val="0"/>
          <w:sz w:val="26"/>
        </w:rPr>
        <w:t>о компании ТОО «Caspian Geology Center» (CGC)</w:t>
      </w:r>
    </w:p>
    <w:p>
      <w:pPr>
        <w:jc w:val="right"/>
      </w:pPr>
      <w:r>
        <w:rPr>
          <w:b w:val="0"/>
          <w:i/>
          <w:sz w:val="22"/>
        </w:rPr>
        <w:t>г. Астана, 2026 г.</w:t>
      </w:r>
    </w:p>
    <w:p>
      <w:pPr>
        <w:keepNext/>
        <w:spacing w:before="200"/>
      </w:pPr>
      <w:r>
        <w:rPr>
          <w:b/>
          <w:i w:val="0"/>
          <w:color w:val="1F3A5F"/>
          <w:sz w:val="25"/>
        </w:rPr>
        <w:t>1. Общие сведения</w:t>
      </w:r>
    </w:p>
    <w:p>
      <w:pPr>
        <w:ind w:firstLine="709"/>
        <w:jc w:val="both"/>
      </w:pPr>
      <w:r>
        <w:rPr>
          <w:b w:val="0"/>
          <w:i w:val="0"/>
        </w:rPr>
        <w:t>Товарищество с ограниченной ответственностью «Caspian Geology Center» (далее – CGC, Компания) работает на рынке инженерных изысканий Республики Казахстан с 2023 года. Компания зарегистрирована в г. Астана (БИН 230240009691) и специализируется на комплексном выполнении геофизических, геодезических, геологических, гидрологических, гидрографических и иных инженерных работ для проектирования и строительства объектов промышленной, транспортной, портовой и энергетической инфраструктуры, а также для нужд углеводородной отрасли.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val="clear" w:fill="E8EEF5"/>
          </w:tcPr>
          <w:p>
            <w:pPr>
              <w:spacing w:after="40"/>
            </w:pPr>
            <w:r>
              <w:rPr>
                <w:b/>
              </w:rPr>
              <w:t>Полное наименование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t>Товарищество с ограниченной ответственностью «Caspian Geology Center»</w:t>
            </w:r>
          </w:p>
        </w:tc>
      </w:tr>
      <w:tr>
        <w:tc>
          <w:tcPr>
            <w:tcW w:type="dxa" w:w="2948"/>
            <w:shd w:val="clear" w:fill="E8EEF5"/>
          </w:tcPr>
          <w:p>
            <w:pPr>
              <w:spacing w:after="40"/>
            </w:pPr>
            <w:r>
              <w:rPr>
                <w:b/>
              </w:rPr>
              <w:t>Сокращённое наименование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t>ТОО «Caspian Geology Center», CGC</w:t>
            </w:r>
          </w:p>
        </w:tc>
      </w:tr>
      <w:tr>
        <w:tc>
          <w:tcPr>
            <w:tcW w:type="dxa" w:w="2948"/>
            <w:shd w:val="clear" w:fill="E8EEF5"/>
          </w:tcPr>
          <w:p>
            <w:pPr>
              <w:spacing w:after="40"/>
            </w:pPr>
            <w:r>
              <w:rPr>
                <w:b/>
              </w:rPr>
              <w:t>Год основания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t>2023</w:t>
            </w:r>
          </w:p>
        </w:tc>
      </w:tr>
      <w:tr>
        <w:tc>
          <w:tcPr>
            <w:tcW w:type="dxa" w:w="2948"/>
            <w:shd w:val="clear" w:fill="E8EEF5"/>
          </w:tcPr>
          <w:p>
            <w:pPr>
              <w:spacing w:after="40"/>
            </w:pPr>
            <w:r>
              <w:rPr>
                <w:b/>
              </w:rPr>
              <w:t>БИН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t>230240009691</w:t>
            </w:r>
          </w:p>
        </w:tc>
      </w:tr>
      <w:tr>
        <w:tc>
          <w:tcPr>
            <w:tcW w:type="dxa" w:w="2948"/>
            <w:shd w:val="clear" w:fill="E8EEF5"/>
          </w:tcPr>
          <w:p>
            <w:pPr>
              <w:spacing w:after="40"/>
            </w:pPr>
            <w:r>
              <w:rPr>
                <w:b/>
              </w:rPr>
              <w:t>Юридический адрес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t>010000, Республика Казахстан, г. Астана, пр. Қабанбай Батыр, здание 17, нежилое помещение 15</w:t>
            </w:r>
          </w:p>
        </w:tc>
      </w:tr>
      <w:tr>
        <w:tc>
          <w:tcPr>
            <w:tcW w:type="dxa" w:w="2948"/>
            <w:shd w:val="clear" w:fill="E8EEF5"/>
          </w:tcPr>
          <w:p>
            <w:pPr>
              <w:spacing w:after="40"/>
            </w:pPr>
            <w:r>
              <w:rPr>
                <w:b/>
              </w:rPr>
              <w:t>Производственные базы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t>г. Актобе, промзона 565; Атырауская область, Индерский район, п. Индербор</w:t>
            </w:r>
          </w:p>
        </w:tc>
      </w:tr>
      <w:tr>
        <w:tc>
          <w:tcPr>
            <w:tcW w:type="dxa" w:w="2948"/>
            <w:shd w:val="clear" w:fill="E8EEF5"/>
          </w:tcPr>
          <w:p>
            <w:pPr>
              <w:spacing w:after="40"/>
            </w:pPr>
            <w:r>
              <w:rPr>
                <w:b/>
              </w:rPr>
              <w:t>Директор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t>Шахтаев Г. Ж.</w:t>
            </w:r>
          </w:p>
        </w:tc>
      </w:tr>
    </w:tbl>
    <w:p>
      <w:pPr>
        <w:keepNext/>
        <w:spacing w:before="200"/>
      </w:pPr>
      <w:r>
        <w:rPr>
          <w:b/>
          <w:i w:val="0"/>
          <w:color w:val="1F3A5F"/>
          <w:sz w:val="25"/>
        </w:rPr>
        <w:t>2. Направления деятельности</w:t>
      </w:r>
    </w:p>
    <w:p>
      <w:pPr>
        <w:ind w:firstLine="709"/>
        <w:jc w:val="both"/>
      </w:pPr>
      <w:r>
        <w:rPr>
          <w:b w:val="0"/>
          <w:i w:val="0"/>
        </w:rPr>
        <w:t>Компания выполняет полный цикл инженерных изысканий – от полевых работ до камеральной обработки и выпуска отчётной документации:</w:t>
      </w:r>
    </w:p>
    <w:p>
      <w:pPr>
        <w:spacing w:after="60"/>
        <w:ind w:left="709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инженерно-геологические работы –</w:t>
      </w:r>
      <w:r>
        <w:rPr>
          <w:b w:val="0"/>
          <w:i w:val="0"/>
        </w:rPr>
        <w:t xml:space="preserve"> полевые исследования грунтов, бурение и опробование, лабораторные испытания, литологическое расчленение разреза, оценка физико-механических свойств грунтов;</w:t>
      </w:r>
    </w:p>
    <w:p>
      <w:pPr>
        <w:spacing w:after="60"/>
        <w:ind w:left="709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гидрогеологические и гидрологические работы –</w:t>
      </w:r>
      <w:r>
        <w:rPr>
          <w:b w:val="0"/>
          <w:i w:val="0"/>
        </w:rPr>
        <w:t xml:space="preserve"> изучение подземных вод, определение уровней и режима, гидрогеологические исследования площадок и трасс;</w:t>
      </w:r>
    </w:p>
    <w:p>
      <w:pPr>
        <w:spacing w:after="60"/>
        <w:ind w:left="709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геофизические работы –</w:t>
      </w:r>
      <w:r>
        <w:rPr>
          <w:b w:val="0"/>
          <w:i w:val="0"/>
        </w:rPr>
        <w:t xml:space="preserve"> рекогносцировка и съёмка, сейсморазведочные работы, исследования для инженерных изысканий и для разведки и добычи углеводородов;</w:t>
      </w:r>
    </w:p>
    <w:p>
      <w:pPr>
        <w:spacing w:after="60"/>
        <w:ind w:left="709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инженерно-геодезические работы –</w:t>
      </w:r>
      <w:r>
        <w:rPr>
          <w:b w:val="0"/>
          <w:i w:val="0"/>
        </w:rPr>
        <w:t xml:space="preserve"> топографические съёмки масштабов от 1:10000 до 1:200, съёмка подземных коммуникаций и сооружений, трассирование и съёмка линейных объектов, создание планово-высотных съёмочных сетей, построение и закладка геодезических центров, вынос в натуру и привязка выработок и точек изысканий;</w:t>
      </w:r>
    </w:p>
    <w:p>
      <w:pPr>
        <w:spacing w:after="60"/>
        <w:ind w:left="709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гидрографические работы –</w:t>
      </w:r>
      <w:r>
        <w:rPr>
          <w:b w:val="0"/>
          <w:i w:val="0"/>
        </w:rPr>
        <w:t xml:space="preserve"> промеры глубин, батиметрическая съёмка акваторий, построение цифровых моделей дна для проектирования морских, речных и портовых сооружений;</w:t>
      </w:r>
    </w:p>
    <w:p>
      <w:pPr>
        <w:spacing w:after="60"/>
        <w:ind w:left="709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камеральная обработка и отчётность –</w:t>
      </w:r>
      <w:r>
        <w:rPr>
          <w:b w:val="0"/>
          <w:i w:val="0"/>
        </w:rPr>
        <w:t xml:space="preserve"> подготовка технических отчётов, ведомостей, картографических и графических материалов (карты фактического материала, геолого-литологические разрезы и колонки).</w:t>
      </w:r>
    </w:p>
    <w:p>
      <w:pPr>
        <w:keepNext/>
        <w:spacing w:before="200"/>
      </w:pPr>
      <w:r>
        <w:rPr>
          <w:b/>
          <w:i w:val="0"/>
          <w:color w:val="1F3A5F"/>
          <w:sz w:val="25"/>
        </w:rPr>
        <w:t>3. Разрешительная документация</w:t>
      </w:r>
    </w:p>
    <w:p>
      <w:pPr>
        <w:ind w:firstLine="709"/>
        <w:jc w:val="both"/>
      </w:pPr>
      <w:r>
        <w:rPr>
          <w:b w:val="0"/>
          <w:i w:val="0"/>
        </w:rPr>
        <w:t>Деятельность Компании осуществляется на основании государственных лицензий (неотчуждаемые, класс 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247"/>
            <w:shd w:val="clear" w:fill="E8EEF5"/>
          </w:tcPr>
          <w:p>
            <w:pPr>
              <w:spacing w:after="40"/>
            </w:pPr>
            <w:r>
              <w:rPr>
                <w:b/>
              </w:rPr>
              <w:t>№ лицензии</w:t>
            </w:r>
          </w:p>
        </w:tc>
        <w:tc>
          <w:tcPr>
            <w:tcW w:type="dxa" w:w="1701"/>
            <w:shd w:val="clear" w:fill="E8EEF5"/>
          </w:tcPr>
          <w:p>
            <w:pPr>
              <w:spacing w:after="40"/>
            </w:pPr>
            <w:r>
              <w:rPr>
                <w:b/>
              </w:rPr>
              <w:t>Дата выдачи</w:t>
            </w:r>
          </w:p>
        </w:tc>
        <w:tc>
          <w:tcPr>
            <w:tcW w:type="dxa" w:w="4139"/>
            <w:shd w:val="clear" w:fill="E8EEF5"/>
          </w:tcPr>
          <w:p>
            <w:pPr>
              <w:spacing w:after="40"/>
            </w:pPr>
            <w:r>
              <w:rPr>
                <w:b/>
              </w:rPr>
              <w:t>Вид деятельности</w:t>
            </w:r>
          </w:p>
        </w:tc>
        <w:tc>
          <w:tcPr>
            <w:tcW w:type="dxa" w:w="2551"/>
            <w:shd w:val="clear" w:fill="E8EEF5"/>
          </w:tcPr>
          <w:p>
            <w:pPr>
              <w:spacing w:after="40"/>
            </w:pPr>
            <w:r>
              <w:rPr>
                <w:b/>
              </w:rPr>
              <w:t>Лицензиар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21"/>
              </w:rPr>
              <w:t>23006536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1"/>
              </w:rPr>
              <w:t>13.03.2023</w:t>
              <w:br/>
              <w:t>(первичная – 02.03.2023)</w:t>
            </w:r>
          </w:p>
        </w:tc>
        <w:tc>
          <w:tcPr>
            <w:tcW w:type="dxa" w:w="4139"/>
          </w:tcPr>
          <w:p>
            <w:pPr>
              <w:spacing w:after="40"/>
            </w:pPr>
            <w:r>
              <w:rPr>
                <w:sz w:val="21"/>
              </w:rPr>
              <w:t>Изыскательская деятельность: инженерно-геологические и инженерно-гидрогеологические работы; геофизические исследования; инженерно-геодезические работы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21"/>
              </w:rPr>
              <w:t>ГУ «Управление контроля и качества городской среды г. Астаны», Акимат г. Астаны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21"/>
              </w:rPr>
              <w:t>23007605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1"/>
              </w:rPr>
              <w:t>31.03.2023</w:t>
            </w:r>
          </w:p>
        </w:tc>
        <w:tc>
          <w:tcPr>
            <w:tcW w:type="dxa" w:w="4139"/>
          </w:tcPr>
          <w:p>
            <w:pPr>
              <w:spacing w:after="40"/>
            </w:pPr>
            <w:r>
              <w:rPr>
                <w:sz w:val="21"/>
              </w:rPr>
              <w:t>Работы и услуги в сфере углеводородов: геофизические работы (прил. 001 от 31.03.2023) и сейсморазведочные работы (прил. 002 от 31.05.2023) при разведке и добыче углеводородов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21"/>
              </w:rPr>
              <w:t>Министерство энергетики Республики Казахстан</w:t>
            </w:r>
          </w:p>
        </w:tc>
      </w:tr>
    </w:tbl>
    <w:p>
      <w:pPr>
        <w:keepNext/>
        <w:spacing w:before="200"/>
      </w:pPr>
      <w:r>
        <w:rPr>
          <w:b/>
          <w:i w:val="0"/>
          <w:color w:val="1F3A5F"/>
          <w:sz w:val="25"/>
        </w:rPr>
        <w:t>4. Реализованные проекты</w:t>
      </w:r>
    </w:p>
    <w:p>
      <w:pPr>
        <w:ind w:firstLine="709"/>
        <w:jc w:val="both"/>
      </w:pPr>
      <w:r>
        <w:rPr>
          <w:b w:val="0"/>
          <w:i w:val="0"/>
        </w:rPr>
        <w:t>Среди выполненных Компанией работ – инженерные изыскания по объекту «Многофункциональный морской терминал «Саржа». Универсальный терминал. Причал №10 с прилегающей площадкой» (заказчик – ТОО «Sarzha Cargo Terminal», г. Актау), включающие инженерно-геологические исследования, составление карты фактического материала, геолого-литологических разрезов и колонок и выпуск технического отчёта в 2026 году.</w:t>
      </w:r>
    </w:p>
    <w:p>
      <w:pPr>
        <w:keepNext/>
        <w:spacing w:before="200"/>
      </w:pPr>
      <w:r>
        <w:rPr>
          <w:b/>
          <w:i w:val="0"/>
          <w:color w:val="1F3A5F"/>
          <w:sz w:val="25"/>
        </w:rPr>
        <w:t>5. Преимущества Компании</w:t>
      </w:r>
    </w:p>
    <w:p>
      <w:pPr>
        <w:spacing w:after="60"/>
        <w:ind w:left="709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комплексность:</w:t>
      </w:r>
      <w:r>
        <w:rPr>
          <w:b w:val="0"/>
          <w:i w:val="0"/>
        </w:rPr>
        <w:t xml:space="preserve"> все виды изысканий – геологические, геодезические, геофизические, гидрологические, гидрографические – выполняются одной организацией, что сокращает сроки и исключает разрыв ответственности;</w:t>
      </w:r>
    </w:p>
    <w:p>
      <w:pPr>
        <w:spacing w:after="60"/>
        <w:ind w:left="709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правовая обеспеченность:</w:t>
      </w:r>
      <w:r>
        <w:rPr>
          <w:b w:val="0"/>
          <w:i w:val="0"/>
        </w:rPr>
        <w:t xml:space="preserve"> действующие лицензии на изыскательскую деятельность и на работы в сфере углеводородов;</w:t>
      </w:r>
    </w:p>
    <w:p>
      <w:pPr>
        <w:spacing w:after="60"/>
        <w:ind w:left="709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региональное присутствие:</w:t>
      </w:r>
      <w:r>
        <w:rPr>
          <w:b w:val="0"/>
          <w:i w:val="0"/>
        </w:rPr>
        <w:t xml:space="preserve"> производственные базы в Актюбинской и Атырауской областях, работа в Каспийском регионе;</w:t>
      </w:r>
    </w:p>
    <w:p>
      <w:pPr>
        <w:spacing w:after="60"/>
        <w:ind w:left="709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качество документации:</w:t>
      </w:r>
      <w:r>
        <w:rPr>
          <w:b w:val="0"/>
          <w:i w:val="0"/>
        </w:rPr>
        <w:t xml:space="preserve"> отчётные материалы оформляются в соответствии с требованиями заказчиков и действующих нормативных документов РК.</w:t>
      </w:r>
    </w:p>
    <w:p>
      <w:pPr>
        <w:keepNext/>
        <w:spacing w:before="200"/>
      </w:pPr>
      <w:r>
        <w:rPr>
          <w:b/>
          <w:i w:val="0"/>
          <w:color w:val="1F3A5F"/>
          <w:sz w:val="25"/>
        </w:rPr>
        <w:t>6. Заключение</w:t>
      </w:r>
    </w:p>
    <w:p>
      <w:pPr>
        <w:ind w:firstLine="709"/>
        <w:jc w:val="both"/>
      </w:pPr>
      <w:r>
        <w:rPr>
          <w:b w:val="0"/>
          <w:i w:val="0"/>
        </w:rPr>
        <w:t>ТОО «Caspian Geology Center» обладает необходимыми разрешительными документами, производственной базой и профильной специализацией для выполнения инженерных изысканий любой сложности и готово к сотрудничеству с проектными, строительными и недропользующими организациями.</w:t>
      </w:r>
    </w:p>
    <w:p>
      <w:pPr>
        <w:spacing w:before="440"/>
      </w:pPr>
      <w:r>
        <w:rPr>
          <w:b/>
          <w:i w:val="0"/>
        </w:rPr>
        <w:t>Директор</w:t>
        <w:tab/>
        <w:tab/>
        <w:tab/>
        <w:tab/>
        <w:tab/>
        <w:tab/>
        <w:tab/>
        <w:t>Шахтаев Г. Ж.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1020" w:bottom="1020" w:left="124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F3A5F"/>
      </w:pBdr>
    </w:pPr>
    <w:r>
      <w:rPr>
        <w:b w:val="0"/>
        <w:i w:val="0"/>
        <w:color w:val="1F3A5F"/>
        <w:sz w:val="17"/>
      </w:rPr>
      <w:t>ТОО «Caspian Geology Center» · БИН 230240009691 · Производственные базы: г. Актобе, промзона 565; Атырауская обл., Индерский р-н, п. Индербор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2948"/>
        </w:tcPr>
        <w:p>
          <w:r>
            <w:drawing>
              <wp:inline xmlns:a="http://schemas.openxmlformats.org/drawingml/2006/main" xmlns:pic="http://schemas.openxmlformats.org/drawingml/2006/picture">
                <wp:extent cx="1512000" cy="10782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g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10782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90"/>
        </w:tcPr>
        <w:p>
          <w:pPr>
            <w:jc w:val="right"/>
          </w:pPr>
          <w:r>
            <w:rPr>
              <w:b/>
              <w:i w:val="0"/>
              <w:color w:val="1F3A5F"/>
              <w:sz w:val="24"/>
            </w:rPr>
            <w:t>Товарищество с ограниченной ответственностью</w:t>
            <w:br/>
            <w:t>«Caspian Geology Center»</w:t>
          </w:r>
        </w:p>
        <w:p>
          <w:pPr>
            <w:jc w:val="right"/>
          </w:pPr>
          <w:r>
            <w:rPr>
              <w:b w:val="0"/>
              <w:i w:val="0"/>
              <w:sz w:val="19"/>
            </w:rPr>
            <w:t>БИН 230240009691</w:t>
            <w:br/>
            <w:t>010000, Республика Казахстан, г. Астана,</w:t>
            <w:br/>
            <w:t>пр. Қабанбай Батыр, здание 17, нежилое помещение 15</w:t>
          </w:r>
        </w:p>
      </w:tc>
    </w:tr>
  </w:tbl>
  <w:p>
    <w:pPr>
      <w:pStyle w:val="Header"/>
      <w:pBdr>
        <w:bottom w:val="single" w:sz="18" w:space="4" w:color="1F3A5F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