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FEB50">
      <w:pPr>
        <w:pStyle w:val="2"/>
        <w:spacing w:before="0" w:beforeAutospacing="0" w:after="0" w:afterAutospacing="0"/>
        <w:jc w:val="center"/>
        <w:rPr>
          <w:color w:val="000000" w:themeColor="text1" w:themeTint="FF"/>
          <w:sz w:val="52"/>
          <w:szCs w:val="52"/>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52"/>
          <w:szCs w:val="52"/>
          <w14:textFill>
            <w14:solidFill>
              <w14:schemeClr w14:val="tx1">
                <w14:lumMod w14:val="100000"/>
                <w14:lumOff w14:val="0"/>
              </w14:schemeClr>
            </w14:solidFill>
          </w14:textFill>
        </w:rPr>
        <w:t>Project Report</w:t>
      </w:r>
    </w:p>
    <w:p w14:paraId="4064CC59"/>
    <w:p w14:paraId="7528DE8C"/>
    <w:p w14:paraId="669C88AB">
      <w:r>
        <w:rPr>
          <w:rFonts w:hint="default"/>
          <w:lang w:val="en-US"/>
        </w:rPr>
        <w:t xml:space="preserve">                                                                </w:t>
      </w:r>
      <w:r>
        <w:drawing>
          <wp:inline distT="0" distB="0" distL="114300" distR="114300">
            <wp:extent cx="1533525" cy="1409700"/>
            <wp:effectExtent l="0" t="0" r="3175" b="0"/>
            <wp:docPr id="169284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4999" name="drawing"/>
                    <pic:cNvPicPr>
                      <a:picLocks noChangeAspect="1"/>
                    </pic:cNvPicPr>
                  </pic:nvPicPr>
                  <pic:blipFill>
                    <a:blip r:embed="rId8"/>
                    <a:stretch>
                      <a:fillRect/>
                    </a:stretch>
                  </pic:blipFill>
                  <pic:spPr>
                    <a:xfrm>
                      <a:off x="0" y="0"/>
                      <a:ext cx="1533525" cy="1409700"/>
                    </a:xfrm>
                    <a:prstGeom prst="rect">
                      <a:avLst/>
                    </a:prstGeom>
                  </pic:spPr>
                </pic:pic>
              </a:graphicData>
            </a:graphic>
          </wp:inline>
        </w:drawing>
      </w:r>
    </w:p>
    <w:p w14:paraId="3BD79DCE">
      <w:pPr>
        <w:pStyle w:val="2"/>
        <w:spacing w:before="0" w:beforeAutospacing="0"/>
        <w:jc w:val="center"/>
        <w:rPr>
          <w:color w:val="000000" w:themeColor="text1" w:themeTint="FF"/>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An-Najah National University</w:t>
      </w:r>
    </w:p>
    <w:p w14:paraId="2AA090B1"/>
    <w:p w14:paraId="65415F8F">
      <w:pPr>
        <w:suppressLineNumbers w:val="0"/>
        <w:bidi w:val="0"/>
        <w:spacing w:before="0" w:beforeAutospacing="0" w:after="200" w:afterAutospacing="0" w:line="276" w:lineRule="auto"/>
        <w:ind w:left="0" w:right="0"/>
        <w:jc w:val="center"/>
        <w:rPr>
          <w:b/>
          <w:bCs/>
          <w:u w:val="none"/>
        </w:rPr>
      </w:pPr>
      <w:r>
        <w:rPr>
          <w:b/>
          <w:bCs/>
          <w:color w:val="4F81BD" w:themeColor="accent1" w:themeTint="FF"/>
          <w:u w:val="none"/>
          <w14:textFill>
            <w14:solidFill>
              <w14:schemeClr w14:val="accent1">
                <w14:lumMod w14:val="100000"/>
                <w14:lumOff w14:val="0"/>
              </w14:schemeClr>
            </w14:solidFill>
          </w14:textFill>
        </w:rPr>
        <w:t>(Prepared by)</w:t>
      </w:r>
      <w:r>
        <w:rPr>
          <w:b/>
          <w:bCs/>
          <w:u w:val="none"/>
        </w:rPr>
        <w:t>: Assem Ahmad , Omar Morsi , Yaser Anan</w:t>
      </w:r>
    </w:p>
    <w:p w14:paraId="7B183EDC">
      <w:pPr>
        <w:suppressLineNumbers w:val="0"/>
        <w:bidi w:val="0"/>
        <w:spacing w:before="0" w:beforeAutospacing="0" w:after="200" w:afterAutospacing="0" w:line="276" w:lineRule="auto"/>
        <w:ind w:left="0" w:right="0"/>
        <w:jc w:val="center"/>
        <w:rPr>
          <w:b/>
          <w:bCs/>
          <w:u w:val="none"/>
        </w:rPr>
      </w:pPr>
      <w:r>
        <w:rPr>
          <w:b/>
          <w:bCs/>
          <w:color w:val="4F81BD" w:themeColor="accent1" w:themeTint="FF"/>
          <w14:textFill>
            <w14:solidFill>
              <w14:schemeClr w14:val="accent1">
                <w14:lumMod w14:val="100000"/>
                <w14:lumOff w14:val="0"/>
              </w14:schemeClr>
            </w14:solidFill>
          </w14:textFill>
        </w:rPr>
        <w:t>(Instructor)</w:t>
      </w:r>
      <w:r>
        <w:rPr>
          <w:b/>
          <w:bCs/>
          <w:u w:val="none"/>
        </w:rPr>
        <w:t>: Dr. Jehad Hamamreh</w:t>
      </w:r>
    </w:p>
    <w:p w14:paraId="3FDE69E0">
      <w:pPr>
        <w:suppressLineNumbers w:val="0"/>
        <w:bidi w:val="0"/>
        <w:spacing w:before="0" w:beforeAutospacing="0" w:after="200" w:afterAutospacing="0" w:line="276" w:lineRule="auto"/>
        <w:ind w:left="0" w:right="0"/>
        <w:jc w:val="center"/>
        <w:rPr>
          <w:b w:val="0"/>
          <w:bCs w:val="0"/>
          <w:color w:val="4F81BD" w:themeColor="accent1" w:themeTint="FF"/>
          <w:u w:val="none"/>
          <w14:textFill>
            <w14:solidFill>
              <w14:schemeClr w14:val="accent1">
                <w14:lumMod w14:val="100000"/>
                <w14:lumOff w14:val="0"/>
              </w14:schemeClr>
            </w14:solidFill>
          </w14:textFill>
        </w:rPr>
      </w:pPr>
      <w:r>
        <w:rPr>
          <w:b/>
          <w:bCs/>
          <w:color w:val="4F81BD" w:themeColor="accent1" w:themeTint="FF"/>
          <w:u w:val="none"/>
          <w14:textFill>
            <w14:solidFill>
              <w14:schemeClr w14:val="accent1">
                <w14:lumMod w14:val="100000"/>
                <w14:lumOff w14:val="0"/>
              </w14:schemeClr>
            </w14:solidFill>
          </w14:textFill>
        </w:rPr>
        <w:t>(Course)</w:t>
      </w:r>
      <w:r>
        <w:rPr>
          <w:b/>
          <w:bCs/>
          <w:u w:val="none"/>
        </w:rPr>
        <w:t>: Cryptography and Network Security</w:t>
      </w:r>
    </w:p>
    <w:p w14:paraId="2FC33D16"/>
    <w:p w14:paraId="4D191B74"/>
    <w:p w14:paraId="6078C424">
      <w:pPr>
        <w:pStyle w:val="37"/>
      </w:pPr>
      <w:r>
        <w:rPr>
          <w:color w:val="000000" w:themeColor="text1" w:themeTint="FF"/>
          <w14:textFill>
            <w14:solidFill>
              <w14:schemeClr w14:val="tx1">
                <w14:lumMod w14:val="100000"/>
                <w14:lumOff w14:val="0"/>
              </w14:schemeClr>
            </w14:solidFill>
          </w14:textFill>
        </w:rPr>
        <w:t>Lightweight Post‑Quantum Cryptography for IoT Devices</w:t>
      </w:r>
      <w:bookmarkStart w:id="0" w:name="_GoBack"/>
      <w:bookmarkEnd w:id="0"/>
      <w:r>
        <w:t xml:space="preserve">              </w:t>
      </w:r>
    </w:p>
    <w:p w14:paraId="7CBFD60A">
      <w:pPr>
        <w:pStyle w:val="2"/>
        <w:rPr>
          <w:sz w:val="32"/>
          <w:szCs w:val="32"/>
        </w:rPr>
      </w:pPr>
      <w:r>
        <w:rPr>
          <w:sz w:val="32"/>
          <w:szCs w:val="32"/>
        </w:rPr>
        <w:t>Abstract</w:t>
      </w:r>
    </w:p>
    <w:p w14:paraId="230E813F">
      <w:pPr>
        <w:spacing w:before="240" w:beforeAutospacing="0" w:after="240" w:afterAutospacing="0"/>
      </w:pPr>
      <w:r>
        <w:rPr>
          <w:rFonts w:ascii="Cambria" w:hAnsi="Cambria" w:eastAsia="Cambria" w:cs="Cambria"/>
          <w:sz w:val="26"/>
          <w:szCs w:val="26"/>
          <w:lang w:val="en-US"/>
        </w:rPr>
        <w:t>This research proposes and evaluates a lightweight post-quantum cryptography scheme specifically tailored for resource-constrained IoT devices. Traditional algorithms such as RSA and ECC are vulnerable to quantum attacks via Shor’s algorithm and impose excessive computational, memory, and energy demands on IoT hardware. The proposed solution optimizes lattice-based (inspired by CRYSTALS-Kyber and CRYSTALS-Dilithium) and hash-based (inspired by SPHINCS+) PQC algorithms through parameter reduction, memory-efficient implementations, and energy-aware scheduling. A Python-based simulation combined with embedded-system benchmarks demonstrates significant reductions in memory usage (up to 70 %), computation time (up to 85 %), and energy consumption (up to 80 %) while maintaining NIST Level III quantum security. The scheme enables secure key encapsulation, digital signatures, and authenticated encryption suitable for battery-powered sensors and edge devices.</w:t>
      </w:r>
    </w:p>
    <w:p w14:paraId="1A7EE23C"/>
    <w:p w14:paraId="32A36C38">
      <w:pPr>
        <w:pStyle w:val="2"/>
        <w:rPr>
          <w:sz w:val="36"/>
          <w:szCs w:val="36"/>
        </w:rPr>
      </w:pPr>
      <w:r>
        <w:rPr>
          <w:sz w:val="36"/>
          <w:szCs w:val="36"/>
        </w:rPr>
        <w:t>1. Introduction</w:t>
      </w:r>
    </w:p>
    <w:p w14:paraId="527B16D0">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The rapid proliferation of IoT devices — projected to exceed 75 billion by 2025 — demands robust security for data confidentiality, integrity, and authentication. However, the advent of large-scale quantum computers threatens the foundations of classical public-key cryptography. Post-quantum cryptography (PQC) has emerged as the solution, with NIST standardization efforts highlighting lattice-based and hash-based algorithms as frontrunners for practical deployment.</w:t>
      </w:r>
    </w:p>
    <w:p w14:paraId="1B3517BB">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This project addresses the gap between theoretical PQC strength and the practical limitations of IoT hardware (typically &lt;256 KB RAM, low-power microcontrollers such as ARM Cortex-M or ESP32).</w:t>
      </w:r>
    </w:p>
    <w:p w14:paraId="379B3482"/>
    <w:p w14:paraId="56A6476E">
      <w:pPr>
        <w:pStyle w:val="2"/>
        <w:rPr>
          <w:sz w:val="36"/>
          <w:szCs w:val="36"/>
        </w:rPr>
      </w:pPr>
      <w:r>
        <w:rPr>
          <w:sz w:val="36"/>
          <w:szCs w:val="36"/>
        </w:rPr>
        <w:t>2. Problem Statement</w:t>
      </w:r>
    </w:p>
    <w:p w14:paraId="3047978C">
      <w:pPr>
        <w:spacing w:before="0" w:beforeAutospacing="1" w:after="0" w:afterAutospacing="0"/>
        <w:rPr>
          <w:rFonts w:ascii="Cambria" w:hAnsi="Cambria" w:eastAsia="Cambria" w:cs="Cambria"/>
          <w:sz w:val="26"/>
          <w:szCs w:val="26"/>
          <w:lang w:val="en-US"/>
        </w:rPr>
      </w:pPr>
      <w:r>
        <w:rPr>
          <w:sz w:val="26"/>
          <w:szCs w:val="26"/>
        </w:rPr>
        <w:t xml:space="preserve">1. </w:t>
      </w:r>
      <w:r>
        <w:rPr>
          <w:rFonts w:ascii="Cambria" w:hAnsi="Cambria" w:eastAsia="Cambria" w:cs="Cambria"/>
          <w:b/>
          <w:bCs/>
          <w:sz w:val="26"/>
          <w:szCs w:val="26"/>
          <w:lang w:val="en-US"/>
        </w:rPr>
        <w:t>Quantum Vulnerability</w:t>
      </w:r>
      <w:r>
        <w:rPr>
          <w:rFonts w:ascii="Cambria" w:hAnsi="Cambria" w:eastAsia="Cambria" w:cs="Cambria"/>
          <w:sz w:val="26"/>
          <w:szCs w:val="26"/>
          <w:lang w:val="en-US"/>
        </w:rPr>
        <w:t>: RSA and ECC can be broken in polynomial time by Shor’s algorithm on a sufficiently powerful quantum computer.</w:t>
      </w:r>
    </w:p>
    <w:p w14:paraId="7C8DAB20">
      <w:pPr>
        <w:spacing w:before="0" w:beforeAutospacing="1" w:after="0" w:afterAutospacing="0"/>
        <w:rPr>
          <w:rFonts w:ascii="Cambria" w:hAnsi="Cambria" w:eastAsia="Cambria" w:cs="Cambria"/>
          <w:sz w:val="26"/>
          <w:szCs w:val="26"/>
          <w:lang w:val="en-US"/>
        </w:rPr>
      </w:pPr>
      <w:r>
        <w:rPr>
          <w:sz w:val="26"/>
          <w:szCs w:val="26"/>
        </w:rPr>
        <w:t xml:space="preserve">2. </w:t>
      </w:r>
      <w:r>
        <w:rPr>
          <w:rFonts w:ascii="Cambria" w:hAnsi="Cambria" w:eastAsia="Cambria" w:cs="Cambria"/>
          <w:b/>
          <w:bCs/>
          <w:sz w:val="26"/>
          <w:szCs w:val="26"/>
          <w:lang w:val="en-US"/>
        </w:rPr>
        <w:t>Resource Constraints</w:t>
      </w:r>
      <w:r>
        <w:rPr>
          <w:rFonts w:ascii="Cambria" w:hAnsi="Cambria" w:eastAsia="Cambria" w:cs="Cambria"/>
          <w:sz w:val="26"/>
          <w:szCs w:val="26"/>
          <w:lang w:val="en-US"/>
        </w:rPr>
        <w:t>: IoT devices suffer from limited memory, slow processors, and strict energy budgets. Standard PQC implementations often exceed these limits by 2–5× in key sizes and execution time.</w:t>
      </w:r>
    </w:p>
    <w:p w14:paraId="63A07F10">
      <w:pPr>
        <w:spacing w:before="0" w:beforeAutospacing="1" w:after="0" w:afterAutospacing="0"/>
        <w:rPr>
          <w:rFonts w:ascii="Cambria" w:hAnsi="Cambria" w:eastAsia="Cambria" w:cs="Cambria"/>
          <w:sz w:val="26"/>
          <w:szCs w:val="26"/>
          <w:lang w:val="en-US"/>
        </w:rPr>
      </w:pPr>
      <w:r>
        <w:rPr>
          <w:sz w:val="26"/>
          <w:szCs w:val="26"/>
        </w:rPr>
        <w:t xml:space="preserve">3. </w:t>
      </w:r>
      <w:r>
        <w:rPr>
          <w:rFonts w:ascii="Cambria" w:hAnsi="Cambria" w:eastAsia="Cambria" w:cs="Cambria"/>
          <w:b/>
          <w:bCs/>
          <w:sz w:val="26"/>
          <w:szCs w:val="26"/>
          <w:lang w:val="en-US"/>
        </w:rPr>
        <w:t>Performance Overhead</w:t>
      </w:r>
      <w:r>
        <w:rPr>
          <w:rFonts w:ascii="Cambria" w:hAnsi="Cambria" w:eastAsia="Cambria" w:cs="Cambria"/>
          <w:sz w:val="26"/>
          <w:szCs w:val="26"/>
          <w:lang w:val="en-US"/>
        </w:rPr>
        <w:t>: High memory footprint, long computation times, and elevated energy use lead to reduced device lifetime and scalability issues in large IoT networks.</w:t>
      </w:r>
    </w:p>
    <w:p w14:paraId="3FBBC89B">
      <w:pPr>
        <w:spacing w:before="0" w:beforeAutospacing="1" w:after="0" w:afterAutospacing="0"/>
        <w:rPr>
          <w:sz w:val="26"/>
          <w:szCs w:val="26"/>
        </w:rPr>
      </w:pPr>
    </w:p>
    <w:p w14:paraId="586E6273">
      <w:pPr>
        <w:pStyle w:val="2"/>
        <w:spacing w:before="240" w:beforeAutospacing="0" w:after="240" w:afterAutospacing="0"/>
        <w:rPr>
          <w:sz w:val="36"/>
          <w:szCs w:val="36"/>
          <w:lang w:val="en-US"/>
        </w:rPr>
      </w:pPr>
      <w:r>
        <w:rPr>
          <w:sz w:val="36"/>
          <w:szCs w:val="36"/>
        </w:rPr>
        <w:t xml:space="preserve">3. </w:t>
      </w:r>
      <w:r>
        <w:rPr>
          <w:sz w:val="36"/>
          <w:szCs w:val="36"/>
          <w:lang w:val="en-US"/>
        </w:rPr>
        <w:t>Literature Review</w:t>
      </w:r>
    </w:p>
    <w:p w14:paraId="40E79529">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Existing PQC candidates (Kyber, Dilithium, SPHINCS+) provide strong security but are not optimized for ultra-constrained environments. Prior lightweight variants focus on hardware acceleration or parameter tuning, yet few combine both lattice- and hash-based primitives with full simulation-to-embedded benchmarking. This project builds on these foundations by introducing novel cross-family optimizations.</w:t>
      </w:r>
    </w:p>
    <w:p w14:paraId="3FD1F309">
      <w:pPr>
        <w:spacing w:before="240" w:beforeAutospacing="0" w:after="240" w:afterAutospacing="0"/>
        <w:rPr>
          <w:rFonts w:ascii="Cambria" w:hAnsi="Cambria" w:eastAsia="Cambria" w:cs="Cambria"/>
          <w:sz w:val="22"/>
          <w:szCs w:val="22"/>
          <w:lang w:val="en-US"/>
        </w:rPr>
      </w:pPr>
    </w:p>
    <w:p w14:paraId="6B9A6973">
      <w:pPr>
        <w:spacing w:before="240" w:beforeAutospacing="0" w:after="240" w:afterAutospacing="0"/>
        <w:rPr>
          <w:rFonts w:ascii="Cambria" w:hAnsi="Cambria" w:eastAsia="Cambria" w:cs="Cambria"/>
          <w:sz w:val="22"/>
          <w:szCs w:val="22"/>
          <w:lang w:val="en-US"/>
        </w:rPr>
      </w:pPr>
      <w:r>
        <w:drawing>
          <wp:inline distT="0" distB="0" distL="114300" distR="114300">
            <wp:extent cx="5486400" cy="3476625"/>
            <wp:effectExtent l="0" t="0" r="0" b="0"/>
            <wp:docPr id="74506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9975" name="drawing"/>
                    <pic:cNvPicPr>
                      <a:picLocks noChangeAspect="1"/>
                    </pic:cNvPicPr>
                  </pic:nvPicPr>
                  <pic:blipFill>
                    <a:blip r:embed="rId9"/>
                    <a:stretch>
                      <a:fillRect/>
                    </a:stretch>
                  </pic:blipFill>
                  <pic:spPr>
                    <a:xfrm>
                      <a:off x="0" y="0"/>
                      <a:ext cx="5486400" cy="3476625"/>
                    </a:xfrm>
                    <a:prstGeom prst="rect">
                      <a:avLst/>
                    </a:prstGeom>
                  </pic:spPr>
                </pic:pic>
              </a:graphicData>
            </a:graphic>
          </wp:inline>
        </w:drawing>
      </w:r>
      <w:r>
        <w:rPr>
          <w:rFonts w:ascii="Cambria" w:hAnsi="Cambria" w:eastAsia="Cambria" w:cs="Cambria"/>
          <w:sz w:val="22"/>
          <w:szCs w:val="22"/>
          <w:lang w:val="en-US"/>
        </w:rPr>
        <w:t xml:space="preserve">                                  Figure 1: Quantum Threat to Traditional Cryptography</w:t>
      </w:r>
    </w:p>
    <w:p w14:paraId="45CDFA66">
      <w:pPr>
        <w:spacing w:before="240" w:beforeAutospacing="0" w:after="240" w:afterAutospacing="0"/>
        <w:rPr>
          <w:rFonts w:ascii="Cambria" w:hAnsi="Cambria" w:eastAsia="Cambria" w:cs="Cambria"/>
          <w:sz w:val="22"/>
          <w:szCs w:val="22"/>
          <w:lang w:val="en-US"/>
        </w:rPr>
      </w:pPr>
    </w:p>
    <w:p w14:paraId="28C1092F">
      <w:pPr>
        <w:pStyle w:val="2"/>
        <w:spacing w:before="240" w:beforeAutospacing="0" w:after="240" w:afterAutospacing="0"/>
        <w:rPr>
          <w:sz w:val="36"/>
          <w:szCs w:val="36"/>
          <w:lang w:val="en-US"/>
        </w:rPr>
      </w:pPr>
      <w:r>
        <w:rPr>
          <w:sz w:val="36"/>
          <w:szCs w:val="36"/>
        </w:rPr>
        <w:t xml:space="preserve">4. </w:t>
      </w:r>
      <w:r>
        <w:rPr>
          <w:sz w:val="36"/>
          <w:szCs w:val="36"/>
          <w:lang w:val="en-US"/>
        </w:rPr>
        <w:t>Proposed Solution</w:t>
      </w:r>
    </w:p>
    <w:p w14:paraId="28484720">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The core innovation is a hybrid lightweight PQC scheme:</w:t>
      </w:r>
    </w:p>
    <w:p w14:paraId="28BDC12D">
      <w:pPr>
        <w:pStyle w:val="144"/>
        <w:numPr>
          <w:ilvl w:val="0"/>
          <w:numId w:val="7"/>
        </w:numPr>
        <w:spacing w:before="240" w:beforeAutospacing="0" w:after="240" w:afterAutospacing="0"/>
        <w:rPr>
          <w:sz w:val="26"/>
          <w:szCs w:val="26"/>
          <w:lang w:val="en-US"/>
        </w:rPr>
      </w:pPr>
      <w:r>
        <w:rPr>
          <w:b/>
          <w:bCs/>
          <w:sz w:val="26"/>
          <w:szCs w:val="26"/>
          <w:lang w:val="en-US"/>
        </w:rPr>
        <w:t>Lattice-based Key Encapsulation</w:t>
      </w:r>
      <w:r>
        <w:rPr>
          <w:sz w:val="26"/>
          <w:szCs w:val="26"/>
          <w:lang w:val="en-US"/>
        </w:rPr>
        <w:t>: Optimized Kyber-like module-LWE with reduced polynomial dimension and compressed public keys.</w:t>
      </w:r>
    </w:p>
    <w:p w14:paraId="3927C1AD">
      <w:pPr>
        <w:pStyle w:val="144"/>
        <w:numPr>
          <w:ilvl w:val="0"/>
          <w:numId w:val="7"/>
        </w:numPr>
        <w:spacing w:before="240" w:beforeAutospacing="0" w:after="240" w:afterAutospacing="0"/>
        <w:rPr>
          <w:sz w:val="26"/>
          <w:szCs w:val="26"/>
          <w:lang w:val="en-US"/>
        </w:rPr>
      </w:pPr>
      <w:r>
        <w:rPr>
          <w:b/>
          <w:bCs/>
          <w:sz w:val="26"/>
          <w:szCs w:val="26"/>
          <w:lang w:val="en-US"/>
        </w:rPr>
        <w:t>Hash-based Signatures</w:t>
      </w:r>
      <w:r>
        <w:rPr>
          <w:sz w:val="26"/>
          <w:szCs w:val="26"/>
          <w:lang w:val="en-US"/>
        </w:rPr>
        <w:t>: Optimized SPHINCS+-style with compressed Merkle trees and fewer hash iterations.</w:t>
      </w:r>
    </w:p>
    <w:p w14:paraId="1E108A05">
      <w:pPr>
        <w:pStyle w:val="144"/>
        <w:numPr>
          <w:ilvl w:val="0"/>
          <w:numId w:val="7"/>
        </w:numPr>
        <w:spacing w:before="240" w:beforeAutospacing="0" w:after="240" w:afterAutospacing="0"/>
        <w:rPr>
          <w:sz w:val="26"/>
          <w:szCs w:val="26"/>
          <w:lang w:val="en-US"/>
        </w:rPr>
      </w:pPr>
      <w:r>
        <w:rPr>
          <w:b/>
          <w:bCs/>
          <w:sz w:val="26"/>
          <w:szCs w:val="26"/>
          <w:lang w:val="en-US"/>
        </w:rPr>
        <w:t>Key Optimizations</w:t>
      </w:r>
      <w:r>
        <w:rPr>
          <w:sz w:val="26"/>
          <w:szCs w:val="26"/>
          <w:lang w:val="en-US"/>
        </w:rPr>
        <w:t>: Parameter tuning for 128–256-bit classical/quantum security, efficient Gaussian sampling, side-channel resistance, and dynamic energy-aware mode switching.</w:t>
      </w:r>
    </w:p>
    <w:p w14:paraId="75666EB3">
      <w:pPr>
        <w:pStyle w:val="144"/>
        <w:spacing w:before="240" w:beforeAutospacing="0" w:after="240" w:afterAutospacing="0"/>
        <w:ind w:left="720"/>
        <w:rPr>
          <w:lang w:val="en-US"/>
        </w:rPr>
      </w:pPr>
      <w:r>
        <w:rPr>
          <w:lang w:val="en-US"/>
        </w:rPr>
        <w:t xml:space="preserve">            </w:t>
      </w:r>
      <w:r>
        <w:drawing>
          <wp:inline distT="0" distB="0" distL="114300" distR="114300">
            <wp:extent cx="3686175" cy="5276850"/>
            <wp:effectExtent l="0" t="0" r="0" b="0"/>
            <wp:docPr id="291737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7905" name="drawing"/>
                    <pic:cNvPicPr>
                      <a:picLocks noChangeAspect="1"/>
                    </pic:cNvPicPr>
                  </pic:nvPicPr>
                  <pic:blipFill>
                    <a:blip r:embed="rId10"/>
                    <a:stretch>
                      <a:fillRect/>
                    </a:stretch>
                  </pic:blipFill>
                  <pic:spPr>
                    <a:xfrm>
                      <a:off x="0" y="0"/>
                      <a:ext cx="3686175" cy="5276850"/>
                    </a:xfrm>
                    <a:prstGeom prst="rect">
                      <a:avLst/>
                    </a:prstGeom>
                  </pic:spPr>
                </pic:pic>
              </a:graphicData>
            </a:graphic>
          </wp:inline>
        </w:drawing>
      </w:r>
    </w:p>
    <w:p w14:paraId="7E294262">
      <w:pPr>
        <w:pStyle w:val="144"/>
        <w:spacing w:before="240" w:beforeAutospacing="0" w:after="240" w:afterAutospacing="0"/>
        <w:rPr>
          <w:rFonts w:ascii="Cambria" w:hAnsi="Cambria" w:eastAsia="Cambria" w:cs="Cambria"/>
          <w:sz w:val="22"/>
          <w:szCs w:val="22"/>
          <w:lang w:val="en-US"/>
        </w:rPr>
      </w:pPr>
      <w:r>
        <w:rPr>
          <w:rFonts w:ascii="Cambria" w:hAnsi="Cambria" w:eastAsia="Cambria" w:cs="Cambria"/>
          <w:sz w:val="22"/>
          <w:szCs w:val="22"/>
          <w:lang w:val="en-US"/>
        </w:rPr>
        <w:t xml:space="preserve">                      </w:t>
      </w:r>
      <w:r>
        <w:rPr>
          <w:lang w:val="en-US"/>
        </w:rPr>
        <w:t>Figure 2: Proposed Lightweight PQC Architecture</w:t>
      </w:r>
    </w:p>
    <w:p w14:paraId="0E07EDC7">
      <w:pPr>
        <w:pStyle w:val="144"/>
        <w:spacing w:before="240" w:beforeAutospacing="0" w:after="240" w:afterAutospacing="0"/>
        <w:ind w:left="720"/>
        <w:rPr>
          <w:rFonts w:ascii="Cambria" w:hAnsi="Cambria" w:eastAsia="Cambria" w:cs="Cambria"/>
          <w:sz w:val="22"/>
          <w:szCs w:val="22"/>
          <w:lang w:val="en-US"/>
        </w:rPr>
      </w:pPr>
    </w:p>
    <w:p w14:paraId="40D170B5">
      <w:pPr>
        <w:pStyle w:val="2"/>
        <w:spacing w:before="240" w:beforeAutospacing="0" w:after="240" w:afterAutospacing="0"/>
        <w:rPr>
          <w:sz w:val="36"/>
          <w:szCs w:val="36"/>
          <w:lang w:val="en-US"/>
        </w:rPr>
      </w:pPr>
      <w:r>
        <w:rPr>
          <w:sz w:val="36"/>
          <w:szCs w:val="36"/>
        </w:rPr>
        <w:t xml:space="preserve">5. </w:t>
      </w:r>
      <w:r>
        <w:rPr>
          <w:sz w:val="36"/>
          <w:szCs w:val="36"/>
          <w:lang w:val="en-US"/>
        </w:rPr>
        <w:t>Methods</w:t>
      </w:r>
    </w:p>
    <w:p w14:paraId="2DBF7FFE">
      <w:pPr>
        <w:pStyle w:val="144"/>
        <w:numPr>
          <w:ilvl w:val="0"/>
          <w:numId w:val="8"/>
        </w:numPr>
        <w:rPr>
          <w:sz w:val="26"/>
          <w:szCs w:val="26"/>
          <w:lang w:val="en-US"/>
        </w:rPr>
      </w:pPr>
      <w:r>
        <w:rPr>
          <w:b/>
          <w:bCs/>
          <w:sz w:val="26"/>
          <w:szCs w:val="26"/>
          <w:lang w:val="en-US"/>
        </w:rPr>
        <w:t>Algorithm Design</w:t>
      </w:r>
      <w:r>
        <w:rPr>
          <w:sz w:val="26"/>
          <w:szCs w:val="26"/>
          <w:lang w:val="en-US"/>
        </w:rPr>
        <w:t>: Custom Python implementation using NumPy for lattice operations and hashlib for hash primitives.</w:t>
      </w:r>
    </w:p>
    <w:p w14:paraId="55F466DD">
      <w:pPr>
        <w:pStyle w:val="144"/>
        <w:numPr>
          <w:ilvl w:val="0"/>
          <w:numId w:val="8"/>
        </w:numPr>
        <w:rPr>
          <w:sz w:val="26"/>
          <w:szCs w:val="26"/>
          <w:lang w:val="en-US"/>
        </w:rPr>
      </w:pPr>
      <w:r>
        <w:rPr>
          <w:b/>
          <w:bCs/>
          <w:sz w:val="26"/>
          <w:szCs w:val="26"/>
          <w:lang w:val="en-US"/>
        </w:rPr>
        <w:t>Optimization Techniques</w:t>
      </w:r>
      <w:r>
        <w:rPr>
          <w:sz w:val="26"/>
          <w:szCs w:val="26"/>
          <w:lang w:val="en-US"/>
        </w:rPr>
        <w:t>: Dimensionality reduction, pre-computed tables, loop unrolling, and low-memory data structures.</w:t>
      </w:r>
    </w:p>
    <w:p w14:paraId="0F4F7555">
      <w:pPr>
        <w:pStyle w:val="144"/>
        <w:numPr>
          <w:ilvl w:val="0"/>
          <w:numId w:val="8"/>
        </w:numPr>
        <w:rPr>
          <w:sz w:val="26"/>
          <w:szCs w:val="26"/>
          <w:lang w:val="en-US"/>
        </w:rPr>
      </w:pPr>
      <w:r>
        <w:rPr>
          <w:b/>
          <w:bCs/>
          <w:sz w:val="26"/>
          <w:szCs w:val="26"/>
          <w:lang w:val="en-US"/>
        </w:rPr>
        <w:t>Simulation</w:t>
      </w:r>
      <w:r>
        <w:rPr>
          <w:sz w:val="26"/>
          <w:szCs w:val="26"/>
          <w:lang w:val="en-US"/>
        </w:rPr>
        <w:t>: Full Python prototype running on standard hardware to validate correctness and baseline performance.</w:t>
      </w:r>
    </w:p>
    <w:p w14:paraId="4780DC01">
      <w:pPr>
        <w:pStyle w:val="144"/>
        <w:numPr>
          <w:ilvl w:val="0"/>
          <w:numId w:val="8"/>
        </w:numPr>
        <w:rPr>
          <w:sz w:val="26"/>
          <w:szCs w:val="26"/>
          <w:lang w:val="en-US"/>
        </w:rPr>
      </w:pPr>
      <w:r>
        <w:rPr>
          <w:b/>
          <w:bCs/>
          <w:sz w:val="26"/>
          <w:szCs w:val="26"/>
          <w:lang w:val="en-US"/>
        </w:rPr>
        <w:t>Embedded Benchmarks</w:t>
      </w:r>
      <w:r>
        <w:rPr>
          <w:sz w:val="26"/>
          <w:szCs w:val="26"/>
          <w:lang w:val="en-US"/>
        </w:rPr>
        <w:t>: Simulated on STM32 and ESP32 platforms using cycle-accurate emulators and power models (energy measured via current integration).</w:t>
      </w:r>
    </w:p>
    <w:p w14:paraId="676085DE">
      <w:pPr>
        <w:pStyle w:val="144"/>
        <w:numPr>
          <w:ilvl w:val="0"/>
          <w:numId w:val="8"/>
        </w:numPr>
        <w:rPr>
          <w:sz w:val="26"/>
          <w:szCs w:val="26"/>
          <w:lang w:val="en-US"/>
        </w:rPr>
      </w:pPr>
      <w:r>
        <w:rPr>
          <w:b/>
          <w:bCs/>
          <w:sz w:val="26"/>
          <w:szCs w:val="26"/>
          <w:lang w:val="en-US"/>
        </w:rPr>
        <w:t>Security Analysis</w:t>
      </w:r>
      <w:r>
        <w:rPr>
          <w:sz w:val="26"/>
          <w:szCs w:val="26"/>
          <w:lang w:val="en-US"/>
        </w:rPr>
        <w:t>: Resistance to lattice reduction attacks (BKZ), side-channel attacks, and quantum Grover’s algorithm for hash-based components.</w:t>
      </w:r>
    </w:p>
    <w:p w14:paraId="7A15AF85">
      <w:pPr>
        <w:pStyle w:val="144"/>
        <w:numPr>
          <w:ilvl w:val="0"/>
          <w:numId w:val="8"/>
        </w:numPr>
        <w:rPr>
          <w:sz w:val="26"/>
          <w:szCs w:val="26"/>
          <w:lang w:val="en-US"/>
        </w:rPr>
      </w:pPr>
      <w:r>
        <w:rPr>
          <w:b/>
          <w:bCs/>
          <w:sz w:val="26"/>
          <w:szCs w:val="26"/>
          <w:lang w:val="en-US"/>
        </w:rPr>
        <w:t>Metrics</w:t>
      </w:r>
      <w:r>
        <w:rPr>
          <w:sz w:val="26"/>
          <w:szCs w:val="26"/>
          <w:lang w:val="en-US"/>
        </w:rPr>
        <w:t>: Memory footprint (KB), execution time (ms), energy (mJ), and security level (NIST categories).</w:t>
      </w:r>
    </w:p>
    <w:p w14:paraId="5E0A1794">
      <w:pPr>
        <w:pStyle w:val="144"/>
        <w:ind w:left="720"/>
        <w:rPr>
          <w:lang w:val="en-US"/>
        </w:rPr>
      </w:pPr>
      <w:r>
        <w:drawing>
          <wp:inline distT="0" distB="0" distL="114300" distR="114300">
            <wp:extent cx="4610100" cy="3686175"/>
            <wp:effectExtent l="0" t="0" r="0" b="0"/>
            <wp:docPr id="153805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59112" name="drawing"/>
                    <pic:cNvPicPr>
                      <a:picLocks noChangeAspect="1"/>
                    </pic:cNvPicPr>
                  </pic:nvPicPr>
                  <pic:blipFill>
                    <a:blip r:embed="rId11"/>
                    <a:stretch>
                      <a:fillRect/>
                    </a:stretch>
                  </pic:blipFill>
                  <pic:spPr>
                    <a:xfrm>
                      <a:off x="0" y="0"/>
                      <a:ext cx="4610100" cy="3686175"/>
                    </a:xfrm>
                    <a:prstGeom prst="rect">
                      <a:avLst/>
                    </a:prstGeom>
                  </pic:spPr>
                </pic:pic>
              </a:graphicData>
            </a:graphic>
          </wp:inline>
        </w:drawing>
      </w:r>
    </w:p>
    <w:p w14:paraId="779CFE56">
      <w:pPr>
        <w:pStyle w:val="144"/>
        <w:spacing w:before="240" w:beforeAutospacing="0" w:after="240" w:afterAutospacing="0"/>
        <w:rPr>
          <w:lang w:val="en-US"/>
        </w:rPr>
      </w:pPr>
      <w:r>
        <w:rPr>
          <w:lang w:val="en-US"/>
        </w:rPr>
        <w:t xml:space="preserve">                                    Figure 3: Key Optimization Techniques</w:t>
      </w:r>
    </w:p>
    <w:p w14:paraId="74E36100">
      <w:pPr>
        <w:pStyle w:val="144"/>
        <w:ind w:left="720"/>
        <w:rPr>
          <w:lang w:val="en-US"/>
        </w:rPr>
      </w:pPr>
    </w:p>
    <w:p w14:paraId="0D13FCCC">
      <w:pPr>
        <w:pStyle w:val="144"/>
        <w:spacing w:after="200" w:afterAutospacing="0"/>
        <w:ind w:left="720"/>
        <w:rPr>
          <w:lang w:val="en-US"/>
        </w:rPr>
      </w:pPr>
    </w:p>
    <w:p w14:paraId="7B19F646">
      <w:pPr>
        <w:pStyle w:val="144"/>
        <w:spacing w:after="200" w:afterAutospacing="0"/>
        <w:ind w:left="720"/>
        <w:rPr>
          <w:lang w:val="en-US"/>
        </w:rPr>
      </w:pPr>
    </w:p>
    <w:p w14:paraId="7F2CB2F8">
      <w:pPr>
        <w:pStyle w:val="144"/>
        <w:spacing w:after="200" w:afterAutospacing="0"/>
        <w:ind w:left="720"/>
        <w:rPr>
          <w:lang w:val="en-US"/>
        </w:rPr>
      </w:pPr>
    </w:p>
    <w:p w14:paraId="2A455016">
      <w:pPr>
        <w:pStyle w:val="144"/>
        <w:spacing w:after="200" w:afterAutospacing="0"/>
        <w:ind w:left="720"/>
        <w:rPr>
          <w:lang w:val="en-US"/>
        </w:rPr>
      </w:pPr>
    </w:p>
    <w:p w14:paraId="57B64413">
      <w:pPr>
        <w:pStyle w:val="2"/>
        <w:spacing w:before="240" w:beforeAutospacing="0" w:after="240" w:afterAutospacing="0"/>
        <w:rPr>
          <w:sz w:val="36"/>
          <w:szCs w:val="36"/>
          <w:lang w:val="en-US"/>
        </w:rPr>
      </w:pPr>
      <w:r>
        <w:rPr>
          <w:sz w:val="36"/>
          <w:szCs w:val="36"/>
        </w:rPr>
        <w:t xml:space="preserve">6. </w:t>
      </w:r>
      <w:r>
        <w:rPr>
          <w:sz w:val="36"/>
          <w:szCs w:val="36"/>
          <w:lang w:val="en-US"/>
        </w:rPr>
        <w:t xml:space="preserve">Results and Discussion </w:t>
      </w:r>
    </w:p>
    <w:p w14:paraId="5C7622AC">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The proposed scheme outperforms standard PQC implementations across all metrics while preserving full quantum security.</w:t>
      </w:r>
    </w:p>
    <w:p w14:paraId="0F71BD38">
      <w:pPr>
        <w:spacing w:before="240" w:beforeAutospacing="0" w:after="240" w:afterAutospacing="0"/>
        <w:rPr>
          <w:lang w:val="en-US"/>
        </w:rPr>
      </w:pPr>
      <w:r>
        <w:drawing>
          <wp:inline distT="0" distB="0" distL="114300" distR="114300">
            <wp:extent cx="5486400" cy="3181350"/>
            <wp:effectExtent l="0" t="0" r="0" b="0"/>
            <wp:docPr id="189275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5415" name="drawing"/>
                    <pic:cNvPicPr>
                      <a:picLocks noChangeAspect="1"/>
                    </pic:cNvPicPr>
                  </pic:nvPicPr>
                  <pic:blipFill>
                    <a:blip r:embed="rId12"/>
                    <a:stretch>
                      <a:fillRect/>
                    </a:stretch>
                  </pic:blipFill>
                  <pic:spPr>
                    <a:xfrm>
                      <a:off x="0" y="0"/>
                      <a:ext cx="5486400" cy="3181350"/>
                    </a:xfrm>
                    <a:prstGeom prst="rect">
                      <a:avLst/>
                    </a:prstGeom>
                  </pic:spPr>
                </pic:pic>
              </a:graphicData>
            </a:graphic>
          </wp:inline>
        </w:drawing>
      </w:r>
      <w:r>
        <w:rPr>
          <w:lang w:val="en-US"/>
        </w:rPr>
        <w:t xml:space="preserve">                                                 </w:t>
      </w:r>
      <w:r>
        <w:rPr>
          <w:rFonts w:ascii="Cambria" w:hAnsi="Cambria" w:eastAsia="Cambria" w:cs="Cambria"/>
          <w:sz w:val="22"/>
          <w:szCs w:val="22"/>
          <w:lang w:val="en-US"/>
        </w:rPr>
        <w:t>Figure 4: Memory Usage Comparison</w:t>
      </w:r>
    </w:p>
    <w:p w14:paraId="3B0A900E">
      <w:pPr>
        <w:spacing w:after="0" w:afterAutospacing="0"/>
      </w:pPr>
      <w:r>
        <w:drawing>
          <wp:inline distT="0" distB="0" distL="114300" distR="114300">
            <wp:extent cx="5446395" cy="3157855"/>
            <wp:effectExtent l="0" t="0" r="0" b="0"/>
            <wp:docPr id="136638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1075" name="drawing"/>
                    <pic:cNvPicPr>
                      <a:picLocks noChangeAspect="1"/>
                    </pic:cNvPicPr>
                  </pic:nvPicPr>
                  <pic:blipFill>
                    <a:blip r:embed="rId13"/>
                    <a:stretch>
                      <a:fillRect/>
                    </a:stretch>
                  </pic:blipFill>
                  <pic:spPr>
                    <a:xfrm>
                      <a:off x="0" y="0"/>
                      <a:ext cx="5446410" cy="3158161"/>
                    </a:xfrm>
                    <a:prstGeom prst="rect">
                      <a:avLst/>
                    </a:prstGeom>
                  </pic:spPr>
                </pic:pic>
              </a:graphicData>
            </a:graphic>
          </wp:inline>
        </w:drawing>
      </w:r>
    </w:p>
    <w:p w14:paraId="10EED4B3">
      <w:pPr>
        <w:spacing w:before="240" w:beforeAutospacing="0" w:after="240" w:afterAutospacing="0"/>
      </w:pPr>
      <w:r>
        <w:t xml:space="preserve">                                                 </w:t>
      </w:r>
      <w:r>
        <w:rPr>
          <w:rFonts w:ascii="Cambria" w:hAnsi="Cambria" w:eastAsia="Cambria" w:cs="Cambria"/>
          <w:sz w:val="22"/>
          <w:szCs w:val="22"/>
          <w:lang w:val="en-US"/>
        </w:rPr>
        <w:t>Figure 5: Computation Time Comparison</w:t>
      </w:r>
    </w:p>
    <w:p w14:paraId="6AF43EBD">
      <w:pPr>
        <w:spacing w:before="240" w:beforeAutospacing="0" w:after="240" w:afterAutospacing="0"/>
        <w:rPr>
          <w:rFonts w:ascii="Cambria" w:hAnsi="Cambria" w:eastAsia="Cambria" w:cs="Cambria"/>
          <w:sz w:val="22"/>
          <w:szCs w:val="22"/>
          <w:lang w:val="en-US"/>
        </w:rPr>
      </w:pPr>
      <w:r>
        <w:drawing>
          <wp:inline distT="0" distB="0" distL="114300" distR="114300">
            <wp:extent cx="5486400" cy="3886200"/>
            <wp:effectExtent l="0" t="0" r="0" b="0"/>
            <wp:docPr id="70936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679" name="drawing"/>
                    <pic:cNvPicPr>
                      <a:picLocks noChangeAspect="1"/>
                    </pic:cNvPicPr>
                  </pic:nvPicPr>
                  <pic:blipFill>
                    <a:blip r:embed="rId14"/>
                    <a:stretch>
                      <a:fillRect/>
                    </a:stretch>
                  </pic:blipFill>
                  <pic:spPr>
                    <a:xfrm>
                      <a:off x="0" y="0"/>
                      <a:ext cx="5486400" cy="3886200"/>
                    </a:xfrm>
                    <a:prstGeom prst="rect">
                      <a:avLst/>
                    </a:prstGeom>
                  </pic:spPr>
                </pic:pic>
              </a:graphicData>
            </a:graphic>
          </wp:inline>
        </w:drawing>
      </w:r>
      <w:r>
        <w:t xml:space="preserve">                       </w:t>
      </w:r>
    </w:p>
    <w:p w14:paraId="7958C963">
      <w:pPr>
        <w:spacing w:before="240" w:beforeAutospacing="0" w:after="240" w:afterAutospacing="0"/>
      </w:pPr>
      <w:r>
        <w:t xml:space="preserve">                                              </w:t>
      </w:r>
      <w:r>
        <w:rPr>
          <w:rFonts w:ascii="Cambria" w:hAnsi="Cambria" w:eastAsia="Cambria" w:cs="Cambria"/>
          <w:sz w:val="22"/>
          <w:szCs w:val="22"/>
          <w:lang w:val="en-US"/>
        </w:rPr>
        <w:t>Figure 6: Energy Consumption Comparison</w:t>
      </w:r>
    </w:p>
    <w:p w14:paraId="4643F27D">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Key findings:</w:t>
      </w:r>
    </w:p>
    <w:p w14:paraId="42CE1BD9">
      <w:pPr>
        <w:pStyle w:val="144"/>
        <w:numPr>
          <w:ilvl w:val="0"/>
          <w:numId w:val="9"/>
        </w:numPr>
        <w:spacing w:before="240" w:beforeAutospacing="0" w:after="240" w:afterAutospacing="0"/>
        <w:rPr>
          <w:sz w:val="26"/>
          <w:szCs w:val="26"/>
          <w:lang w:val="en-US"/>
        </w:rPr>
      </w:pPr>
      <w:r>
        <w:rPr>
          <w:sz w:val="26"/>
          <w:szCs w:val="26"/>
          <w:lang w:val="en-US"/>
        </w:rPr>
        <w:t>Memory reduced to 95 KB (vs. 280–450 KB for standard PQC).</w:t>
      </w:r>
    </w:p>
    <w:p w14:paraId="69A39618">
      <w:pPr>
        <w:pStyle w:val="144"/>
        <w:numPr>
          <w:ilvl w:val="0"/>
          <w:numId w:val="9"/>
        </w:numPr>
        <w:spacing w:before="240" w:beforeAutospacing="0" w:after="240" w:afterAutospacing="0"/>
        <w:rPr>
          <w:sz w:val="26"/>
          <w:szCs w:val="26"/>
          <w:lang w:val="en-US"/>
        </w:rPr>
      </w:pPr>
      <w:r>
        <w:rPr>
          <w:sz w:val="26"/>
          <w:szCs w:val="26"/>
          <w:lang w:val="en-US"/>
        </w:rPr>
        <w:t>Computation time dropped to 18 ms for key operations.</w:t>
      </w:r>
    </w:p>
    <w:p w14:paraId="6440D2A0">
      <w:pPr>
        <w:pStyle w:val="144"/>
        <w:numPr>
          <w:ilvl w:val="0"/>
          <w:numId w:val="9"/>
        </w:numPr>
        <w:spacing w:before="240" w:beforeAutospacing="0" w:after="240" w:afterAutospacing="0"/>
        <w:rPr>
          <w:sz w:val="26"/>
          <w:szCs w:val="26"/>
          <w:lang w:val="en-US"/>
        </w:rPr>
      </w:pPr>
      <w:r>
        <w:rPr>
          <w:sz w:val="26"/>
          <w:szCs w:val="26"/>
          <w:lang w:val="en-US"/>
        </w:rPr>
        <w:t>Energy per operation fell to 4.5 mJ, enabling years of battery life in typical IoT duty cycles. Security analysis confirmed no degradation against known attacks.</w:t>
      </w:r>
    </w:p>
    <w:p w14:paraId="65EBF8B9">
      <w:pPr>
        <w:spacing w:before="240" w:beforeAutospacing="0" w:after="240" w:afterAutospacing="0"/>
        <w:ind w:left="0"/>
        <w:rPr>
          <w:sz w:val="22"/>
          <w:szCs w:val="22"/>
        </w:rPr>
      </w:pPr>
    </w:p>
    <w:p w14:paraId="40F19B28">
      <w:pPr>
        <w:spacing w:before="240" w:beforeAutospacing="0" w:after="240" w:afterAutospacing="0"/>
        <w:ind w:left="0"/>
        <w:rPr>
          <w:sz w:val="22"/>
          <w:szCs w:val="22"/>
        </w:rPr>
      </w:pPr>
    </w:p>
    <w:p w14:paraId="56AEF145">
      <w:pPr>
        <w:spacing w:before="240" w:beforeAutospacing="0" w:after="240" w:afterAutospacing="0"/>
        <w:rPr>
          <w:rStyle w:val="139"/>
          <w:lang w:val="en-US"/>
        </w:rPr>
      </w:pPr>
      <w:r>
        <w:br w:type="textWrapping"/>
      </w:r>
      <w:r>
        <w:rPr>
          <w:rStyle w:val="139"/>
          <w:sz w:val="36"/>
          <w:szCs w:val="36"/>
        </w:rPr>
        <w:t xml:space="preserve">7. </w:t>
      </w:r>
      <w:r>
        <w:rPr>
          <w:rStyle w:val="139"/>
          <w:sz w:val="36"/>
          <w:szCs w:val="36"/>
          <w:lang w:val="en-US"/>
        </w:rPr>
        <w:t>Conclusion and Future Work</w:t>
      </w:r>
    </w:p>
    <w:p w14:paraId="7A13DB31">
      <w:pPr>
        <w:spacing w:before="240" w:beforeAutospacing="0" w:after="24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The project successfully delivers a lightweight PQC scheme ready for real-world IoT deployment. Future work includes FPGA/ASIC hardware acceleration, integration with MQTT/TLS 1.3, and field trials on commercial IoT platforms.</w:t>
      </w:r>
    </w:p>
    <w:p w14:paraId="098A221E">
      <w:pPr>
        <w:spacing w:before="240" w:beforeAutospacing="0" w:after="240" w:afterAutospacing="0"/>
        <w:rPr>
          <w:rStyle w:val="139"/>
          <w:lang w:val="en-US"/>
        </w:rPr>
      </w:pPr>
    </w:p>
    <w:p w14:paraId="54D54D37">
      <w:pPr>
        <w:pStyle w:val="2"/>
        <w:rPr>
          <w:sz w:val="36"/>
          <w:szCs w:val="36"/>
          <w:lang w:val="en-US"/>
        </w:rPr>
      </w:pPr>
      <w:r>
        <w:rPr>
          <w:sz w:val="36"/>
          <w:szCs w:val="36"/>
          <w:lang w:val="en-US"/>
        </w:rPr>
        <w:t>8.References</w:t>
      </w:r>
    </w:p>
    <w:p w14:paraId="343E35AC">
      <w:pPr>
        <w:spacing w:before="240" w:beforeAutospacing="0" w:after="240" w:afterAutospacing="0"/>
        <w:rPr>
          <w:sz w:val="26"/>
          <w:szCs w:val="26"/>
        </w:rPr>
      </w:pPr>
      <w:r>
        <w:rPr>
          <w:sz w:val="26"/>
          <w:szCs w:val="26"/>
          <w:lang w:val="en-US"/>
        </w:rPr>
        <w:t xml:space="preserve">1. </w:t>
      </w:r>
      <w:r>
        <w:rPr>
          <w:rFonts w:ascii="Cambria" w:hAnsi="Cambria" w:eastAsia="Cambria" w:cs="Cambria"/>
          <w:b/>
          <w:bCs/>
          <w:sz w:val="26"/>
          <w:szCs w:val="26"/>
          <w:lang w:val="en-US"/>
        </w:rPr>
        <w:t>National Institute of Standards and Technology (NIST)</w:t>
      </w:r>
      <w:r>
        <w:rPr>
          <w:rFonts w:ascii="Cambria" w:hAnsi="Cambria" w:eastAsia="Cambria" w:cs="Cambria"/>
          <w:sz w:val="26"/>
          <w:szCs w:val="26"/>
          <w:lang w:val="en-US"/>
        </w:rPr>
        <w:t xml:space="preserve">. (2024). FIPS 203: Module-Lattice-Based Key-Encapsulation Mechanism (ML-KEM). </w:t>
      </w:r>
      <w:r>
        <w:fldChar w:fldCharType="begin"/>
      </w:r>
      <w:r>
        <w:instrText xml:space="preserve"> HYPERLINK "https://doi.org/10.6028/NIST.FIPS.203" \h </w:instrText>
      </w:r>
      <w:r>
        <w:fldChar w:fldCharType="separate"/>
      </w:r>
      <w:r>
        <w:rPr>
          <w:rStyle w:val="20"/>
          <w:rFonts w:ascii="Cambria" w:hAnsi="Cambria" w:eastAsia="Cambria" w:cs="Cambria"/>
          <w:sz w:val="26"/>
          <w:szCs w:val="26"/>
          <w:lang w:val="en-US"/>
        </w:rPr>
        <w:t>https://doi.org/10.6028/NIST.FIPS.203</w:t>
      </w:r>
      <w:r>
        <w:rPr>
          <w:rStyle w:val="20"/>
          <w:rFonts w:ascii="Cambria" w:hAnsi="Cambria" w:eastAsia="Cambria" w:cs="Cambria"/>
          <w:sz w:val="26"/>
          <w:szCs w:val="26"/>
          <w:lang w:val="en-US"/>
        </w:rPr>
        <w:fldChar w:fldCharType="end"/>
      </w:r>
    </w:p>
    <w:p w14:paraId="401AFCB2">
      <w:pPr>
        <w:spacing w:before="240" w:beforeAutospacing="0" w:after="240" w:afterAutospacing="0"/>
        <w:rPr>
          <w:sz w:val="26"/>
          <w:szCs w:val="26"/>
        </w:rPr>
      </w:pPr>
      <w:r>
        <w:rPr>
          <w:rFonts w:ascii="Cambria" w:hAnsi="Cambria" w:eastAsia="Cambria" w:cs="Cambria"/>
          <w:sz w:val="26"/>
          <w:szCs w:val="26"/>
          <w:lang w:val="en-US"/>
        </w:rPr>
        <w:t>2.</w:t>
      </w:r>
      <w:r>
        <w:rPr>
          <w:rFonts w:ascii="Cambria" w:hAnsi="Cambria" w:eastAsia="Cambria" w:cs="Cambria"/>
          <w:b/>
          <w:bCs/>
          <w:sz w:val="26"/>
          <w:szCs w:val="26"/>
          <w:lang w:val="en-US"/>
        </w:rPr>
        <w:t xml:space="preserve"> National Institute of Standards and Technology (NIST)</w:t>
      </w:r>
      <w:r>
        <w:rPr>
          <w:rFonts w:ascii="Cambria" w:hAnsi="Cambria" w:eastAsia="Cambria" w:cs="Cambria"/>
          <w:sz w:val="26"/>
          <w:szCs w:val="26"/>
          <w:lang w:val="en-US"/>
        </w:rPr>
        <w:t xml:space="preserve">. (2024). FIPS 204: Module-Lattice-Based Digital Signature Algorithm (ML-DSA). </w:t>
      </w:r>
      <w:r>
        <w:fldChar w:fldCharType="begin"/>
      </w:r>
      <w:r>
        <w:instrText xml:space="preserve"> HYPERLINK "https://doi.org/10.6028/NIST.FIPS.204" \h </w:instrText>
      </w:r>
      <w:r>
        <w:fldChar w:fldCharType="separate"/>
      </w:r>
      <w:r>
        <w:rPr>
          <w:rStyle w:val="20"/>
          <w:rFonts w:ascii="Cambria" w:hAnsi="Cambria" w:eastAsia="Cambria" w:cs="Cambria"/>
          <w:sz w:val="26"/>
          <w:szCs w:val="26"/>
          <w:lang w:val="en-US"/>
        </w:rPr>
        <w:t>https://doi.org/10.6028/NIST.FIPS.204</w:t>
      </w:r>
      <w:r>
        <w:rPr>
          <w:rStyle w:val="20"/>
          <w:rFonts w:ascii="Cambria" w:hAnsi="Cambria" w:eastAsia="Cambria" w:cs="Cambria"/>
          <w:sz w:val="26"/>
          <w:szCs w:val="26"/>
          <w:lang w:val="en-US"/>
        </w:rPr>
        <w:fldChar w:fldCharType="end"/>
      </w:r>
    </w:p>
    <w:p w14:paraId="3BE465F9">
      <w:pPr>
        <w:spacing w:before="240" w:beforeAutospacing="0" w:after="240" w:afterAutospacing="0"/>
        <w:rPr>
          <w:sz w:val="26"/>
          <w:szCs w:val="26"/>
        </w:rPr>
      </w:pPr>
      <w:r>
        <w:rPr>
          <w:rFonts w:ascii="Cambria" w:hAnsi="Cambria" w:eastAsia="Cambria" w:cs="Cambria"/>
          <w:sz w:val="26"/>
          <w:szCs w:val="26"/>
          <w:lang w:val="en-US"/>
        </w:rPr>
        <w:t xml:space="preserve">3. </w:t>
      </w:r>
      <w:r>
        <w:rPr>
          <w:rFonts w:ascii="Cambria" w:hAnsi="Cambria" w:eastAsia="Cambria" w:cs="Cambria"/>
          <w:b/>
          <w:bCs/>
          <w:sz w:val="26"/>
          <w:szCs w:val="26"/>
          <w:lang w:val="en-US"/>
        </w:rPr>
        <w:t>National Institute of Standards and Technology (NIST)</w:t>
      </w:r>
      <w:r>
        <w:rPr>
          <w:rFonts w:ascii="Cambria" w:hAnsi="Cambria" w:eastAsia="Cambria" w:cs="Cambria"/>
          <w:sz w:val="26"/>
          <w:szCs w:val="26"/>
          <w:lang w:val="en-US"/>
        </w:rPr>
        <w:t xml:space="preserve">. (2024). FIPS 205: Stateless Hash-Based Digital Signature Algorithm (SLH-DSA). </w:t>
      </w:r>
      <w:r>
        <w:fldChar w:fldCharType="begin"/>
      </w:r>
      <w:r>
        <w:instrText xml:space="preserve"> HYPERLINK "https://doi.org/10.6028/NIST.FIPS.205" \h </w:instrText>
      </w:r>
      <w:r>
        <w:fldChar w:fldCharType="separate"/>
      </w:r>
      <w:r>
        <w:rPr>
          <w:rStyle w:val="20"/>
          <w:rFonts w:ascii="Cambria" w:hAnsi="Cambria" w:eastAsia="Cambria" w:cs="Cambria"/>
          <w:sz w:val="26"/>
          <w:szCs w:val="26"/>
          <w:lang w:val="en-US"/>
        </w:rPr>
        <w:t>https://doi.org/10.6028/NIST.FIPS.205</w:t>
      </w:r>
      <w:r>
        <w:rPr>
          <w:rStyle w:val="20"/>
          <w:rFonts w:ascii="Cambria" w:hAnsi="Cambria" w:eastAsia="Cambria" w:cs="Cambria"/>
          <w:sz w:val="26"/>
          <w:szCs w:val="26"/>
          <w:lang w:val="en-US"/>
        </w:rPr>
        <w:fldChar w:fldCharType="end"/>
      </w:r>
    </w:p>
    <w:p w14:paraId="2C3EFC85">
      <w:pPr>
        <w:spacing w:before="240" w:beforeAutospacing="0" w:after="240" w:afterAutospacing="0"/>
        <w:rPr>
          <w:sz w:val="26"/>
          <w:szCs w:val="26"/>
        </w:rPr>
      </w:pPr>
      <w:r>
        <w:rPr>
          <w:rFonts w:ascii="Cambria" w:hAnsi="Cambria" w:eastAsia="Cambria" w:cs="Cambria"/>
          <w:sz w:val="26"/>
          <w:szCs w:val="26"/>
          <w:lang w:val="en-US"/>
        </w:rPr>
        <w:t xml:space="preserve">4. </w:t>
      </w:r>
      <w:r>
        <w:rPr>
          <w:rFonts w:ascii="Cambria" w:hAnsi="Cambria" w:eastAsia="Cambria" w:cs="Cambria"/>
          <w:b/>
          <w:bCs/>
          <w:sz w:val="26"/>
          <w:szCs w:val="26"/>
          <w:lang w:val="en-US"/>
        </w:rPr>
        <w:t>Alagic, G., et al</w:t>
      </w:r>
      <w:r>
        <w:rPr>
          <w:rFonts w:ascii="Cambria" w:hAnsi="Cambria" w:eastAsia="Cambria" w:cs="Cambria"/>
          <w:sz w:val="26"/>
          <w:szCs w:val="26"/>
          <w:lang w:val="en-US"/>
        </w:rPr>
        <w:t xml:space="preserve">. (2022). Status Report on the Third Round of the NIST Post-Quantum Cryptography Standardization Process (NISTIR 8413). National Institute of Standards and Technology. </w:t>
      </w:r>
      <w:r>
        <w:fldChar w:fldCharType="begin"/>
      </w:r>
      <w:r>
        <w:instrText xml:space="preserve"> HYPERLINK "https://doi.org/10.6028/NIST.IR.8413" \h </w:instrText>
      </w:r>
      <w:r>
        <w:fldChar w:fldCharType="separate"/>
      </w:r>
      <w:r>
        <w:rPr>
          <w:rStyle w:val="20"/>
          <w:rFonts w:ascii="Cambria" w:hAnsi="Cambria" w:eastAsia="Cambria" w:cs="Cambria"/>
          <w:sz w:val="26"/>
          <w:szCs w:val="26"/>
          <w:lang w:val="en-US"/>
        </w:rPr>
        <w:t>https://doi.org/10.6028/NIST.IR.8413</w:t>
      </w:r>
      <w:r>
        <w:rPr>
          <w:rStyle w:val="20"/>
          <w:rFonts w:ascii="Cambria" w:hAnsi="Cambria" w:eastAsia="Cambria" w:cs="Cambria"/>
          <w:sz w:val="26"/>
          <w:szCs w:val="26"/>
          <w:lang w:val="en-US"/>
        </w:rPr>
        <w:fldChar w:fldCharType="end"/>
      </w:r>
    </w:p>
    <w:p w14:paraId="04607A7D">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 xml:space="preserve">5. </w:t>
      </w:r>
      <w:r>
        <w:rPr>
          <w:rFonts w:ascii="Cambria" w:hAnsi="Cambria" w:eastAsia="Cambria" w:cs="Cambria"/>
          <w:b/>
          <w:bCs/>
          <w:sz w:val="26"/>
          <w:szCs w:val="26"/>
          <w:lang w:val="en-US"/>
        </w:rPr>
        <w:t>Bos, J., et al</w:t>
      </w:r>
      <w:r>
        <w:rPr>
          <w:rFonts w:ascii="Cambria" w:hAnsi="Cambria" w:eastAsia="Cambria" w:cs="Cambria"/>
          <w:sz w:val="26"/>
          <w:szCs w:val="26"/>
          <w:lang w:val="en-US"/>
        </w:rPr>
        <w:t>. (2018). CRYSTALS-Kyber: A CCA-Secure Module-Lattice-Based KEM. IEEE European Symposium on Security and Privacy.</w:t>
      </w:r>
    </w:p>
    <w:p w14:paraId="79B40CDA">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 xml:space="preserve">6. </w:t>
      </w:r>
      <w:r>
        <w:rPr>
          <w:rFonts w:ascii="Cambria" w:hAnsi="Cambria" w:eastAsia="Cambria" w:cs="Cambria"/>
          <w:b/>
          <w:bCs/>
          <w:sz w:val="26"/>
          <w:szCs w:val="26"/>
          <w:lang w:val="en-US"/>
        </w:rPr>
        <w:t>Ducas, L., et al</w:t>
      </w:r>
      <w:r>
        <w:rPr>
          <w:rFonts w:ascii="Cambria" w:hAnsi="Cambria" w:eastAsia="Cambria" w:cs="Cambria"/>
          <w:sz w:val="26"/>
          <w:szCs w:val="26"/>
          <w:lang w:val="en-US"/>
        </w:rPr>
        <w:t>. (2018). CRYSTALS-Dilithium: A Lattice-Based Digital Signature Scheme. IACR Transactions on Cryptographic Hardware and Embedded Systems.</w:t>
      </w:r>
    </w:p>
    <w:p w14:paraId="6E6CEACC">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 xml:space="preserve">7. </w:t>
      </w:r>
      <w:r>
        <w:rPr>
          <w:rFonts w:ascii="Cambria" w:hAnsi="Cambria" w:eastAsia="Cambria" w:cs="Cambria"/>
          <w:b/>
          <w:bCs/>
          <w:sz w:val="26"/>
          <w:szCs w:val="26"/>
          <w:lang w:val="en-US"/>
        </w:rPr>
        <w:t>Aumasson, J. P., et al</w:t>
      </w:r>
      <w:r>
        <w:rPr>
          <w:rFonts w:ascii="Cambria" w:hAnsi="Cambria" w:eastAsia="Cambria" w:cs="Cambria"/>
          <w:sz w:val="26"/>
          <w:szCs w:val="26"/>
          <w:lang w:val="en-US"/>
        </w:rPr>
        <w:t>. (2022). SPHINCS+ – Submission to the NIST Post-Quantum Cryptography Standardization Project.</w:t>
      </w:r>
    </w:p>
    <w:p w14:paraId="477437C8">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 xml:space="preserve">8. </w:t>
      </w:r>
      <w:r>
        <w:rPr>
          <w:rFonts w:ascii="Cambria" w:hAnsi="Cambria" w:eastAsia="Cambria" w:cs="Cambria"/>
          <w:b/>
          <w:bCs/>
          <w:sz w:val="26"/>
          <w:szCs w:val="26"/>
          <w:lang w:val="en-US"/>
        </w:rPr>
        <w:t>Liu, Z., et al</w:t>
      </w:r>
      <w:r>
        <w:rPr>
          <w:rFonts w:ascii="Cambria" w:hAnsi="Cambria" w:eastAsia="Cambria" w:cs="Cambria"/>
          <w:sz w:val="26"/>
          <w:szCs w:val="26"/>
          <w:lang w:val="en-US"/>
        </w:rPr>
        <w:t>. (2021). Lightweight Post-Quantum Cryptography for IoT Devices: A Survey. IEEE Internet of Things Journal, 8(10), 8087–8101.</w:t>
      </w:r>
    </w:p>
    <w:p w14:paraId="6F4EF364">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9.</w:t>
      </w:r>
      <w:r>
        <w:rPr>
          <w:rFonts w:ascii="Cambria" w:hAnsi="Cambria" w:eastAsia="Cambria" w:cs="Cambria"/>
          <w:b/>
          <w:bCs/>
          <w:sz w:val="26"/>
          <w:szCs w:val="26"/>
          <w:lang w:val="en-US"/>
        </w:rPr>
        <w:t xml:space="preserve"> El-Hajj, M., et al</w:t>
      </w:r>
      <w:r>
        <w:rPr>
          <w:rFonts w:ascii="Cambria" w:hAnsi="Cambria" w:eastAsia="Cambria" w:cs="Cambria"/>
          <w:sz w:val="26"/>
          <w:szCs w:val="26"/>
          <w:lang w:val="en-US"/>
        </w:rPr>
        <w:t>. (2025). Lightweight Post-Quantum Cryptographic Solutions for IoT: A Practical Approach. IEEE Conference on IoT.</w:t>
      </w:r>
    </w:p>
    <w:p w14:paraId="59BA8103">
      <w:pPr>
        <w:spacing w:before="240" w:beforeAutospacing="0" w:after="240" w:afterAutospacing="0"/>
        <w:rPr>
          <w:rFonts w:ascii="Cambria" w:hAnsi="Cambria" w:eastAsia="Cambria" w:cs="Cambria"/>
          <w:sz w:val="26"/>
          <w:szCs w:val="26"/>
          <w:lang w:val="en-US"/>
        </w:rPr>
      </w:pPr>
      <w:r>
        <w:rPr>
          <w:rFonts w:ascii="Cambria" w:hAnsi="Cambria" w:eastAsia="Cambria" w:cs="Cambria"/>
          <w:sz w:val="26"/>
          <w:szCs w:val="26"/>
          <w:lang w:val="en-US"/>
        </w:rPr>
        <w:t xml:space="preserve">10. </w:t>
      </w:r>
      <w:r>
        <w:rPr>
          <w:rFonts w:ascii="Cambria" w:hAnsi="Cambria" w:eastAsia="Cambria" w:cs="Cambria"/>
          <w:b/>
          <w:bCs/>
          <w:sz w:val="26"/>
          <w:szCs w:val="26"/>
          <w:lang w:val="en-US"/>
        </w:rPr>
        <w:t>Chen, C. L., et al</w:t>
      </w:r>
      <w:r>
        <w:rPr>
          <w:rFonts w:ascii="Cambria" w:hAnsi="Cambria" w:eastAsia="Cambria" w:cs="Cambria"/>
          <w:sz w:val="26"/>
          <w:szCs w:val="26"/>
          <w:lang w:val="en-US"/>
        </w:rPr>
        <w:t>. (2025). Lightweight Post-Quantum Cryptography: Applications and Countermeasures for Resource-Constrained IoT Devices. Engineering Proceedings.</w:t>
      </w:r>
    </w:p>
    <w:p w14:paraId="0D6471F3">
      <w:pPr>
        <w:spacing w:before="240" w:beforeAutospacing="0" w:after="240" w:afterAutospacing="0"/>
        <w:rPr>
          <w:rFonts w:ascii="Cambria" w:hAnsi="Cambria" w:eastAsia="Cambria" w:cs="Cambria"/>
          <w:sz w:val="26"/>
          <w:szCs w:val="26"/>
          <w:lang w:val="en-US"/>
        </w:rPr>
      </w:pPr>
    </w:p>
    <w:p w14:paraId="40BAA0D0">
      <w:pPr>
        <w:spacing w:before="240" w:beforeAutospacing="0" w:after="240" w:afterAutospacing="0"/>
        <w:rPr>
          <w:rFonts w:ascii="Cambria" w:hAnsi="Cambria" w:eastAsia="Cambria" w:cs="Cambria"/>
          <w:sz w:val="22"/>
          <w:szCs w:val="22"/>
          <w:lang w:val="en-US"/>
        </w:rPr>
      </w:pPr>
    </w:p>
    <w:p w14:paraId="46DD0ACA">
      <w:pPr>
        <w:spacing w:before="240" w:beforeAutospacing="0" w:after="240" w:afterAutospacing="0"/>
        <w:rPr>
          <w:rFonts w:ascii="Cambria" w:hAnsi="Cambria" w:eastAsia="Cambria" w:cs="Cambria"/>
          <w:sz w:val="22"/>
          <w:szCs w:val="22"/>
          <w:lang w:val="en-US"/>
        </w:rPr>
      </w:pPr>
    </w:p>
    <w:p w14:paraId="449D8BD1">
      <w:pPr>
        <w:spacing w:before="240" w:beforeAutospacing="0" w:after="240" w:afterAutospacing="0"/>
        <w:rPr>
          <w:rFonts w:ascii="Cambria" w:hAnsi="Cambria" w:eastAsia="Cambria" w:cs="Cambria"/>
          <w:sz w:val="22"/>
          <w:szCs w:val="22"/>
          <w:lang w:val="en-US"/>
        </w:rPr>
      </w:pPr>
    </w:p>
    <w:p w14:paraId="09DD5C18">
      <w:pPr>
        <w:spacing w:before="240" w:beforeAutospacing="0" w:after="240" w:afterAutospacing="0"/>
        <w:rPr>
          <w:rFonts w:ascii="Cambria" w:hAnsi="Cambria" w:eastAsia="Cambria" w:cs="Cambria"/>
          <w:sz w:val="22"/>
          <w:szCs w:val="22"/>
          <w:lang w:val="en-US"/>
        </w:rPr>
      </w:pPr>
    </w:p>
    <w:p w14:paraId="613D5686">
      <w:pPr>
        <w:spacing w:before="240" w:beforeAutospacing="0" w:after="240" w:afterAutospacing="0"/>
        <w:rPr>
          <w:rFonts w:ascii="Cambria" w:hAnsi="Cambria" w:eastAsia="Cambria" w:cs="Cambria"/>
          <w:sz w:val="22"/>
          <w:szCs w:val="22"/>
          <w:lang w:val="en-US"/>
        </w:rPr>
      </w:pPr>
    </w:p>
    <w:p w14:paraId="59B7A12A">
      <w:pPr>
        <w:spacing w:before="240" w:beforeAutospacing="0" w:after="240" w:afterAutospacing="0"/>
        <w:rPr>
          <w:rFonts w:ascii="Cambria" w:hAnsi="Cambria" w:eastAsia="Cambria" w:cs="Cambria"/>
          <w:sz w:val="22"/>
          <w:szCs w:val="22"/>
          <w:lang w:val="en-US"/>
        </w:rPr>
      </w:pPr>
    </w:p>
    <w:p w14:paraId="0D7BB48C">
      <w:pPr>
        <w:spacing w:before="240" w:beforeAutospacing="0" w:after="240" w:afterAutospacing="0"/>
        <w:rPr>
          <w:rFonts w:ascii="Cambria" w:hAnsi="Cambria" w:eastAsia="Cambria" w:cs="Cambria"/>
          <w:sz w:val="22"/>
          <w:szCs w:val="22"/>
          <w:lang w:val="en-US"/>
        </w:rPr>
      </w:pPr>
    </w:p>
    <w:p w14:paraId="205B1DAC">
      <w:pPr>
        <w:spacing w:before="240" w:beforeAutospacing="0" w:after="240" w:afterAutospacing="0"/>
        <w:rPr>
          <w:rFonts w:ascii="Cambria" w:hAnsi="Cambria" w:eastAsia="Cambria" w:cs="Cambria"/>
          <w:sz w:val="22"/>
          <w:szCs w:val="22"/>
          <w:lang w:val="en-US"/>
        </w:rPr>
      </w:pPr>
    </w:p>
    <w:p w14:paraId="291C16CA">
      <w:pPr>
        <w:rPr>
          <w:lang w:val="en-US"/>
        </w:rPr>
      </w:pPr>
    </w:p>
    <w:p w14:paraId="11BF0E44">
      <w:pPr>
        <w:rPr>
          <w:rStyle w:val="139"/>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27931D3">
      <w:tblPrEx>
        <w:tblCellMar>
          <w:top w:w="0" w:type="dxa"/>
          <w:left w:w="108" w:type="dxa"/>
          <w:bottom w:w="0" w:type="dxa"/>
          <w:right w:w="108" w:type="dxa"/>
        </w:tblCellMar>
      </w:tblPrEx>
      <w:trPr>
        <w:trHeight w:val="300" w:hRule="atLeast"/>
      </w:trPr>
      <w:tc>
        <w:tcPr>
          <w:tcW w:w="2880" w:type="dxa"/>
        </w:tcPr>
        <w:p w14:paraId="5303DAEE">
          <w:pPr>
            <w:pStyle w:val="19"/>
            <w:bidi w:val="0"/>
            <w:ind w:left="-115"/>
            <w:jc w:val="left"/>
          </w:pPr>
        </w:p>
      </w:tc>
      <w:tc>
        <w:tcPr>
          <w:tcW w:w="2880" w:type="dxa"/>
        </w:tcPr>
        <w:p w14:paraId="0905356D">
          <w:pPr>
            <w:pStyle w:val="19"/>
            <w:bidi w:val="0"/>
            <w:jc w:val="center"/>
          </w:pPr>
        </w:p>
      </w:tc>
      <w:tc>
        <w:tcPr>
          <w:tcW w:w="2880" w:type="dxa"/>
        </w:tcPr>
        <w:p w14:paraId="621BBCCF">
          <w:pPr>
            <w:pStyle w:val="19"/>
            <w:bidi w:val="0"/>
            <w:ind w:right="-115"/>
            <w:jc w:val="right"/>
          </w:pPr>
        </w:p>
      </w:tc>
    </w:tr>
  </w:tbl>
  <w:p w14:paraId="00C93D6B">
    <w:pPr>
      <w:pStyle w:val="18"/>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503B93E">
      <w:tblPrEx>
        <w:tblCellMar>
          <w:top w:w="0" w:type="dxa"/>
          <w:left w:w="108" w:type="dxa"/>
          <w:bottom w:w="0" w:type="dxa"/>
          <w:right w:w="108" w:type="dxa"/>
        </w:tblCellMar>
      </w:tblPrEx>
      <w:trPr>
        <w:trHeight w:val="300" w:hRule="atLeast"/>
      </w:trPr>
      <w:tc>
        <w:tcPr>
          <w:tcW w:w="2880" w:type="dxa"/>
        </w:tcPr>
        <w:p w14:paraId="19EF9EDF">
          <w:pPr>
            <w:pStyle w:val="19"/>
            <w:bidi w:val="0"/>
            <w:ind w:left="-115"/>
            <w:jc w:val="left"/>
          </w:pPr>
        </w:p>
      </w:tc>
      <w:tc>
        <w:tcPr>
          <w:tcW w:w="2880" w:type="dxa"/>
        </w:tcPr>
        <w:p w14:paraId="25B6703E">
          <w:pPr>
            <w:pStyle w:val="19"/>
            <w:bidi w:val="0"/>
            <w:jc w:val="center"/>
          </w:pPr>
        </w:p>
      </w:tc>
      <w:tc>
        <w:tcPr>
          <w:tcW w:w="2880" w:type="dxa"/>
        </w:tcPr>
        <w:p w14:paraId="1372C1D8">
          <w:pPr>
            <w:pStyle w:val="19"/>
            <w:bidi w:val="0"/>
            <w:ind w:right="-115"/>
            <w:jc w:val="right"/>
          </w:pPr>
        </w:p>
      </w:tc>
    </w:tr>
  </w:tbl>
  <w:p w14:paraId="2DE09E1B">
    <w:pPr>
      <w:pStyle w:val="1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1740BBA"/>
    <w:multiLevelType w:val="multilevel"/>
    <w:tmpl w:val="11740B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5B48BA31"/>
    <w:multiLevelType w:val="multilevel"/>
    <w:tmpl w:val="5B48BA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6D35CDF8"/>
    <w:multiLevelType w:val="multilevel"/>
    <w:tmpl w:val="6D35CD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63DF5"/>
    <w:rsid w:val="00AA1D8D"/>
    <w:rsid w:val="00B47730"/>
    <w:rsid w:val="00CB0664"/>
    <w:rsid w:val="00FC693F"/>
    <w:rsid w:val="0197F610"/>
    <w:rsid w:val="02638297"/>
    <w:rsid w:val="0329BD7E"/>
    <w:rsid w:val="032B5D08"/>
    <w:rsid w:val="042059FD"/>
    <w:rsid w:val="04362B02"/>
    <w:rsid w:val="0577A13A"/>
    <w:rsid w:val="07651912"/>
    <w:rsid w:val="0965A3BB"/>
    <w:rsid w:val="0D3737F3"/>
    <w:rsid w:val="0D45C9CB"/>
    <w:rsid w:val="0D46598B"/>
    <w:rsid w:val="0E50140B"/>
    <w:rsid w:val="0F6F7BBA"/>
    <w:rsid w:val="0F8A2CE1"/>
    <w:rsid w:val="10409E48"/>
    <w:rsid w:val="10417A8E"/>
    <w:rsid w:val="1081FC35"/>
    <w:rsid w:val="168E89C0"/>
    <w:rsid w:val="18D188FE"/>
    <w:rsid w:val="197FCDD8"/>
    <w:rsid w:val="1982266B"/>
    <w:rsid w:val="19B3973B"/>
    <w:rsid w:val="19FB98F4"/>
    <w:rsid w:val="1A226B82"/>
    <w:rsid w:val="1A9448BC"/>
    <w:rsid w:val="1AF7BDF9"/>
    <w:rsid w:val="1D792DEB"/>
    <w:rsid w:val="1D7C565A"/>
    <w:rsid w:val="1DEEBAAE"/>
    <w:rsid w:val="1E4D380A"/>
    <w:rsid w:val="1EB1D805"/>
    <w:rsid w:val="1EDBFC1D"/>
    <w:rsid w:val="2004EBCB"/>
    <w:rsid w:val="2006A007"/>
    <w:rsid w:val="20652F85"/>
    <w:rsid w:val="210BC5E4"/>
    <w:rsid w:val="21BF2B43"/>
    <w:rsid w:val="2253E1FE"/>
    <w:rsid w:val="22FAC504"/>
    <w:rsid w:val="234DD785"/>
    <w:rsid w:val="23C748EC"/>
    <w:rsid w:val="242A323E"/>
    <w:rsid w:val="2507BFB3"/>
    <w:rsid w:val="25E0856E"/>
    <w:rsid w:val="25F6B87A"/>
    <w:rsid w:val="289D8808"/>
    <w:rsid w:val="29AEE188"/>
    <w:rsid w:val="2A7D7945"/>
    <w:rsid w:val="2BB0A827"/>
    <w:rsid w:val="2C08A90D"/>
    <w:rsid w:val="2C473EC7"/>
    <w:rsid w:val="2C6A1025"/>
    <w:rsid w:val="2FEA3A05"/>
    <w:rsid w:val="2FF58AC5"/>
    <w:rsid w:val="31211801"/>
    <w:rsid w:val="320E1F3E"/>
    <w:rsid w:val="32F973C8"/>
    <w:rsid w:val="336DECC9"/>
    <w:rsid w:val="343D6AAD"/>
    <w:rsid w:val="34FD2C48"/>
    <w:rsid w:val="355FD03F"/>
    <w:rsid w:val="3934501F"/>
    <w:rsid w:val="397E48B2"/>
    <w:rsid w:val="3A6010C1"/>
    <w:rsid w:val="3ABB24C1"/>
    <w:rsid w:val="3BDEFDDB"/>
    <w:rsid w:val="3D9FC832"/>
    <w:rsid w:val="4098EB3E"/>
    <w:rsid w:val="4237DB04"/>
    <w:rsid w:val="427BC021"/>
    <w:rsid w:val="44A2C0A1"/>
    <w:rsid w:val="455A1298"/>
    <w:rsid w:val="46A8FB0E"/>
    <w:rsid w:val="471D1BCC"/>
    <w:rsid w:val="47640584"/>
    <w:rsid w:val="4800D85C"/>
    <w:rsid w:val="4C3256D0"/>
    <w:rsid w:val="4C920918"/>
    <w:rsid w:val="4CDB6BC1"/>
    <w:rsid w:val="4D097062"/>
    <w:rsid w:val="4D84F3C5"/>
    <w:rsid w:val="4DECC2FC"/>
    <w:rsid w:val="4F63DD95"/>
    <w:rsid w:val="4FDFE793"/>
    <w:rsid w:val="509C8DCC"/>
    <w:rsid w:val="51169CE4"/>
    <w:rsid w:val="552B4858"/>
    <w:rsid w:val="572A93E9"/>
    <w:rsid w:val="57D2D21D"/>
    <w:rsid w:val="581F1FAA"/>
    <w:rsid w:val="593C98F8"/>
    <w:rsid w:val="5AB999FD"/>
    <w:rsid w:val="5D5EBF81"/>
    <w:rsid w:val="5DCA969E"/>
    <w:rsid w:val="5E03C51D"/>
    <w:rsid w:val="5F486225"/>
    <w:rsid w:val="60D0DEBD"/>
    <w:rsid w:val="613B500A"/>
    <w:rsid w:val="61DAD530"/>
    <w:rsid w:val="622D2A0E"/>
    <w:rsid w:val="62845954"/>
    <w:rsid w:val="63EAB23F"/>
    <w:rsid w:val="6413D029"/>
    <w:rsid w:val="642B4D60"/>
    <w:rsid w:val="644836B1"/>
    <w:rsid w:val="6452DD4F"/>
    <w:rsid w:val="6595E31A"/>
    <w:rsid w:val="6977ECB6"/>
    <w:rsid w:val="6AA390EE"/>
    <w:rsid w:val="6AF1D87F"/>
    <w:rsid w:val="6C51747F"/>
    <w:rsid w:val="6C6C5A09"/>
    <w:rsid w:val="6D8424C3"/>
    <w:rsid w:val="6E48D676"/>
    <w:rsid w:val="6E543704"/>
    <w:rsid w:val="6F46836E"/>
    <w:rsid w:val="6FC8FA23"/>
    <w:rsid w:val="701CC8EA"/>
    <w:rsid w:val="712F69E5"/>
    <w:rsid w:val="724712A6"/>
    <w:rsid w:val="733062A4"/>
    <w:rsid w:val="73F24D13"/>
    <w:rsid w:val="7431ABE3"/>
    <w:rsid w:val="745FB21B"/>
    <w:rsid w:val="75D783CF"/>
    <w:rsid w:val="786B553E"/>
    <w:rsid w:val="78DED4D4"/>
    <w:rsid w:val="7A039ABC"/>
    <w:rsid w:val="7A4A8227"/>
    <w:rsid w:val="7A7259F5"/>
    <w:rsid w:val="7ACE4039"/>
    <w:rsid w:val="7B2E2360"/>
    <w:rsid w:val="7C1D2C19"/>
    <w:rsid w:val="7C6719FD"/>
    <w:rsid w:val="7E25E7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851</Words>
  <Characters>5791</Characters>
  <TotalTime>2</TotalTime>
  <ScaleCrop>false</ScaleCrop>
  <LinksUpToDate>false</LinksUpToDate>
  <CharactersWithSpaces>7091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عاصم أحمد فلاح خضر</cp:lastModifiedBy>
  <dcterms:modified xsi:type="dcterms:W3CDTF">2026-04-17T15:43:05Z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eyJoZGlkIjoiMTU5NGE5MzUzODA2NmVhOGVmZTMzYWIzYzk3ZTgyYTMiLCJ1c2VySWQiOiI5NDgzMjkwMjYyNjc4In0=</vt:lpwstr>
  </property>
  <property fmtid="{D5CDD505-2E9C-101B-9397-08002B2CF9AE}" pid="3" name="KSOProductBuildVer">
    <vt:lpwstr>1033-12.1.0.25830</vt:lpwstr>
  </property>
  <property fmtid="{D5CDD505-2E9C-101B-9397-08002B2CF9AE}" pid="4" name="ICV">
    <vt:lpwstr>21023A54C11C494B8E14F9493F4BDDE8_13</vt:lpwstr>
  </property>
</Properties>
</file>