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165" w:rsidRDefault="006E3043" w:rsidP="006E3043">
      <w:pPr>
        <w:pStyle w:val="Title"/>
      </w:pPr>
      <w:r>
        <w:t>Disassembler API</w:t>
      </w:r>
    </w:p>
    <w:p w:rsidR="006E3043" w:rsidRDefault="006E3043" w:rsidP="006E3043">
      <w:pPr>
        <w:pStyle w:val="Subtitle"/>
      </w:pPr>
      <w:r>
        <w:t>Team biscuit</w:t>
      </w:r>
    </w:p>
    <w:p w:rsidR="006E3043" w:rsidRDefault="006E3043" w:rsidP="00B85E19">
      <w:pPr>
        <w:pStyle w:val="Heading1"/>
      </w:pPr>
      <w:bookmarkStart w:id="0" w:name="_Toc419072839"/>
      <w:r>
        <w:t>Overview</w:t>
      </w:r>
      <w:bookmarkEnd w:id="0"/>
    </w:p>
    <w:p w:rsidR="006E3043" w:rsidRDefault="006E3043" w:rsidP="006E3043">
      <w:r>
        <w:t>This document describes the blahblahblah</w:t>
      </w:r>
    </w:p>
    <w:sdt>
      <w:sdtPr>
        <w:rPr>
          <w:rFonts w:asciiTheme="minorHAnsi" w:eastAsiaTheme="minorHAnsi" w:hAnsiTheme="minorHAnsi" w:cstheme="minorBidi"/>
          <w:color w:val="auto"/>
          <w:sz w:val="22"/>
          <w:szCs w:val="22"/>
        </w:rPr>
        <w:id w:val="-1550069068"/>
        <w:docPartObj>
          <w:docPartGallery w:val="Table of Contents"/>
          <w:docPartUnique/>
        </w:docPartObj>
      </w:sdtPr>
      <w:sdtEndPr>
        <w:rPr>
          <w:b/>
          <w:bCs/>
          <w:noProof/>
        </w:rPr>
      </w:sdtEndPr>
      <w:sdtContent>
        <w:p w:rsidR="006E3043" w:rsidRDefault="006E3043">
          <w:pPr>
            <w:pStyle w:val="TOCHeading"/>
          </w:pPr>
          <w:r>
            <w:t>Contents</w:t>
          </w:r>
        </w:p>
        <w:p w:rsidR="007669EC" w:rsidRDefault="006E304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072839" w:history="1">
            <w:r w:rsidR="007669EC" w:rsidRPr="00EC0BC7">
              <w:rPr>
                <w:rStyle w:val="Hyperlink"/>
                <w:noProof/>
              </w:rPr>
              <w:t>Overview</w:t>
            </w:r>
            <w:r w:rsidR="007669EC">
              <w:rPr>
                <w:noProof/>
                <w:webHidden/>
              </w:rPr>
              <w:tab/>
            </w:r>
            <w:r w:rsidR="007669EC">
              <w:rPr>
                <w:noProof/>
                <w:webHidden/>
              </w:rPr>
              <w:fldChar w:fldCharType="begin"/>
            </w:r>
            <w:r w:rsidR="007669EC">
              <w:rPr>
                <w:noProof/>
                <w:webHidden/>
              </w:rPr>
              <w:instrText xml:space="preserve"> PAGEREF _Toc419072839 \h </w:instrText>
            </w:r>
            <w:r w:rsidR="007669EC">
              <w:rPr>
                <w:noProof/>
                <w:webHidden/>
              </w:rPr>
            </w:r>
            <w:r w:rsidR="007669EC">
              <w:rPr>
                <w:noProof/>
                <w:webHidden/>
              </w:rPr>
              <w:fldChar w:fldCharType="separate"/>
            </w:r>
            <w:r w:rsidR="007669EC">
              <w:rPr>
                <w:noProof/>
                <w:webHidden/>
              </w:rPr>
              <w:t>1</w:t>
            </w:r>
            <w:r w:rsidR="007669EC">
              <w:rPr>
                <w:noProof/>
                <w:webHidden/>
              </w:rPr>
              <w:fldChar w:fldCharType="end"/>
            </w:r>
          </w:hyperlink>
        </w:p>
        <w:p w:rsidR="007669EC" w:rsidRDefault="007669EC">
          <w:pPr>
            <w:pStyle w:val="TOC1"/>
            <w:tabs>
              <w:tab w:val="right" w:leader="dot" w:pos="9350"/>
            </w:tabs>
            <w:rPr>
              <w:rFonts w:eastAsiaTheme="minorEastAsia"/>
              <w:noProof/>
            </w:rPr>
          </w:pPr>
          <w:hyperlink w:anchor="_Toc419072840" w:history="1">
            <w:r w:rsidRPr="00EC0BC7">
              <w:rPr>
                <w:rStyle w:val="Hyperlink"/>
                <w:noProof/>
              </w:rPr>
              <w:t>EA subroutines</w:t>
            </w:r>
            <w:r>
              <w:rPr>
                <w:noProof/>
                <w:webHidden/>
              </w:rPr>
              <w:tab/>
            </w:r>
            <w:r>
              <w:rPr>
                <w:noProof/>
                <w:webHidden/>
              </w:rPr>
              <w:fldChar w:fldCharType="begin"/>
            </w:r>
            <w:r>
              <w:rPr>
                <w:noProof/>
                <w:webHidden/>
              </w:rPr>
              <w:instrText xml:space="preserve"> PAGEREF _Toc419072840 \h </w:instrText>
            </w:r>
            <w:r>
              <w:rPr>
                <w:noProof/>
                <w:webHidden/>
              </w:rPr>
            </w:r>
            <w:r>
              <w:rPr>
                <w:noProof/>
                <w:webHidden/>
              </w:rPr>
              <w:fldChar w:fldCharType="separate"/>
            </w:r>
            <w:r>
              <w:rPr>
                <w:noProof/>
                <w:webHidden/>
              </w:rPr>
              <w:t>1</w:t>
            </w:r>
            <w:r>
              <w:rPr>
                <w:noProof/>
                <w:webHidden/>
              </w:rPr>
              <w:fldChar w:fldCharType="end"/>
            </w:r>
          </w:hyperlink>
        </w:p>
        <w:p w:rsidR="007669EC" w:rsidRDefault="007669EC">
          <w:pPr>
            <w:pStyle w:val="TOC2"/>
            <w:tabs>
              <w:tab w:val="right" w:leader="dot" w:pos="9350"/>
            </w:tabs>
            <w:rPr>
              <w:rFonts w:eastAsiaTheme="minorEastAsia"/>
              <w:noProof/>
            </w:rPr>
          </w:pPr>
          <w:hyperlink w:anchor="_Toc419072841" w:history="1">
            <w:r w:rsidRPr="00EC0BC7">
              <w:rPr>
                <w:rStyle w:val="Hyperlink"/>
                <w:noProof/>
              </w:rPr>
              <w:t>ISMOVEB</w:t>
            </w:r>
            <w:r>
              <w:rPr>
                <w:noProof/>
                <w:webHidden/>
              </w:rPr>
              <w:tab/>
            </w:r>
            <w:r>
              <w:rPr>
                <w:noProof/>
                <w:webHidden/>
              </w:rPr>
              <w:fldChar w:fldCharType="begin"/>
            </w:r>
            <w:r>
              <w:rPr>
                <w:noProof/>
                <w:webHidden/>
              </w:rPr>
              <w:instrText xml:space="preserve"> PAGEREF _Toc419072841 \h </w:instrText>
            </w:r>
            <w:r>
              <w:rPr>
                <w:noProof/>
                <w:webHidden/>
              </w:rPr>
            </w:r>
            <w:r>
              <w:rPr>
                <w:noProof/>
                <w:webHidden/>
              </w:rPr>
              <w:fldChar w:fldCharType="separate"/>
            </w:r>
            <w:r>
              <w:rPr>
                <w:noProof/>
                <w:webHidden/>
              </w:rPr>
              <w:t>1</w:t>
            </w:r>
            <w:r>
              <w:rPr>
                <w:noProof/>
                <w:webHidden/>
              </w:rPr>
              <w:fldChar w:fldCharType="end"/>
            </w:r>
          </w:hyperlink>
        </w:p>
        <w:p w:rsidR="006E3043" w:rsidRDefault="006E3043">
          <w:r>
            <w:rPr>
              <w:b/>
              <w:bCs/>
              <w:noProof/>
            </w:rPr>
            <w:fldChar w:fldCharType="end"/>
          </w:r>
        </w:p>
      </w:sdtContent>
    </w:sdt>
    <w:p w:rsidR="006E3043" w:rsidRDefault="006E3043" w:rsidP="00B85E19">
      <w:pPr>
        <w:pStyle w:val="Heading1"/>
      </w:pPr>
      <w:bookmarkStart w:id="1" w:name="_Toc419072840"/>
      <w:r>
        <w:t>EA</w:t>
      </w:r>
      <w:r w:rsidR="008310FC">
        <w:t xml:space="preserve"> subroutines</w:t>
      </w:r>
      <w:bookmarkStart w:id="2" w:name="_GoBack"/>
      <w:bookmarkEnd w:id="1"/>
      <w:bookmarkEnd w:id="2"/>
    </w:p>
    <w:p w:rsidR="008310FC" w:rsidRDefault="00B85E19" w:rsidP="008310FC">
      <w:r>
        <w:t>The following list of subroutines includes the function performed, pre and post conditions, and a description of error flags to be set if errors are encountered. The state of all data and address registers will be shown in three tables corresponding to pre, post, and error conditions.</w:t>
      </w:r>
    </w:p>
    <w:p w:rsidR="00B85E19" w:rsidRDefault="00B85E19" w:rsidP="00B85E19">
      <w:pPr>
        <w:pStyle w:val="Heading2"/>
      </w:pPr>
      <w:bookmarkStart w:id="3" w:name="_Toc419072841"/>
      <w:r>
        <w:t>ISMOVEB</w:t>
      </w:r>
      <w:bookmarkEnd w:id="3"/>
    </w:p>
    <w:p w:rsidR="00B85E19" w:rsidRDefault="00B85E19" w:rsidP="00B85E19">
      <w:r>
        <w:t>Description – parses a known MOVE.B command’</w:t>
      </w:r>
      <w:r w:rsidR="00B82116">
        <w:t>s source register, destination register, source</w:t>
      </w:r>
      <w:r>
        <w:t xml:space="preserve"> mode</w:t>
      </w:r>
      <w:r w:rsidR="00B82116">
        <w:t>, and destination mode into registers d6, d5, d4, and d3 respectively</w:t>
      </w:r>
    </w:p>
    <w:p w:rsidR="00B82116" w:rsidRDefault="00B82116" w:rsidP="00B85E19">
      <w:r>
        <w:t>Pre-conditions – A MOVE.B command has been identified and its corresponding word data in hex (not addressing data if it exists) has been moved to register d7. Clearing all registers should not be necessary, but you might want to play it safe.</w:t>
      </w:r>
    </w:p>
    <w:tbl>
      <w:tblPr>
        <w:tblStyle w:val="TableGrid"/>
        <w:tblW w:w="0" w:type="auto"/>
        <w:tblLook w:val="04A0" w:firstRow="1" w:lastRow="0" w:firstColumn="1" w:lastColumn="0" w:noHBand="0" w:noVBand="1"/>
      </w:tblPr>
      <w:tblGrid>
        <w:gridCol w:w="1173"/>
        <w:gridCol w:w="1173"/>
        <w:gridCol w:w="1174"/>
        <w:gridCol w:w="1175"/>
        <w:gridCol w:w="1175"/>
        <w:gridCol w:w="1175"/>
        <w:gridCol w:w="1175"/>
        <w:gridCol w:w="1130"/>
      </w:tblGrid>
      <w:tr w:rsidR="00B82116" w:rsidTr="00B82116">
        <w:tc>
          <w:tcPr>
            <w:tcW w:w="1173" w:type="dxa"/>
          </w:tcPr>
          <w:p w:rsidR="00B82116" w:rsidRDefault="00B82116" w:rsidP="00B85E19">
            <w:r>
              <w:t>D7</w:t>
            </w:r>
          </w:p>
        </w:tc>
        <w:tc>
          <w:tcPr>
            <w:tcW w:w="1173" w:type="dxa"/>
          </w:tcPr>
          <w:p w:rsidR="00B82116" w:rsidRDefault="00B82116" w:rsidP="00B85E19">
            <w:r>
              <w:t>D6</w:t>
            </w:r>
          </w:p>
        </w:tc>
        <w:tc>
          <w:tcPr>
            <w:tcW w:w="1174" w:type="dxa"/>
          </w:tcPr>
          <w:p w:rsidR="00B82116" w:rsidRDefault="00B82116" w:rsidP="00B85E19">
            <w:r>
              <w:t>D5</w:t>
            </w:r>
          </w:p>
        </w:tc>
        <w:tc>
          <w:tcPr>
            <w:tcW w:w="1175" w:type="dxa"/>
          </w:tcPr>
          <w:p w:rsidR="00B82116" w:rsidRDefault="00B82116" w:rsidP="00B85E19">
            <w:r>
              <w:t>D4</w:t>
            </w:r>
          </w:p>
        </w:tc>
        <w:tc>
          <w:tcPr>
            <w:tcW w:w="1175" w:type="dxa"/>
          </w:tcPr>
          <w:p w:rsidR="00B82116" w:rsidRDefault="00B82116" w:rsidP="00B85E19">
            <w:r>
              <w:t>D3</w:t>
            </w:r>
          </w:p>
        </w:tc>
        <w:tc>
          <w:tcPr>
            <w:tcW w:w="1175" w:type="dxa"/>
          </w:tcPr>
          <w:p w:rsidR="00B82116" w:rsidRDefault="00B82116" w:rsidP="00B85E19">
            <w:r>
              <w:t>D2</w:t>
            </w:r>
          </w:p>
        </w:tc>
        <w:tc>
          <w:tcPr>
            <w:tcW w:w="1175" w:type="dxa"/>
          </w:tcPr>
          <w:p w:rsidR="00B82116" w:rsidRDefault="00B82116" w:rsidP="00B85E19">
            <w:r>
              <w:t>D1</w:t>
            </w:r>
          </w:p>
        </w:tc>
        <w:tc>
          <w:tcPr>
            <w:tcW w:w="1130" w:type="dxa"/>
          </w:tcPr>
          <w:p w:rsidR="00B82116" w:rsidRDefault="00B82116" w:rsidP="00B85E19">
            <w:r>
              <w:t>D0</w:t>
            </w:r>
          </w:p>
        </w:tc>
      </w:tr>
      <w:tr w:rsidR="00B82116" w:rsidTr="00B82116">
        <w:tc>
          <w:tcPr>
            <w:tcW w:w="1173" w:type="dxa"/>
          </w:tcPr>
          <w:p w:rsidR="00B82116" w:rsidRDefault="0051316B" w:rsidP="00B85E19">
            <w:r>
              <w:t>1</w:t>
            </w:r>
            <w:r w:rsidRPr="0051316B">
              <w:rPr>
                <w:vertAlign w:val="superscript"/>
              </w:rPr>
              <w:t>st</w:t>
            </w:r>
            <w:r>
              <w:t xml:space="preserve"> word of MOVE.B machine code</w:t>
            </w:r>
          </w:p>
        </w:tc>
        <w:tc>
          <w:tcPr>
            <w:tcW w:w="1173" w:type="dxa"/>
          </w:tcPr>
          <w:p w:rsidR="00B82116" w:rsidRDefault="0051316B" w:rsidP="00B85E19">
            <w:r>
              <w:t>Clr</w:t>
            </w:r>
          </w:p>
        </w:tc>
        <w:tc>
          <w:tcPr>
            <w:tcW w:w="1174" w:type="dxa"/>
          </w:tcPr>
          <w:p w:rsidR="00B82116" w:rsidRDefault="0051316B" w:rsidP="00B85E19">
            <w:r>
              <w:t>Clr</w:t>
            </w:r>
          </w:p>
        </w:tc>
        <w:tc>
          <w:tcPr>
            <w:tcW w:w="1175" w:type="dxa"/>
          </w:tcPr>
          <w:p w:rsidR="00B82116" w:rsidRDefault="0051316B" w:rsidP="00B85E19">
            <w:r>
              <w:t>Clr</w:t>
            </w:r>
          </w:p>
        </w:tc>
        <w:tc>
          <w:tcPr>
            <w:tcW w:w="1175" w:type="dxa"/>
          </w:tcPr>
          <w:p w:rsidR="00B82116" w:rsidRDefault="0051316B" w:rsidP="00B85E19">
            <w:r>
              <w:t>Clr</w:t>
            </w:r>
          </w:p>
        </w:tc>
        <w:tc>
          <w:tcPr>
            <w:tcW w:w="1175" w:type="dxa"/>
          </w:tcPr>
          <w:p w:rsidR="00B82116" w:rsidRDefault="0051316B" w:rsidP="00B85E19">
            <w:r>
              <w:t>Clr</w:t>
            </w:r>
          </w:p>
        </w:tc>
        <w:tc>
          <w:tcPr>
            <w:tcW w:w="1175" w:type="dxa"/>
          </w:tcPr>
          <w:p w:rsidR="00B82116" w:rsidRDefault="0051316B" w:rsidP="00B85E19">
            <w:r>
              <w:t>Clr</w:t>
            </w:r>
          </w:p>
        </w:tc>
        <w:tc>
          <w:tcPr>
            <w:tcW w:w="1130" w:type="dxa"/>
          </w:tcPr>
          <w:p w:rsidR="00B82116" w:rsidRDefault="0051316B" w:rsidP="00B85E19">
            <w:r>
              <w:t>Clr</w:t>
            </w:r>
          </w:p>
        </w:tc>
      </w:tr>
    </w:tbl>
    <w:p w:rsidR="00B82116" w:rsidRDefault="00B82116" w:rsidP="00B85E19"/>
    <w:p w:rsidR="00B82116" w:rsidRDefault="00B82116" w:rsidP="00B85E19">
      <w:r>
        <w:t xml:space="preserve">Post-conditions </w:t>
      </w:r>
      <w:r w:rsidR="0051316B">
        <w:t>–</w:t>
      </w:r>
      <w:r>
        <w:t xml:space="preserve"> </w:t>
      </w:r>
      <w:r w:rsidR="0051316B">
        <w:t>MOVE.B instruction parsed into source register, source mode, destination register, destination mode and placed into corresponding data registers. If addressing modes used are absolute or immediate, pointers to their corresponding ad</w:t>
      </w:r>
      <w:r w:rsidR="009B6E8B">
        <w:t>dress in memory are stored in a4 and a5</w:t>
      </w:r>
      <w:r w:rsidR="0051316B">
        <w:t>.</w:t>
      </w:r>
    </w:p>
    <w:tbl>
      <w:tblPr>
        <w:tblStyle w:val="TableGrid"/>
        <w:tblW w:w="0" w:type="auto"/>
        <w:tblLook w:val="04A0" w:firstRow="1" w:lastRow="0" w:firstColumn="1" w:lastColumn="0" w:noHBand="0" w:noVBand="1"/>
      </w:tblPr>
      <w:tblGrid>
        <w:gridCol w:w="1163"/>
        <w:gridCol w:w="1162"/>
        <w:gridCol w:w="1248"/>
        <w:gridCol w:w="1157"/>
        <w:gridCol w:w="1248"/>
        <w:gridCol w:w="1138"/>
        <w:gridCol w:w="1138"/>
        <w:gridCol w:w="1096"/>
      </w:tblGrid>
      <w:tr w:rsidR="0051316B" w:rsidTr="005D5BEE">
        <w:tc>
          <w:tcPr>
            <w:tcW w:w="1173" w:type="dxa"/>
          </w:tcPr>
          <w:p w:rsidR="0051316B" w:rsidRDefault="0051316B" w:rsidP="005D5BEE">
            <w:r>
              <w:t>D7</w:t>
            </w:r>
          </w:p>
        </w:tc>
        <w:tc>
          <w:tcPr>
            <w:tcW w:w="1173" w:type="dxa"/>
          </w:tcPr>
          <w:p w:rsidR="0051316B" w:rsidRDefault="0051316B" w:rsidP="005D5BEE">
            <w:r>
              <w:t>D6</w:t>
            </w:r>
          </w:p>
        </w:tc>
        <w:tc>
          <w:tcPr>
            <w:tcW w:w="1174" w:type="dxa"/>
          </w:tcPr>
          <w:p w:rsidR="0051316B" w:rsidRDefault="0051316B" w:rsidP="005D5BEE">
            <w:r>
              <w:t>D5</w:t>
            </w:r>
          </w:p>
        </w:tc>
        <w:tc>
          <w:tcPr>
            <w:tcW w:w="1175" w:type="dxa"/>
          </w:tcPr>
          <w:p w:rsidR="0051316B" w:rsidRDefault="0051316B" w:rsidP="005D5BEE">
            <w:r>
              <w:t>D4</w:t>
            </w:r>
          </w:p>
        </w:tc>
        <w:tc>
          <w:tcPr>
            <w:tcW w:w="1175" w:type="dxa"/>
          </w:tcPr>
          <w:p w:rsidR="0051316B" w:rsidRDefault="0051316B" w:rsidP="005D5BEE">
            <w:r>
              <w:t>D3</w:t>
            </w:r>
          </w:p>
        </w:tc>
        <w:tc>
          <w:tcPr>
            <w:tcW w:w="1175" w:type="dxa"/>
          </w:tcPr>
          <w:p w:rsidR="0051316B" w:rsidRDefault="0051316B" w:rsidP="005D5BEE">
            <w:r>
              <w:t>D2</w:t>
            </w:r>
          </w:p>
        </w:tc>
        <w:tc>
          <w:tcPr>
            <w:tcW w:w="1175" w:type="dxa"/>
          </w:tcPr>
          <w:p w:rsidR="0051316B" w:rsidRDefault="0051316B" w:rsidP="005D5BEE">
            <w:r>
              <w:t>D1</w:t>
            </w:r>
          </w:p>
        </w:tc>
        <w:tc>
          <w:tcPr>
            <w:tcW w:w="1130" w:type="dxa"/>
          </w:tcPr>
          <w:p w:rsidR="0051316B" w:rsidRDefault="0051316B" w:rsidP="005D5BEE">
            <w:r>
              <w:t>D0</w:t>
            </w:r>
          </w:p>
        </w:tc>
      </w:tr>
      <w:tr w:rsidR="0051316B" w:rsidTr="005D5BEE">
        <w:tc>
          <w:tcPr>
            <w:tcW w:w="1173" w:type="dxa"/>
          </w:tcPr>
          <w:p w:rsidR="0051316B" w:rsidRDefault="0051316B" w:rsidP="005D5BEE">
            <w:r>
              <w:t>1</w:t>
            </w:r>
            <w:r w:rsidRPr="0051316B">
              <w:rPr>
                <w:vertAlign w:val="superscript"/>
              </w:rPr>
              <w:t>st</w:t>
            </w:r>
            <w:r>
              <w:t xml:space="preserve"> word of MOVE.B machine code</w:t>
            </w:r>
          </w:p>
        </w:tc>
        <w:tc>
          <w:tcPr>
            <w:tcW w:w="1173" w:type="dxa"/>
          </w:tcPr>
          <w:p w:rsidR="0051316B" w:rsidRDefault="0051316B" w:rsidP="005D5BEE">
            <w:r>
              <w:t>Source register, long, 3 bits</w:t>
            </w:r>
          </w:p>
        </w:tc>
        <w:tc>
          <w:tcPr>
            <w:tcW w:w="1174" w:type="dxa"/>
          </w:tcPr>
          <w:p w:rsidR="0051316B" w:rsidRDefault="0051316B" w:rsidP="005D5BEE">
            <w:r>
              <w:t>Destination register, long, 3 bits</w:t>
            </w:r>
          </w:p>
        </w:tc>
        <w:tc>
          <w:tcPr>
            <w:tcW w:w="1175" w:type="dxa"/>
          </w:tcPr>
          <w:p w:rsidR="0051316B" w:rsidRDefault="00B83426" w:rsidP="005D5BEE">
            <w:r>
              <w:t>Source mode</w:t>
            </w:r>
            <w:r w:rsidR="0051316B">
              <w:t>, long, 3 bits</w:t>
            </w:r>
          </w:p>
        </w:tc>
        <w:tc>
          <w:tcPr>
            <w:tcW w:w="1175" w:type="dxa"/>
          </w:tcPr>
          <w:p w:rsidR="0051316B" w:rsidRDefault="00B83426" w:rsidP="005D5BEE">
            <w:r>
              <w:t>Destination mode, long, 3 bits</w:t>
            </w:r>
          </w:p>
        </w:tc>
        <w:tc>
          <w:tcPr>
            <w:tcW w:w="1175" w:type="dxa"/>
          </w:tcPr>
          <w:p w:rsidR="0051316B" w:rsidRDefault="0051316B" w:rsidP="005D5BEE">
            <w:r>
              <w:t>Clr</w:t>
            </w:r>
          </w:p>
        </w:tc>
        <w:tc>
          <w:tcPr>
            <w:tcW w:w="1175" w:type="dxa"/>
          </w:tcPr>
          <w:p w:rsidR="0051316B" w:rsidRDefault="0051316B" w:rsidP="005D5BEE">
            <w:r>
              <w:t>Clr</w:t>
            </w:r>
          </w:p>
        </w:tc>
        <w:tc>
          <w:tcPr>
            <w:tcW w:w="1130" w:type="dxa"/>
          </w:tcPr>
          <w:p w:rsidR="0051316B" w:rsidRDefault="0051316B" w:rsidP="005D5BEE">
            <w:r>
              <w:t>Clr</w:t>
            </w:r>
          </w:p>
        </w:tc>
      </w:tr>
    </w:tbl>
    <w:p w:rsidR="00B83426" w:rsidRDefault="00B83426" w:rsidP="00B85E19"/>
    <w:tbl>
      <w:tblPr>
        <w:tblStyle w:val="TableGrid"/>
        <w:tblW w:w="0" w:type="auto"/>
        <w:tblLook w:val="04A0" w:firstRow="1" w:lastRow="0" w:firstColumn="1" w:lastColumn="0" w:noHBand="0" w:noVBand="1"/>
      </w:tblPr>
      <w:tblGrid>
        <w:gridCol w:w="1307"/>
        <w:gridCol w:w="1248"/>
        <w:gridCol w:w="1157"/>
        <w:gridCol w:w="1248"/>
        <w:gridCol w:w="1138"/>
        <w:gridCol w:w="1138"/>
        <w:gridCol w:w="1096"/>
      </w:tblGrid>
      <w:tr w:rsidR="00B83426" w:rsidTr="00B83426">
        <w:tc>
          <w:tcPr>
            <w:tcW w:w="1162" w:type="dxa"/>
          </w:tcPr>
          <w:p w:rsidR="00B83426" w:rsidRDefault="00B83426" w:rsidP="005D5BEE">
            <w:r>
              <w:lastRenderedPageBreak/>
              <w:t>A6</w:t>
            </w:r>
          </w:p>
        </w:tc>
        <w:tc>
          <w:tcPr>
            <w:tcW w:w="1248" w:type="dxa"/>
          </w:tcPr>
          <w:p w:rsidR="00B83426" w:rsidRDefault="00B83426" w:rsidP="005D5BEE">
            <w:r>
              <w:t>A5</w:t>
            </w:r>
          </w:p>
        </w:tc>
        <w:tc>
          <w:tcPr>
            <w:tcW w:w="1157" w:type="dxa"/>
          </w:tcPr>
          <w:p w:rsidR="00B83426" w:rsidRDefault="00B83426" w:rsidP="005D5BEE">
            <w:r>
              <w:t>A4</w:t>
            </w:r>
          </w:p>
        </w:tc>
        <w:tc>
          <w:tcPr>
            <w:tcW w:w="1248" w:type="dxa"/>
          </w:tcPr>
          <w:p w:rsidR="00B83426" w:rsidRDefault="00B83426" w:rsidP="005D5BEE">
            <w:r>
              <w:t>A3</w:t>
            </w:r>
          </w:p>
        </w:tc>
        <w:tc>
          <w:tcPr>
            <w:tcW w:w="1138" w:type="dxa"/>
          </w:tcPr>
          <w:p w:rsidR="00B83426" w:rsidRDefault="00B83426" w:rsidP="005D5BEE">
            <w:r>
              <w:t>A2</w:t>
            </w:r>
          </w:p>
        </w:tc>
        <w:tc>
          <w:tcPr>
            <w:tcW w:w="1138" w:type="dxa"/>
          </w:tcPr>
          <w:p w:rsidR="00B83426" w:rsidRDefault="00B83426" w:rsidP="005D5BEE">
            <w:r>
              <w:t>A1</w:t>
            </w:r>
          </w:p>
        </w:tc>
        <w:tc>
          <w:tcPr>
            <w:tcW w:w="1096" w:type="dxa"/>
          </w:tcPr>
          <w:p w:rsidR="00B83426" w:rsidRDefault="00B83426" w:rsidP="005D5BEE">
            <w:r>
              <w:t>A0</w:t>
            </w:r>
          </w:p>
        </w:tc>
      </w:tr>
      <w:tr w:rsidR="00B83426" w:rsidTr="00B83426">
        <w:tc>
          <w:tcPr>
            <w:tcW w:w="1162" w:type="dxa"/>
          </w:tcPr>
          <w:p w:rsidR="00B83426" w:rsidRDefault="009B6E8B" w:rsidP="005D5BEE">
            <w:r>
              <w:t>Points to next instruction to disassemble</w:t>
            </w:r>
          </w:p>
        </w:tc>
        <w:tc>
          <w:tcPr>
            <w:tcW w:w="1248" w:type="dxa"/>
          </w:tcPr>
          <w:p w:rsidR="00B83426" w:rsidRDefault="009B6E8B" w:rsidP="009B6E8B">
            <w:r>
              <w:t xml:space="preserve">Clr or </w:t>
            </w:r>
            <w:r>
              <w:t>points to address that IO must print</w:t>
            </w:r>
          </w:p>
        </w:tc>
        <w:tc>
          <w:tcPr>
            <w:tcW w:w="1157" w:type="dxa"/>
          </w:tcPr>
          <w:p w:rsidR="00B83426" w:rsidRDefault="009B6E8B" w:rsidP="005D5BEE">
            <w:r>
              <w:t>Clr or points to address that IO must print</w:t>
            </w:r>
          </w:p>
        </w:tc>
        <w:tc>
          <w:tcPr>
            <w:tcW w:w="1248" w:type="dxa"/>
          </w:tcPr>
          <w:p w:rsidR="00B83426" w:rsidRDefault="00B83426" w:rsidP="005D5BEE">
            <w:r>
              <w:t>Clr</w:t>
            </w:r>
          </w:p>
        </w:tc>
        <w:tc>
          <w:tcPr>
            <w:tcW w:w="1138" w:type="dxa"/>
          </w:tcPr>
          <w:p w:rsidR="00B83426" w:rsidRDefault="00B83426" w:rsidP="005D5BEE">
            <w:r>
              <w:t>Clr</w:t>
            </w:r>
          </w:p>
        </w:tc>
        <w:tc>
          <w:tcPr>
            <w:tcW w:w="1138" w:type="dxa"/>
          </w:tcPr>
          <w:p w:rsidR="00B83426" w:rsidRDefault="00B83426" w:rsidP="005D5BEE">
            <w:r>
              <w:t>Clr</w:t>
            </w:r>
          </w:p>
        </w:tc>
        <w:tc>
          <w:tcPr>
            <w:tcW w:w="1096" w:type="dxa"/>
          </w:tcPr>
          <w:p w:rsidR="00B83426" w:rsidRDefault="00B83426" w:rsidP="005D5BEE">
            <w:r>
              <w:t>Clr</w:t>
            </w:r>
          </w:p>
        </w:tc>
      </w:tr>
    </w:tbl>
    <w:p w:rsidR="00B85E19" w:rsidRDefault="00B85E19" w:rsidP="00B85E19"/>
    <w:p w:rsidR="00B83426" w:rsidRDefault="00B83426" w:rsidP="00B85E19">
      <w:r>
        <w:t>Error-conditions – If any mode or register used is incompatible or illegal, d2 will contain the error flag $BEEF in long format. All other registers are considered compromised and should be ignored.</w:t>
      </w:r>
    </w:p>
    <w:tbl>
      <w:tblPr>
        <w:tblStyle w:val="TableGrid"/>
        <w:tblW w:w="0" w:type="auto"/>
        <w:tblLook w:val="04A0" w:firstRow="1" w:lastRow="0" w:firstColumn="1" w:lastColumn="0" w:noHBand="0" w:noVBand="1"/>
      </w:tblPr>
      <w:tblGrid>
        <w:gridCol w:w="1162"/>
        <w:gridCol w:w="1248"/>
        <w:gridCol w:w="1157"/>
        <w:gridCol w:w="1248"/>
        <w:gridCol w:w="1138"/>
        <w:gridCol w:w="1138"/>
        <w:gridCol w:w="1096"/>
      </w:tblGrid>
      <w:tr w:rsidR="009B6E8B" w:rsidTr="00E36056">
        <w:tc>
          <w:tcPr>
            <w:tcW w:w="1162" w:type="dxa"/>
          </w:tcPr>
          <w:p w:rsidR="009B6E8B" w:rsidRDefault="009B6E8B" w:rsidP="00E36056">
            <w:r>
              <w:t>D</w:t>
            </w:r>
            <w:r>
              <w:t>6</w:t>
            </w:r>
          </w:p>
        </w:tc>
        <w:tc>
          <w:tcPr>
            <w:tcW w:w="1248" w:type="dxa"/>
          </w:tcPr>
          <w:p w:rsidR="009B6E8B" w:rsidRDefault="009B6E8B" w:rsidP="00E36056">
            <w:r>
              <w:t>D</w:t>
            </w:r>
            <w:r>
              <w:t>5</w:t>
            </w:r>
          </w:p>
        </w:tc>
        <w:tc>
          <w:tcPr>
            <w:tcW w:w="1157" w:type="dxa"/>
          </w:tcPr>
          <w:p w:rsidR="009B6E8B" w:rsidRDefault="009B6E8B" w:rsidP="00E36056">
            <w:r>
              <w:t>D</w:t>
            </w:r>
            <w:r>
              <w:t>4</w:t>
            </w:r>
          </w:p>
        </w:tc>
        <w:tc>
          <w:tcPr>
            <w:tcW w:w="1248" w:type="dxa"/>
          </w:tcPr>
          <w:p w:rsidR="009B6E8B" w:rsidRDefault="009B6E8B" w:rsidP="00E36056">
            <w:r>
              <w:t>D</w:t>
            </w:r>
            <w:r>
              <w:t>3</w:t>
            </w:r>
          </w:p>
        </w:tc>
        <w:tc>
          <w:tcPr>
            <w:tcW w:w="1138" w:type="dxa"/>
          </w:tcPr>
          <w:p w:rsidR="009B6E8B" w:rsidRDefault="009B6E8B" w:rsidP="00E36056">
            <w:r>
              <w:t>D</w:t>
            </w:r>
            <w:r>
              <w:t>2</w:t>
            </w:r>
          </w:p>
        </w:tc>
        <w:tc>
          <w:tcPr>
            <w:tcW w:w="1138" w:type="dxa"/>
          </w:tcPr>
          <w:p w:rsidR="009B6E8B" w:rsidRDefault="009B6E8B" w:rsidP="00E36056">
            <w:r>
              <w:t>D</w:t>
            </w:r>
            <w:r>
              <w:t>1</w:t>
            </w:r>
          </w:p>
        </w:tc>
        <w:tc>
          <w:tcPr>
            <w:tcW w:w="1096" w:type="dxa"/>
          </w:tcPr>
          <w:p w:rsidR="009B6E8B" w:rsidRDefault="009B6E8B" w:rsidP="00E36056">
            <w:r>
              <w:t>D</w:t>
            </w:r>
            <w:r>
              <w:t>0</w:t>
            </w:r>
          </w:p>
        </w:tc>
      </w:tr>
      <w:tr w:rsidR="009B6E8B" w:rsidTr="00E36056">
        <w:tc>
          <w:tcPr>
            <w:tcW w:w="1162" w:type="dxa"/>
          </w:tcPr>
          <w:p w:rsidR="009B6E8B" w:rsidRDefault="009B6E8B" w:rsidP="009B6E8B">
            <w:r>
              <w:t xml:space="preserve">Clr </w:t>
            </w:r>
          </w:p>
        </w:tc>
        <w:tc>
          <w:tcPr>
            <w:tcW w:w="1248" w:type="dxa"/>
          </w:tcPr>
          <w:p w:rsidR="009B6E8B" w:rsidRDefault="009B6E8B" w:rsidP="009B6E8B">
            <w:r>
              <w:t xml:space="preserve">Clr </w:t>
            </w:r>
          </w:p>
        </w:tc>
        <w:tc>
          <w:tcPr>
            <w:tcW w:w="1157" w:type="dxa"/>
          </w:tcPr>
          <w:p w:rsidR="009B6E8B" w:rsidRDefault="009B6E8B" w:rsidP="00E36056">
            <w:r>
              <w:t>Clr</w:t>
            </w:r>
          </w:p>
        </w:tc>
        <w:tc>
          <w:tcPr>
            <w:tcW w:w="1248" w:type="dxa"/>
          </w:tcPr>
          <w:p w:rsidR="009B6E8B" w:rsidRDefault="009B6E8B" w:rsidP="00E36056">
            <w:r>
              <w:t>Clr</w:t>
            </w:r>
          </w:p>
        </w:tc>
        <w:tc>
          <w:tcPr>
            <w:tcW w:w="1138" w:type="dxa"/>
          </w:tcPr>
          <w:p w:rsidR="009B6E8B" w:rsidRDefault="009B6E8B" w:rsidP="00E36056">
            <w:r>
              <w:t>$BEEF</w:t>
            </w:r>
          </w:p>
        </w:tc>
        <w:tc>
          <w:tcPr>
            <w:tcW w:w="1138" w:type="dxa"/>
          </w:tcPr>
          <w:p w:rsidR="009B6E8B" w:rsidRDefault="009B6E8B" w:rsidP="00E36056">
            <w:r>
              <w:t>Clr</w:t>
            </w:r>
          </w:p>
        </w:tc>
        <w:tc>
          <w:tcPr>
            <w:tcW w:w="1096" w:type="dxa"/>
          </w:tcPr>
          <w:p w:rsidR="009B6E8B" w:rsidRDefault="009B6E8B" w:rsidP="00E36056">
            <w:r>
              <w:t>Clr</w:t>
            </w:r>
          </w:p>
        </w:tc>
      </w:tr>
    </w:tbl>
    <w:p w:rsidR="009B6E8B" w:rsidRPr="00B85E19" w:rsidRDefault="009B6E8B" w:rsidP="00B85E19"/>
    <w:sectPr w:rsidR="009B6E8B" w:rsidRPr="00B85E1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602" w:rsidRDefault="00F11602" w:rsidP="006E3043">
      <w:pPr>
        <w:spacing w:after="0" w:line="240" w:lineRule="auto"/>
      </w:pPr>
      <w:r>
        <w:separator/>
      </w:r>
    </w:p>
  </w:endnote>
  <w:endnote w:type="continuationSeparator" w:id="0">
    <w:p w:rsidR="00F11602" w:rsidRDefault="00F11602" w:rsidP="006E3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727438"/>
      <w:docPartObj>
        <w:docPartGallery w:val="Page Numbers (Bottom of Page)"/>
        <w:docPartUnique/>
      </w:docPartObj>
    </w:sdtPr>
    <w:sdtEndPr>
      <w:rPr>
        <w:color w:val="7F7F7F" w:themeColor="background1" w:themeShade="7F"/>
        <w:spacing w:val="60"/>
      </w:rPr>
    </w:sdtEndPr>
    <w:sdtContent>
      <w:p w:rsidR="006E3043" w:rsidRDefault="006E304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669EC" w:rsidRPr="007669EC">
          <w:rPr>
            <w:b/>
            <w:bCs/>
            <w:noProof/>
          </w:rPr>
          <w:t>1</w:t>
        </w:r>
        <w:r>
          <w:rPr>
            <w:b/>
            <w:bCs/>
            <w:noProof/>
          </w:rPr>
          <w:fldChar w:fldCharType="end"/>
        </w:r>
        <w:r>
          <w:rPr>
            <w:b/>
            <w:bCs/>
          </w:rPr>
          <w:t xml:space="preserve"> | </w:t>
        </w:r>
        <w:r>
          <w:rPr>
            <w:color w:val="7F7F7F" w:themeColor="background1" w:themeShade="7F"/>
            <w:spacing w:val="60"/>
          </w:rPr>
          <w:t>Page</w:t>
        </w:r>
      </w:p>
    </w:sdtContent>
  </w:sdt>
  <w:p w:rsidR="006E3043" w:rsidRDefault="006E30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602" w:rsidRDefault="00F11602" w:rsidP="006E3043">
      <w:pPr>
        <w:spacing w:after="0" w:line="240" w:lineRule="auto"/>
      </w:pPr>
      <w:r>
        <w:separator/>
      </w:r>
    </w:p>
  </w:footnote>
  <w:footnote w:type="continuationSeparator" w:id="0">
    <w:p w:rsidR="00F11602" w:rsidRDefault="00F11602" w:rsidP="006E30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43"/>
    <w:rsid w:val="00505CEA"/>
    <w:rsid w:val="0051316B"/>
    <w:rsid w:val="006A4BE7"/>
    <w:rsid w:val="006E3043"/>
    <w:rsid w:val="007669EC"/>
    <w:rsid w:val="008310FC"/>
    <w:rsid w:val="009B6E8B"/>
    <w:rsid w:val="00B82116"/>
    <w:rsid w:val="00B83426"/>
    <w:rsid w:val="00B85E19"/>
    <w:rsid w:val="00F11602"/>
    <w:rsid w:val="00FA3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00B56-5DC5-4634-92B7-572206D3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0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0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E3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0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04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E304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E3043"/>
    <w:pPr>
      <w:outlineLvl w:val="9"/>
    </w:pPr>
  </w:style>
  <w:style w:type="paragraph" w:styleId="TOC2">
    <w:name w:val="toc 2"/>
    <w:basedOn w:val="Normal"/>
    <w:next w:val="Normal"/>
    <w:autoRedefine/>
    <w:uiPriority w:val="39"/>
    <w:unhideWhenUsed/>
    <w:rsid w:val="006E3043"/>
    <w:pPr>
      <w:spacing w:after="100"/>
      <w:ind w:left="220"/>
    </w:pPr>
  </w:style>
  <w:style w:type="character" w:styleId="Hyperlink">
    <w:name w:val="Hyperlink"/>
    <w:basedOn w:val="DefaultParagraphFont"/>
    <w:uiPriority w:val="99"/>
    <w:unhideWhenUsed/>
    <w:rsid w:val="006E3043"/>
    <w:rPr>
      <w:color w:val="0563C1" w:themeColor="hyperlink"/>
      <w:u w:val="single"/>
    </w:rPr>
  </w:style>
  <w:style w:type="paragraph" w:styleId="Header">
    <w:name w:val="header"/>
    <w:basedOn w:val="Normal"/>
    <w:link w:val="HeaderChar"/>
    <w:uiPriority w:val="99"/>
    <w:unhideWhenUsed/>
    <w:rsid w:val="006E3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043"/>
  </w:style>
  <w:style w:type="paragraph" w:styleId="Footer">
    <w:name w:val="footer"/>
    <w:basedOn w:val="Normal"/>
    <w:link w:val="FooterChar"/>
    <w:uiPriority w:val="99"/>
    <w:unhideWhenUsed/>
    <w:rsid w:val="006E3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043"/>
  </w:style>
  <w:style w:type="paragraph" w:styleId="TOC1">
    <w:name w:val="toc 1"/>
    <w:basedOn w:val="Normal"/>
    <w:next w:val="Normal"/>
    <w:autoRedefine/>
    <w:uiPriority w:val="39"/>
    <w:unhideWhenUsed/>
    <w:rsid w:val="00B85E19"/>
    <w:pPr>
      <w:spacing w:after="100"/>
    </w:pPr>
  </w:style>
  <w:style w:type="table" w:styleId="TableGrid">
    <w:name w:val="Table Grid"/>
    <w:basedOn w:val="TableNormal"/>
    <w:uiPriority w:val="39"/>
    <w:rsid w:val="00B82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8F5C8CC-EB07-441D-9081-3934A055F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cp:revision>
  <dcterms:created xsi:type="dcterms:W3CDTF">2015-05-11T08:59:00Z</dcterms:created>
  <dcterms:modified xsi:type="dcterms:W3CDTF">2015-05-11T08:59:00Z</dcterms:modified>
</cp:coreProperties>
</file>